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Versorgungsforschung</w:t>
      </w:r>
    </w:p>
    <w:p>
      <w:r>
        <w:rPr>
          <w:i/>
          <w:color w:val="666666"/>
          <w:sz w:val="18"/>
        </w:rPr>
        <w:t>Stand: 24.09.2026  |  6 Studien  |  wissen.m-vf.de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Rauchen und schwere Erkrankungen: 10-Jahres-Assoziation mit Nikotinentwöhnung</w:t>
      </w:r>
    </w:p>
    <w:p>
      <w:r>
        <w:rPr>
          <w:i/>
          <w:color w:val="666666"/>
          <w:sz w:val="18"/>
        </w:rPr>
        <w:t>Imai E et al.  ·  J Epidemiol  ·  19.09.2026  ·  PMID 42778372</w:t>
      </w:r>
    </w:p>
    <w:p>
      <w:r>
        <w:t>Prospektive Kohortenstudie mit 17.779 japanischen Rauchern zur Assoziation von Herzinfarkt, Schlaganfall, Krebs und Chirurgie mit langfristiger Rauchentwöhnung.</w:t>
      </w:r>
    </w:p>
    <w:p>
      <w:r>
        <w:rPr>
          <w:b/>
        </w:rPr>
        <w:t xml:space="preserve">Ergebnis: </w:t>
      </w:r>
      <w:r>
        <w:t>26,9 % der Raucher (n=4.789) beendeten das Rauchen über 10 Jahre. Major-disease-Diagnosen zeigten starke Assoziation mit Entwöhnung (OR 5,39; 95%-KI 4,80–6,05); Herzinfarkt OR 6,87 (95%-KI 5,18–9,12), Schlaganfall OR 4,03 (95%-KI 3,40–4,78), Lungenkrebs OR 7,41 (95%-KI 4,44–12,51).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 – Fragestellung systemunabhängig; vergleichbare Verhaltensforschung übertragbar</w:t>
      </w:r>
    </w:p>
    <w:p>
      <w:r>
        <w:rPr>
          <w:color w:val="5A7D3A"/>
          <w:sz w:val="18"/>
        </w:rPr>
        <w:t>https://pubmed.ncbi.nlm.nih.gov/42778372/</w:t>
      </w:r>
    </w:p>
    <w:p>
      <w:pPr>
        <w:pStyle w:val="Heading2"/>
      </w:pPr>
      <w:r>
        <w:t>Gemeindeverankerung und Verbleib von Ärzten in unterversorgten Regionen</w:t>
      </w:r>
    </w:p>
    <w:p>
      <w:r>
        <w:rPr>
          <w:i/>
          <w:color w:val="666666"/>
          <w:sz w:val="18"/>
        </w:rPr>
        <w:t>Pathman DE et al.  ·  JAMA Netw Open  ·  01.09.2026  ·  PMID 42776525</w:t>
      </w:r>
    </w:p>
    <w:p>
      <w:r>
        <w:t>Querschnittsstudie mit 1.074 Ärzten in ländlichen und urbanen Health Professional Shortage Areas (HPSA) zur Assoziation von Gemeindeintegration mit beabsichtigtem Verbleib.</w:t>
      </w:r>
    </w:p>
    <w:p>
      <w:r>
        <w:rPr>
          <w:b/>
        </w:rPr>
        <w:t xml:space="preserve">Ergebnis: </w:t>
      </w:r>
      <w:r>
        <w:t>75,5 % der Ärzte in ländlichen und 71,2 % in urbanen HPSA planten Verbleib &gt;2 Jahre (p=0,14). Beide Dimensionen (Gemeindeintegration β=0,58–0,69; Gemeindebedarfserfüllung β=0,56–0,61) waren unabhängig assoziiert mit Verbleib; keine signifikanten ländlich-urbanen Unterschiede.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 – Fragestellung zu Ärztebindung aber systemunabhängig relevant</w:t>
      </w:r>
    </w:p>
    <w:p>
      <w:r>
        <w:rPr>
          <w:color w:val="5A7D3A"/>
          <w:sz w:val="18"/>
        </w:rPr>
        <w:t>https://pubmed.ncbi.nlm.nih.gov/42776525/</w:t>
      </w:r>
    </w:p>
    <w:p>
      <w:pPr>
        <w:pStyle w:val="Heading2"/>
      </w:pPr>
      <w:r>
        <w:t>Unkomplizierte Harnwegsinfekte: Apothekerverschreibung in der Gemeindepharmzie</w:t>
      </w:r>
    </w:p>
    <w:p>
      <w:r>
        <w:rPr>
          <w:i/>
          <w:color w:val="666666"/>
          <w:sz w:val="18"/>
        </w:rPr>
        <w:t>Budden M et al.  ·  Int J Clin Pharm  ·  23.09.2026  ·  PMID 42776432</w:t>
      </w:r>
    </w:p>
    <w:p>
      <w:r>
        <w:t>Große Kohortenstudie (n=14.680 Follow-up) zu Wirksamkeit und Sicherheit von strukturierter Apothekerverschreibung für unkomplizierte Harnwegsinfekte in Australien.</w:t>
      </w:r>
    </w:p>
    <w:p>
      <w:r>
        <w:rPr>
          <w:b/>
        </w:rPr>
        <w:t xml:space="preserve">Ergebnis: </w:t>
      </w:r>
      <w:r>
        <w:t>Symptomauflösung nach 7 Tagen bei 79,4 % der Patienten, weitere 17,9 % mit Teilbesserung. Antibiotika in 92,6 % verschrieben, Überweisungen in 6,9 %, Nebenwirkungen in 5,0 % (meist milde gastrointestinale Symptome).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 – vergleichbar zu Apotheker-Extended-Services in Sozialversicherungssystemen</w:t>
      </w:r>
    </w:p>
    <w:p>
      <w:r>
        <w:rPr>
          <w:color w:val="5A7D3A"/>
          <w:sz w:val="18"/>
        </w:rPr>
        <w:t>https://pubmed.ncbi.nlm.nih.gov/42776432/</w:t>
      </w:r>
    </w:p>
    <w:p>
      <w:pPr>
        <w:pStyle w:val="Heading2"/>
      </w:pPr>
      <w:r>
        <w:t>Augenärztliche Versorgung in deutschen Seniorenheimen: TOVIS-Studie</w:t>
      </w:r>
    </w:p>
    <w:p>
      <w:r>
        <w:rPr>
          <w:i/>
          <w:color w:val="666666"/>
          <w:sz w:val="18"/>
        </w:rPr>
        <w:t>Ach T et al.  ·  Z Gerontol Geriatr  ·  23.09.2026  ·  PMID 42776232</w:t>
      </w:r>
    </w:p>
    <w:p>
      <w:r>
        <w:t>Narrative Übersicht mit Fokus auf Versorgungslücken bei Augenerkrankungen in deutschen Pflegeheimen und Teleophthalmologie-Modell TOVIS (n=109 Bewohner).</w:t>
      </w:r>
    </w:p>
    <w:p>
      <w:r>
        <w:rPr>
          <w:b/>
        </w:rPr>
        <w:t xml:space="preserve">Ergebnis: </w:t>
      </w:r>
      <w:r>
        <w:t>OVIS-Studie: 61 % der Bewohner hatten behandlungsbedürftige ophthalmologische Befunde (Katarakt 53 %, AMD 39 %); letzte Augenarztvisite durchschnittlich 4 Jahre zurück. TOVIS-Pilotstudie: 48,5 % visusrelevante Katarakt, 34,1 % AMD, 60,6 % unzureichend angepasste Brille; nur 26,9 % der empfohlenen Nachuntersuchungen tatsächlich wahrgenommen.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Seniorenheime – direkt auf deutsches System übertragbar</w:t>
      </w:r>
    </w:p>
    <w:p>
      <w:r>
        <w:rPr>
          <w:color w:val="5A7D3A"/>
          <w:sz w:val="18"/>
        </w:rPr>
        <w:t>https://pubmed.ncbi.nlm.nih.gov/42776232/</w:t>
      </w:r>
    </w:p>
    <w:p>
      <w:pPr>
        <w:pStyle w:val="Heading2"/>
      </w:pPr>
      <w:r>
        <w:t>Soziale Determinanten und Gesundheitsungleichheit: Systemdynamische Perspektive</w:t>
      </w:r>
    </w:p>
    <w:p>
      <w:r>
        <w:rPr>
          <w:i/>
          <w:color w:val="666666"/>
          <w:sz w:val="18"/>
        </w:rPr>
        <w:t>Sturmberg JP et al.  ·  Front Public Health  ·  08.09.2026  ·  PMID 42774359</w:t>
      </w:r>
    </w:p>
    <w:p>
      <w:r>
        <w:t>Konzeptionelle Übersichtsarbeit zu Mechanismen, wie vernetzte soziale Determinanten Gesundheitsungleichheit durch biologisches Embedding und Rückkopplungsschleifen über die Lebensspanne verfestigen.</w:t>
      </w:r>
    </w:p>
    <w:p>
      <w:r>
        <w:rPr>
          <w:b/>
        </w:rPr>
        <w:t xml:space="preserve">Ergebnis: </w:t>
      </w:r>
      <w:r>
        <w:t>Kernaussage: Frühe biologische Prägung (Stressregulation, Entzündung, Epigenetik) und systemische Rückkopplungsschleifen stabilisieren Nachteil über Generationen; Nichtlinearität erklärt begrenzte Effekte isolierter Interventionen. Koordinierte, ortsgestützte Strategien und relationale Kontinuität in Primärversorgung zeigen Potenzial.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Konzeptionelle Analyse – systemunabhängig, aber besonders relevant für Versorgungsstruktur</w:t>
      </w:r>
    </w:p>
    <w:p>
      <w:r>
        <w:rPr>
          <w:color w:val="5A7D3A"/>
          <w:sz w:val="18"/>
        </w:rPr>
        <w:t>https://pubmed.ncbi.nlm.nih.gov/42774359/</w:t>
      </w:r>
    </w:p>
    <w:p>
      <w:pPr>
        <w:pStyle w:val="Heading2"/>
      </w:pPr>
      <w:r>
        <w:t>Künstliche Intelligenz in der Kosten-Effektivitäts-Bewertung von Schmerztherapie</w:t>
      </w:r>
    </w:p>
    <w:p>
      <w:r>
        <w:rPr>
          <w:i/>
          <w:color w:val="666666"/>
          <w:sz w:val="18"/>
        </w:rPr>
        <w:t>Zmudzki F et al.  ·  Expert Rev Pharmacoecon Outcomes Res  ·  22.09.2026  ·  PMID 42773780</w:t>
      </w:r>
    </w:p>
    <w:p>
      <w:r>
        <w:t>Übersichtsarbeit zu Integration von KI-Methoden in ökonomische Evaluationen zur Präzisionsmedizin bei chronischem Schmerz.</w:t>
      </w:r>
    </w:p>
    <w:p>
      <w:r>
        <w:rPr>
          <w:b/>
        </w:rPr>
        <w:t xml:space="preserve">Ergebnis: </w:t>
      </w:r>
      <w:r>
        <w:t>Diskussion, wie maschinelles Lernen und automatisierte Datenverarbeitung ökonomische Rahmen für personalisierte Schmerzmanagement-Strategien verbessern können; konkrete Ergebnisse im Abstract nicht quantifiziert.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Konzeptionelle Methodologie – systemunabhängig auf KI-Anwendungen fokussiert</w:t>
      </w:r>
    </w:p>
    <w:p>
      <w:r>
        <w:rPr>
          <w:color w:val="5A7D3A"/>
          <w:sz w:val="18"/>
        </w:rPr>
        <w:t>https://pubmed.ncbi.nlm.nih.gov/42773780/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Versorgungsforschung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