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Versorgungsforschung</w:t>
      </w:r>
    </w:p>
    <w:p>
      <w:r>
        <w:rPr>
          <w:i/>
          <w:color w:val="666666"/>
          <w:sz w:val="18"/>
        </w:rPr>
        <w:t>Stand: 24.09.2026  |  243 Studien  |  wissen.m-vf.de</w:t>
      </w:r>
    </w:p>
    <w:p>
      <w:pPr>
        <w:pStyle w:val="Heading1"/>
      </w:pPr>
      <w:r>
        <w:t>Aufgenommen am 24.09.2026</w:t>
      </w:r>
    </w:p>
    <w:p>
      <w:pPr>
        <w:pStyle w:val="Heading2"/>
      </w:pPr>
      <w:r>
        <w:t>Rauchen und schwere Erkrankungen: 10-Jahres-Assoziation mit Nikotinentwöhnung</w:t>
      </w:r>
    </w:p>
    <w:p>
      <w:r>
        <w:rPr>
          <w:i/>
          <w:color w:val="666666"/>
          <w:sz w:val="18"/>
        </w:rPr>
        <w:t>Imai E et al.  ·  J Epidemiol  ·  19.09.2026  ·  PMID 42778372</w:t>
      </w:r>
    </w:p>
    <w:p>
      <w:r>
        <w:t>Prospektive Kohortenstudie mit 17.779 japanischen Rauchern zur Assoziation von Herzinfarkt, Schlaganfall, Krebs und Chirurgie mit langfristiger Rauchentwöhnung.</w:t>
      </w:r>
    </w:p>
    <w:p>
      <w:r>
        <w:rPr>
          <w:b/>
        </w:rPr>
        <w:t xml:space="preserve">Ergebnis: </w:t>
      </w:r>
      <w:r>
        <w:t>26,9 % der Raucher (n=4.789) beendeten das Rauchen über 10 Jahre. Major-disease-Diagnosen zeigten starke Assoziation mit Entwöhnung (OR 5,39; 95%-KI 4,80–6,05); Herzinfarkt OR 6,87 (95%-KI 5,18–9,12), Schlaganfall OR 4,03 (95%-KI 3,40–4,78), Lungenkrebs OR 7,41 (95%-KI 4,44–12,51).</w:t>
      </w:r>
    </w:p>
    <w:p>
      <w:r>
        <w:rPr>
          <w:b/>
          <w:sz w:val="19"/>
        </w:rPr>
        <w:t xml:space="preserve">Übertragbarkeit: </w:t>
      </w:r>
      <w:r>
        <w:rPr>
          <w:sz w:val="19"/>
        </w:rPr>
        <w:t>Japan – Fragestellung systemunabhängig; vergleichbare Verhaltensforschung übertragbar</w:t>
      </w:r>
    </w:p>
    <w:p>
      <w:r>
        <w:rPr>
          <w:color w:val="5A7D3A"/>
          <w:sz w:val="18"/>
        </w:rPr>
        <w:t>https://pubmed.ncbi.nlm.nih.gov/42778372/</w:t>
      </w:r>
    </w:p>
    <w:p>
      <w:pPr>
        <w:pStyle w:val="Heading2"/>
      </w:pPr>
      <w:r>
        <w:t>Gemeindeverankerung und Verbleib von Ärzten in unterversorgten Regionen</w:t>
      </w:r>
    </w:p>
    <w:p>
      <w:r>
        <w:rPr>
          <w:i/>
          <w:color w:val="666666"/>
          <w:sz w:val="18"/>
        </w:rPr>
        <w:t>Pathman DE et al.  ·  JAMA Netw Open  ·  01.09.2026  ·  PMID 42776525</w:t>
      </w:r>
    </w:p>
    <w:p>
      <w:r>
        <w:t>Querschnittsstudie mit 1.074 Ärzten in ländlichen und urbanen Health Professional Shortage Areas (HPSA) zur Assoziation von Gemeindeintegration mit beabsichtigtem Verbleib.</w:t>
      </w:r>
    </w:p>
    <w:p>
      <w:r>
        <w:rPr>
          <w:b/>
        </w:rPr>
        <w:t xml:space="preserve">Ergebnis: </w:t>
      </w:r>
      <w:r>
        <w:t>75,5 % der Ärzte in ländlichen und 71,2 % in urbanen HPSA planten Verbleib &gt;2 Jahre (p=0,14). Beide Dimensionen (Gemeindeintegration β=0,58–0,69; Gemeindebedarfserfüllung β=0,56–0,61) waren unabhängig assoziiert mit Verbleib; keine signifikanten ländlich-urbanen Unterschiede.</w:t>
      </w:r>
    </w:p>
    <w:p>
      <w:r>
        <w:rPr>
          <w:b/>
          <w:sz w:val="19"/>
        </w:rPr>
        <w:t xml:space="preserve">Übertragbarkeit: </w:t>
      </w:r>
      <w:r>
        <w:rPr>
          <w:sz w:val="19"/>
        </w:rPr>
        <w:t>USA-Daten – Fragestellung zu Ärztebindung aber systemunabhängig relevant</w:t>
      </w:r>
    </w:p>
    <w:p>
      <w:r>
        <w:rPr>
          <w:color w:val="5A7D3A"/>
          <w:sz w:val="18"/>
        </w:rPr>
        <w:t>https://pubmed.ncbi.nlm.nih.gov/42776525/</w:t>
      </w:r>
    </w:p>
    <w:p>
      <w:pPr>
        <w:pStyle w:val="Heading2"/>
      </w:pPr>
      <w:r>
        <w:t>Unkomplizierte Harnwegsinfekte: Apothekerverschreibung in der Gemeindepharmzie</w:t>
      </w:r>
    </w:p>
    <w:p>
      <w:r>
        <w:rPr>
          <w:i/>
          <w:color w:val="666666"/>
          <w:sz w:val="18"/>
        </w:rPr>
        <w:t>Budden M et al.  ·  Int J Clin Pharm  ·  23.09.2026  ·  PMID 42776432</w:t>
      </w:r>
    </w:p>
    <w:p>
      <w:r>
        <w:t>Große Kohortenstudie (n=14.680 Follow-up) zu Wirksamkeit und Sicherheit von strukturierter Apothekerverschreibung für unkomplizierte Harnwegsinfekte in Australien.</w:t>
      </w:r>
    </w:p>
    <w:p>
      <w:r>
        <w:rPr>
          <w:b/>
        </w:rPr>
        <w:t xml:space="preserve">Ergebnis: </w:t>
      </w:r>
      <w:r>
        <w:t>Symptomauflösung nach 7 Tagen bei 79,4 % der Patienten, weitere 17,9 % mit Teilbesserung. Antibiotika in 92,6 % verschrieben, Überweisungen in 6,9 %, Nebenwirkungen in 5,0 % (meist milde gastrointestinale Symptome).</w:t>
      </w:r>
    </w:p>
    <w:p>
      <w:r>
        <w:rPr>
          <w:b/>
          <w:sz w:val="19"/>
        </w:rPr>
        <w:t xml:space="preserve">Übertragbarkeit: </w:t>
      </w:r>
      <w:r>
        <w:rPr>
          <w:sz w:val="19"/>
        </w:rPr>
        <w:t>Australien – vergleichbar zu Apotheker-Extended-Services in Sozialversicherungssystemen</w:t>
      </w:r>
    </w:p>
    <w:p>
      <w:r>
        <w:rPr>
          <w:color w:val="5A7D3A"/>
          <w:sz w:val="18"/>
        </w:rPr>
        <w:t>https://pubmed.ncbi.nlm.nih.gov/42776432/</w:t>
      </w:r>
    </w:p>
    <w:p>
      <w:pPr>
        <w:pStyle w:val="Heading2"/>
      </w:pPr>
      <w:r>
        <w:t>Augenärztliche Versorgung in deutschen Seniorenheimen: TOVIS-Studie</w:t>
      </w:r>
    </w:p>
    <w:p>
      <w:r>
        <w:rPr>
          <w:i/>
          <w:color w:val="666666"/>
          <w:sz w:val="18"/>
        </w:rPr>
        <w:t>Ach T et al.  ·  Z Gerontol Geriatr  ·  23.09.2026  ·  PMID 42776232</w:t>
      </w:r>
    </w:p>
    <w:p>
      <w:r>
        <w:t>Narrative Übersicht mit Fokus auf Versorgungslücken bei Augenerkrankungen in deutschen Pflegeheimen und Teleophthalmologie-Modell TOVIS (n=109 Bewohner).</w:t>
      </w:r>
    </w:p>
    <w:p>
      <w:r>
        <w:rPr>
          <w:b/>
        </w:rPr>
        <w:t xml:space="preserve">Ergebnis: </w:t>
      </w:r>
      <w:r>
        <w:t>OVIS-Studie: 61 % der Bewohner hatten behandlungsbedürftige ophthalmologische Befunde (Katarakt 53 %, AMD 39 %); letzte Augenarztvisite durchschnittlich 4 Jahre zurück. TOVIS-Pilotstudie: 48,5 % visusrelevante Katarakt, 34,1 % AMD, 60,6 % unzureichend angepasste Brille; nur 26,9 % der empfohlenen Nachuntersuchungen tatsächlich wahrgenommen.</w:t>
      </w:r>
    </w:p>
    <w:p>
      <w:r>
        <w:rPr>
          <w:b/>
          <w:sz w:val="19"/>
        </w:rPr>
        <w:t xml:space="preserve">Übertragbarkeit: </w:t>
      </w:r>
      <w:r>
        <w:rPr>
          <w:sz w:val="19"/>
        </w:rPr>
        <w:t>Deutsche Daten, Seniorenheime – direkt auf deutsches System übertragbar</w:t>
      </w:r>
    </w:p>
    <w:p>
      <w:r>
        <w:rPr>
          <w:color w:val="5A7D3A"/>
          <w:sz w:val="18"/>
        </w:rPr>
        <w:t>https://pubmed.ncbi.nlm.nih.gov/42776232/</w:t>
      </w:r>
    </w:p>
    <w:p>
      <w:pPr>
        <w:pStyle w:val="Heading2"/>
      </w:pPr>
      <w:r>
        <w:t>Soziale Determinanten und Gesundheitsungleichheit: Systemdynamische Perspektive</w:t>
      </w:r>
    </w:p>
    <w:p>
      <w:r>
        <w:rPr>
          <w:i/>
          <w:color w:val="666666"/>
          <w:sz w:val="18"/>
        </w:rPr>
        <w:t>Sturmberg JP et al.  ·  Front Public Health  ·  08.09.2026  ·  PMID 42774359</w:t>
      </w:r>
    </w:p>
    <w:p>
      <w:r>
        <w:t>Konzeptionelle Übersichtsarbeit zu Mechanismen, wie vernetzte soziale Determinanten Gesundheitsungleichheit durch biologisches Embedding und Rückkopplungsschleifen über die Lebensspanne verfestigen.</w:t>
      </w:r>
    </w:p>
    <w:p>
      <w:r>
        <w:rPr>
          <w:b/>
        </w:rPr>
        <w:t xml:space="preserve">Ergebnis: </w:t>
      </w:r>
      <w:r>
        <w:t>Kernaussage: Frühe biologische Prägung (Stressregulation, Entzündung, Epigenetik) und systemische Rückkopplungsschleifen stabilisieren Nachteil über Generationen; Nichtlinearität erklärt begrenzte Effekte isolierter Interventionen. Koordinierte, ortsgestützte Strategien und relationale Kontinuität in Primärversorgung zeigen Potenzial.</w:t>
      </w:r>
    </w:p>
    <w:p>
      <w:r>
        <w:rPr>
          <w:b/>
          <w:sz w:val="19"/>
        </w:rPr>
        <w:t xml:space="preserve">Übertragbarkeit: </w:t>
      </w:r>
      <w:r>
        <w:rPr>
          <w:sz w:val="19"/>
        </w:rPr>
        <w:t>Konzeptionelle Analyse – systemunabhängig, aber besonders relevant für Versorgungsstruktur</w:t>
      </w:r>
    </w:p>
    <w:p>
      <w:r>
        <w:rPr>
          <w:color w:val="5A7D3A"/>
          <w:sz w:val="18"/>
        </w:rPr>
        <w:t>https://pubmed.ncbi.nlm.nih.gov/42774359/</w:t>
      </w:r>
    </w:p>
    <w:p>
      <w:pPr>
        <w:pStyle w:val="Heading2"/>
      </w:pPr>
      <w:r>
        <w:t>Künstliche Intelligenz in der Kosten-Effektivitäts-Bewertung von Schmerztherapie</w:t>
      </w:r>
    </w:p>
    <w:p>
      <w:r>
        <w:rPr>
          <w:i/>
          <w:color w:val="666666"/>
          <w:sz w:val="18"/>
        </w:rPr>
        <w:t>Zmudzki F et al.  ·  Expert Rev Pharmacoecon Outcomes Res  ·  22.09.2026  ·  PMID 42773780</w:t>
      </w:r>
    </w:p>
    <w:p>
      <w:r>
        <w:t>Übersichtsarbeit zu Integration von KI-Methoden in ökonomische Evaluationen zur Präzisionsmedizin bei chronischem Schmerz.</w:t>
      </w:r>
    </w:p>
    <w:p>
      <w:r>
        <w:rPr>
          <w:b/>
        </w:rPr>
        <w:t xml:space="preserve">Ergebnis: </w:t>
      </w:r>
      <w:r>
        <w:t>Diskussion, wie maschinelles Lernen und automatisierte Datenverarbeitung ökonomische Rahmen für personalisierte Schmerzmanagement-Strategien verbessern können; konkrete Ergebnisse im Abstract nicht quantifiziert.</w:t>
      </w:r>
    </w:p>
    <w:p>
      <w:r>
        <w:rPr>
          <w:b/>
          <w:sz w:val="19"/>
        </w:rPr>
        <w:t xml:space="preserve">Übertragbarkeit: </w:t>
      </w:r>
      <w:r>
        <w:rPr>
          <w:sz w:val="19"/>
        </w:rPr>
        <w:t>Konzeptionelle Methodologie – systemunabhängig auf KI-Anwendungen fokussiert</w:t>
      </w:r>
    </w:p>
    <w:p>
      <w:r>
        <w:rPr>
          <w:color w:val="5A7D3A"/>
          <w:sz w:val="18"/>
        </w:rPr>
        <w:t>https://pubmed.ncbi.nlm.nih.gov/42773780/</w:t>
      </w:r>
    </w:p>
    <w:p>
      <w:pPr>
        <w:pStyle w:val="Heading1"/>
      </w:pPr>
      <w:r>
        <w:t>Aufgenommen am 23.09.2026</w:t>
      </w:r>
    </w:p>
    <w:p>
      <w:pPr>
        <w:pStyle w:val="Heading2"/>
      </w:pPr>
      <w:r>
        <w:t>Einkommensvolatilität und Mortalität bei Depression</w:t>
      </w:r>
    </w:p>
    <w:p>
      <w:r>
        <w:rPr>
          <w:i/>
          <w:color w:val="666666"/>
          <w:sz w:val="18"/>
        </w:rPr>
        <w:t>Cho H et al.  ·  J Korean Med Sci  ·  21.09.2026  ·  PMID 42773077</w:t>
      </w:r>
    </w:p>
    <w:p>
      <w:r>
        <w:t>Koreanische Kohortenstudie an 735.922 Personen mit Depression, die Zusammenhang zwischen Einkommensvolatilität und all-cause-Mortalität sowie Hospitalisierungen untersuchte.</w:t>
      </w:r>
    </w:p>
    <w:p>
      <w:r>
        <w:rPr>
          <w:b/>
        </w:rPr>
        <w:t xml:space="preserve">Ergebnis: </w:t>
      </w:r>
      <w:r>
        <w:t>Höhere Einkommensvolatilität assoziiert mit erhöhtem Mortalitätsrisiko (HR 1,18; 95%-KI 1,16–1,19) und Hospitalisierungen (IRR 1,07; 1,06–1,08). Bei Männern stärker ausgeprägt (HR 1,26 vs. 1,12 bei Frauen). Besonders hohe Risiken für Bluterkrankungen (IRR 1,47), endokrine Erkrankungen (1,40) und psychische Störungen (1,26).</w:t>
      </w:r>
    </w:p>
    <w:p>
      <w:r>
        <w:rPr>
          <w:b/>
          <w:sz w:val="19"/>
        </w:rPr>
        <w:t xml:space="preserve">Übertragbarkeit: </w:t>
      </w:r>
      <w:r>
        <w:rPr>
          <w:sz w:val="19"/>
        </w:rPr>
        <w:t>Südkorea – begrenzte Übertragbarkeit auf deutsches System mit anderer Sozialstruktur</w:t>
      </w:r>
    </w:p>
    <w:p>
      <w:r>
        <w:rPr>
          <w:color w:val="5A7D3A"/>
          <w:sz w:val="18"/>
        </w:rPr>
        <w:t>https://pubmed.ncbi.nlm.nih.gov/42773077/</w:t>
      </w:r>
    </w:p>
    <w:p>
      <w:pPr>
        <w:pStyle w:val="Heading2"/>
      </w:pPr>
      <w:r>
        <w:t>Ultra-verarbeitete Lebensmittel und chronische Erkrankungen</w:t>
      </w:r>
    </w:p>
    <w:p>
      <w:r>
        <w:rPr>
          <w:i/>
          <w:color w:val="666666"/>
          <w:sz w:val="18"/>
        </w:rPr>
        <w:t>Liu X et al.  ·  Fam Med Community Health  ·  22.09.2026  ·  PMID 42773062</w:t>
      </w:r>
    </w:p>
    <w:p>
      <w:r>
        <w:t>Metaanalyse von 51 prospektiven Kohortenstudien mit 8,8 Mio. Teilnehmern zu Risiken ultra-verarbeiteter Lebensmittel.</w:t>
      </w:r>
    </w:p>
    <w:p>
      <w:r>
        <w:rPr>
          <w:b/>
        </w:rPr>
        <w:t xml:space="preserve">Ergebnis: </w:t>
      </w:r>
      <w:r>
        <w:t>Ultra-verarbeitete Lebensmittel assoziiert mit kardiovaskulären Ereignissen (HR 1,24), Krebs (HR 1,12), Adipositas (HR 1,23), Diabetes (HR 1,24), Depression/Angststörung (HR 1,27), Verdauungserkrankungen (HR 1,31) und all-cause-Mortalität (HR 1,18). Pro 100 g/Tag zusätzlich: kardiovaskuläre Ereignisse HR 1,14.</w:t>
      </w:r>
    </w:p>
    <w:p>
      <w:r>
        <w:rPr>
          <w:b/>
          <w:sz w:val="19"/>
        </w:rPr>
        <w:t xml:space="preserve">Übertragbarkeit: </w:t>
      </w:r>
      <w:r>
        <w:rPr>
          <w:sz w:val="19"/>
        </w:rPr>
        <w:t>Internationale Daten – Fragestellung systemunabhängig, für Public-Health-Empfehlungen universell übertragbar</w:t>
      </w:r>
    </w:p>
    <w:p>
      <w:r>
        <w:rPr>
          <w:color w:val="5A7D3A"/>
          <w:sz w:val="18"/>
        </w:rPr>
        <w:t>https://pubmed.ncbi.nlm.nih.gov/42773062/</w:t>
      </w:r>
    </w:p>
    <w:p>
      <w:pPr>
        <w:pStyle w:val="Heading2"/>
      </w:pPr>
      <w:r>
        <w:t>Kardiovaskuläre Autonome Neuropathie und Diabeteskomplikationen</w:t>
      </w:r>
    </w:p>
    <w:p>
      <w:r>
        <w:rPr>
          <w:i/>
          <w:color w:val="666666"/>
          <w:sz w:val="18"/>
        </w:rPr>
        <w:t>Ignacy P et al.  ·  Clin Ther  ·  22.09.2026  ·  PMID 42773037</w:t>
      </w:r>
    </w:p>
    <w:p>
      <w:r>
        <w:t>Polnische Querschnittsstudie mit 728 Diabetespatienten zur Assoziation zwischen mikrovaskulären/makrovaskulären Komplikationen und kardiovaskulärer autonomer Neuropathie.</w:t>
      </w:r>
    </w:p>
    <w:p>
      <w:r>
        <w:rPr>
          <w:b/>
        </w:rPr>
        <w:t xml:space="preserve">Ergebnis: </w:t>
      </w:r>
      <w:r>
        <w:t>Kardiovaskuläre autonome Neuropathie bei 48,2% (davon definit 15,8%). Unabhängig assoziiert mit diabetischer Retinopathie (OR 2,26; 95%-KI 1,25–4,19; p=0,008); borderline mit CKD (OR 1,57; p=0,049). Keine signifikante Assoziation mit ASCVD.</w:t>
      </w:r>
    </w:p>
    <w:p>
      <w:r>
        <w:rPr>
          <w:b/>
          <w:sz w:val="19"/>
        </w:rPr>
        <w:t xml:space="preserve">Übertragbarkeit: </w:t>
      </w:r>
      <w:r>
        <w:rPr>
          <w:sz w:val="19"/>
        </w:rPr>
        <w:t>Polen – ähnliches Sozialversicherungssystem, gute Übertragbarkeit auf Deutschland</w:t>
      </w:r>
    </w:p>
    <w:p>
      <w:r>
        <w:rPr>
          <w:color w:val="5A7D3A"/>
          <w:sz w:val="18"/>
        </w:rPr>
        <w:t>https://pubmed.ncbi.nlm.nih.gov/42773037/</w:t>
      </w:r>
    </w:p>
    <w:p>
      <w:pPr>
        <w:pStyle w:val="Heading2"/>
      </w:pPr>
      <w:r>
        <w:t>Persona-Methode in partizipativer Versorgungsforschung</w:t>
      </w:r>
    </w:p>
    <w:p>
      <w:r>
        <w:rPr>
          <w:i/>
          <w:color w:val="666666"/>
          <w:sz w:val="18"/>
        </w:rPr>
        <w:t>Dittmer K et al.  ·  Z Evid Fortbild Qual Gesundhwes  ·  22.09.2026  ·  PMID 42773021</w:t>
      </w:r>
    </w:p>
    <w:p>
      <w:r>
        <w:t>Deutschsprachiger Methodenbericht zur Anwendung der Persona-Methode bei partizipativer Versorgungsforschung mit Fokusgruppen und Expert*innen.</w:t>
      </w:r>
    </w:p>
    <w:p>
      <w:r>
        <w:rPr>
          <w:b/>
        </w:rPr>
        <w:t xml:space="preserve">Ergebnis: </w:t>
      </w:r>
      <w:r>
        <w:t>Personas integrieren Erfahrungswissen mehrerer Experten anonym, ohne persönliche Daten preiszugeben; ideal für vulnerable Gruppen. Risiken: Stereotypisierung; Mitigation durch reflektive Entwicklungsprozesse. Reflexionsfragen zur Bias-Reduktion werden präsentiert.</w:t>
      </w:r>
    </w:p>
    <w:p>
      <w:r>
        <w:rPr>
          <w:b/>
          <w:sz w:val="19"/>
        </w:rPr>
        <w:t xml:space="preserve">Übertragbarkeit: </w:t>
      </w:r>
      <w:r>
        <w:rPr>
          <w:sz w:val="19"/>
        </w:rPr>
        <w:t>Deutsches Projekt – direkt übertragbar auf deutsche Versorgungsforschung</w:t>
      </w:r>
    </w:p>
    <w:p>
      <w:r>
        <w:rPr>
          <w:color w:val="5A7D3A"/>
          <w:sz w:val="18"/>
        </w:rPr>
        <w:t>https://pubmed.ncbi.nlm.nih.gov/42773021/</w:t>
      </w:r>
    </w:p>
    <w:p>
      <w:pPr>
        <w:pStyle w:val="Heading2"/>
      </w:pPr>
      <w:r>
        <w:t>Mobile Screening-Einheit für Barretts Ösophagus in England</w:t>
      </w:r>
    </w:p>
    <w:p>
      <w:r>
        <w:rPr>
          <w:i/>
          <w:color w:val="666666"/>
          <w:sz w:val="18"/>
        </w:rPr>
        <w:t>Landy R et al.  ·  BMJ Open Gastroenterol  ·  22.09.2026  ·  PMID 42772946</w:t>
      </w:r>
    </w:p>
    <w:p>
      <w:r>
        <w:t>Implementierungsstudie in England mit mobiler Einheit zur Kapselschwamm-Testung bei Refluxpatienten; Vergleich Hausarzt-Rekrutierung vs. Selbstmeldung.</w:t>
      </w:r>
    </w:p>
    <w:p>
      <w:r>
        <w:rPr>
          <w:b/>
        </w:rPr>
        <w:t xml:space="preserve">Ergebnis: </w:t>
      </w:r>
      <w:r>
        <w:t>Bei GP-Einladung: 50% Antwortquote, 59,6% interessiert, 66,3% elegibel, 532 teilgenommen; 15% aller Eingeladenen erfolgreich getestet. Bei Selbstmeldung: 39,6% erfolgreich getestet. Barretts-Prävalenz 4,2% (GP-invitiert) vs. 3,4% (Selbstmeldung). Akzeptanz &gt;99%.</w:t>
      </w:r>
    </w:p>
    <w:p>
      <w:r>
        <w:rPr>
          <w:b/>
          <w:sz w:val="19"/>
        </w:rPr>
        <w:t xml:space="preserve">Übertragbarkeit: </w:t>
      </w:r>
      <w:r>
        <w:rPr>
          <w:sz w:val="19"/>
        </w:rPr>
        <w:t>Großbritannien – ähnliche Primärversorgungsstruktur, begrenzte Übertragbarkeit (steuerfinanziert)</w:t>
      </w:r>
    </w:p>
    <w:p>
      <w:r>
        <w:rPr>
          <w:color w:val="5A7D3A"/>
          <w:sz w:val="18"/>
        </w:rPr>
        <w:t>https://pubmed.ncbi.nlm.nih.gov/42772946/</w:t>
      </w:r>
    </w:p>
    <w:p>
      <w:pPr>
        <w:pStyle w:val="Heading2"/>
      </w:pPr>
      <w:r>
        <w:t>Forschungsprioritäten in Hebammentätigkeit und Geburtshilfe</w:t>
      </w:r>
    </w:p>
    <w:p>
      <w:r>
        <w:rPr>
          <w:i/>
          <w:color w:val="666666"/>
          <w:sz w:val="18"/>
        </w:rPr>
        <w:t>Field J et al.  ·  BMJ Open  ·  21.09.2026  ·  PMID 42767736</w:t>
      </w:r>
    </w:p>
    <w:p>
      <w:r>
        <w:t>UK James-Lind-Alliance Priority-Setting Partnership mit 977 Befragten (Hebammen, Eltern, schwangere Personen) zur Identifikation von Forschungslücken in Geburtshilfe.</w:t>
      </w:r>
    </w:p>
    <w:p>
      <w:r>
        <w:rPr>
          <w:b/>
        </w:rPr>
        <w:t xml:space="preserve">Ergebnis: </w:t>
      </w:r>
      <w:r>
        <w:t>68 Priority-Topics identifiziert, nach evidenzbasierter Prüfung auf 67 reduziert, dann von 548 Befragten gereiht. 10 Top-Prioritäten durch Konsens vereinbart; umfassen klinische Versorgung, Personalwohlbefinden und Ausbildung.</w:t>
      </w:r>
    </w:p>
    <w:p>
      <w:r>
        <w:rPr>
          <w:b/>
          <w:sz w:val="19"/>
        </w:rPr>
        <w:t xml:space="preserve">Übertragbarkeit: </w:t>
      </w:r>
      <w:r>
        <w:rPr>
          <w:sz w:val="19"/>
        </w:rPr>
        <w:t>Großbritannien – methodisch stark, bedingt übertragbar auf deutsches Hebammensystem</w:t>
      </w:r>
    </w:p>
    <w:p>
      <w:r>
        <w:rPr>
          <w:color w:val="5A7D3A"/>
          <w:sz w:val="18"/>
        </w:rPr>
        <w:t>https://pubmed.ncbi.nlm.nih.gov/42767736/</w:t>
      </w:r>
    </w:p>
    <w:p>
      <w:pPr>
        <w:pStyle w:val="Heading2"/>
      </w:pPr>
      <w:r>
        <w:t>FeNO und Blut-Eosinophile zur Asthmadiagnose bei Kindern und Erwachsenen</w:t>
      </w:r>
    </w:p>
    <w:p>
      <w:r>
        <w:rPr>
          <w:i/>
          <w:color w:val="666666"/>
          <w:sz w:val="18"/>
        </w:rPr>
        <w:t>Roy MA et al.  ·  Lancet Respir Med  ·  15.09.2026  ·  PMID 42743935</w:t>
      </w:r>
    </w:p>
    <w:p>
      <w:r>
        <w:t>Metaanalyse von 30 diagnostischen Studien (22 bei Erwachsenen, 9 bei Kindern) zur Genauigkeit von FeNO und Blut-Eosinophilen gegenüber Bronchialprovokationstests.</w:t>
      </w:r>
    </w:p>
    <w:p>
      <w:r>
        <w:rPr>
          <w:b/>
        </w:rPr>
        <w:t xml:space="preserve">Ergebnis: </w:t>
      </w:r>
      <w:r>
        <w:t>FeNO diagnostische Genauigkeit: Erwachsene AUC 0,80, Kinder AUC 0,75. Bei Erwachsenen FeNO≥65 ppb: positive Vorhersagekraft 80%, &lt;20 ppb: negative VK 93%. Blut-Eosinophile schwache Leistung (AUC 0,65). Prospektive Validierung in DIVE-Kohorte (n=123) bestätigte Ergebnisse (FeNO AUC 0,77).</w:t>
      </w:r>
    </w:p>
    <w:p>
      <w:r>
        <w:rPr>
          <w:b/>
          <w:sz w:val="19"/>
        </w:rPr>
        <w:t xml:space="preserve">Übertragbarkeit: </w:t>
      </w:r>
      <w:r>
        <w:rPr>
          <w:sz w:val="19"/>
        </w:rPr>
        <w:t>Internationale Daten mit prospektiver Primärversorgungsvalidierung – Diagnostik systemunabhängig</w:t>
      </w:r>
    </w:p>
    <w:p>
      <w:r>
        <w:rPr>
          <w:color w:val="5A7D3A"/>
          <w:sz w:val="18"/>
        </w:rPr>
        <w:t>https://pubmed.ncbi.nlm.nih.gov/42743935/</w:t>
      </w:r>
    </w:p>
    <w:p>
      <w:pPr>
        <w:pStyle w:val="Heading1"/>
      </w:pPr>
      <w:r>
        <w:t>Aufgenommen am 22.09.2026</w:t>
      </w:r>
    </w:p>
    <w:p>
      <w:pPr>
        <w:pStyle w:val="Heading2"/>
      </w:pPr>
      <w:r>
        <w:t>Teletherapy-Einsatz in der Physiotherapie: deutsche Versorgungsforschung zu Barrieren und Förderfaktoren</w:t>
      </w:r>
    </w:p>
    <w:p>
      <w:r>
        <w:rPr>
          <w:i/>
          <w:color w:val="666666"/>
          <w:sz w:val="18"/>
        </w:rPr>
        <w:t>Michels T et al.  ·  JMIR Form Res  ·  21.09.2026  ·  PMID 42766842</w:t>
      </w:r>
    </w:p>
    <w:p>
      <w:r>
        <w:t>Querschnittsstudie von 458 Physiotherapeuten in Deutschland, die Barrieren und Förderfaktoren für die Implementierung von Teletherapie in der Praxis erfasste.</w:t>
      </w:r>
    </w:p>
    <w:p>
      <w:r>
        <w:rPr>
          <w:b/>
        </w:rPr>
        <w:t xml:space="preserve">Ergebnis: </w:t>
      </w:r>
      <w:r>
        <w:t>Nur 6,6 % der Teilnehmer hatten Teletherapie-Erfahrung; 87,3 % hielten Teletherapie für sinnvoll, aber nur 15,5 % fühlten sich ausreichend informiert. Häufigste Barrieren: Integration in Praxisroutinen, unzureichende Informationen zu rechtlichen Rahmenbedingungen und digitale Infrastruktur (Nennungen nicht weiter spezifiziert). Die Ergebnisse zeigen hohe Akzeptanz bei niedriger Nutzung und Informationsdefiziten.</w:t>
      </w:r>
    </w:p>
    <w:p>
      <w:r>
        <w:rPr>
          <w:b/>
          <w:sz w:val="19"/>
        </w:rPr>
        <w:t xml:space="preserve">Übertragbarkeit: </w:t>
      </w:r>
      <w:r>
        <w:rPr>
          <w:sz w:val="19"/>
        </w:rPr>
        <w:t>Deutsche Routinedaten aus der Physiotherapie; direkt auf das System übertragbar.</w:t>
      </w:r>
    </w:p>
    <w:p>
      <w:r>
        <w:rPr>
          <w:color w:val="5A7D3A"/>
          <w:sz w:val="18"/>
        </w:rPr>
        <w:t>https://pubmed.ncbi.nlm.nih.gov/42766842/</w:t>
      </w:r>
    </w:p>
    <w:p>
      <w:pPr>
        <w:pStyle w:val="Heading2"/>
      </w:pPr>
      <w:r>
        <w:t>Implementierung der elektronischen Patientenakte (ePA) in deutschen Arztpraxen: qualitative Frühevaluierung</w:t>
      </w:r>
    </w:p>
    <w:p>
      <w:r>
        <w:rPr>
          <w:i/>
          <w:color w:val="666666"/>
          <w:sz w:val="18"/>
        </w:rPr>
        <w:t>May S et al.  ·  J Med Internet Res  ·  21.09.2026  ·  PMID 42766713</w:t>
      </w:r>
    </w:p>
    <w:p>
      <w:r>
        <w:t>Qualitative Studie mit 49 semistrukturierten Interviews zu Implementierungsbarrieren und -förderfaktoren der ePA in ambulanten Praxen nach dem Rollout im Januar 2025.</w:t>
      </w:r>
    </w:p>
    <w:p>
      <w:r>
        <w:rPr>
          <w:b/>
        </w:rPr>
        <w:t xml:space="preserve">Ergebnis: </w:t>
      </w:r>
      <w:r>
        <w:t>Erleichterer: Führungsengagement, interne Kommunikation und Lernklima. Barrieren: technische Instabilität, heterogene Funktionalität von Praxismanagementsystemen, begrenzte Sektorübergreifung, unzureichendes Patientenbewusstsein. Implementierung stark abhängig von Organisationskapazität und Infrastrukturstabilität, nicht von professionellem Widerstand.</w:t>
      </w:r>
    </w:p>
    <w:p>
      <w:r>
        <w:rPr>
          <w:b/>
          <w:sz w:val="19"/>
        </w:rPr>
        <w:t xml:space="preserve">Übertragbarkeit: </w:t>
      </w:r>
      <w:r>
        <w:rPr>
          <w:sz w:val="19"/>
        </w:rPr>
        <w:t>Deutsche Routinedaten zur ePA-Implementierung; hochgradig systemrelevant für deutsches Versorgungssystem.</w:t>
      </w:r>
    </w:p>
    <w:p>
      <w:r>
        <w:rPr>
          <w:color w:val="5A7D3A"/>
          <w:sz w:val="18"/>
        </w:rPr>
        <w:t>https://pubmed.ncbi.nlm.nih.gov/42766713/</w:t>
      </w:r>
    </w:p>
    <w:p>
      <w:pPr>
        <w:pStyle w:val="Heading2"/>
      </w:pPr>
      <w:r>
        <w:t>Framework für klinische Bewertung von Large Language Models in der Patientenedukation</w:t>
      </w:r>
    </w:p>
    <w:p>
      <w:r>
        <w:rPr>
          <w:i/>
          <w:color w:val="666666"/>
          <w:sz w:val="18"/>
        </w:rPr>
        <w:t>Austria D et al.  ·  JMIR Form Res  ·  21.09.2026  ·  PMID 42766478</w:t>
      </w:r>
    </w:p>
    <w:p>
      <w:r>
        <w:t>Positions- und konzeptionelle Arbeit, die ein kliniker-zentriertes Evaluierungsframework (TAM-MCRS) für LLM-generierte Patientenedukation integriert Technology Acceptance Model und Medical Condition Regard Scale.</w:t>
      </w:r>
    </w:p>
    <w:p>
      <w:r>
        <w:rPr>
          <w:b/>
        </w:rPr>
        <w:t xml:space="preserve">Ergebnis: </w:t>
      </w:r>
      <w:r>
        <w:t>Das Framework kombiniert Usefulness/Completeness mit Ease of Use/Appropriateness und erfasst dabei Evaluator-Attitudinalvarianz durch MCRS als Kovariate. Ziel ist objektive, klinisch realistische und disparity-responsive Evidenz zur Qualität von LLM-generierten Unterlagen für Patientenbildung.</w:t>
      </w:r>
    </w:p>
    <w:p>
      <w:r>
        <w:rPr>
          <w:b/>
          <w:sz w:val="19"/>
        </w:rPr>
        <w:t xml:space="preserve">Übertragbarkeit: </w:t>
      </w:r>
      <w:r>
        <w:rPr>
          <w:sz w:val="19"/>
        </w:rPr>
        <w:t>Theoretischer Ansatz systemunabhängig, aber Methodenentwicklung US-fokussiert; nur bedingt übertragbar.</w:t>
      </w:r>
    </w:p>
    <w:p>
      <w:r>
        <w:rPr>
          <w:color w:val="5A7D3A"/>
          <w:sz w:val="18"/>
        </w:rPr>
        <w:t>https://pubmed.ncbi.nlm.nih.gov/42766478/</w:t>
      </w:r>
    </w:p>
    <w:p>
      <w:pPr>
        <w:pStyle w:val="Heading2"/>
      </w:pPr>
      <w:r>
        <w:t>Kontextfaktoren und Lernbedarfe bei Leitlinienentwicklung: qualitative Multiplenfall-Studie</w:t>
      </w:r>
    </w:p>
    <w:p>
      <w:r>
        <w:rPr>
          <w:i/>
          <w:color w:val="666666"/>
          <w:sz w:val="18"/>
        </w:rPr>
        <w:t>de Mortier CA et al.  ·  Med Teach  ·  21.09.2026  ·  PMID 42766408</w:t>
      </w:r>
    </w:p>
    <w:p>
      <w:r>
        <w:t>Qualitative Längsschnittstudie mit 18 Panelmitgliedern und 10 Projektleitern in 5 niederländischen Leitlinienprojekten; Analyse, welche kontextuellen Faktoren die Lernbedarfe in der Guideline-Entwicklung prägen.</w:t>
      </w:r>
    </w:p>
    <w:p>
      <w:r>
        <w:rPr>
          <w:b/>
        </w:rPr>
        <w:t xml:space="preserve">Ergebnis: </w:t>
      </w:r>
      <w:r>
        <w:t>Drei interaktive Themen beeinflussen Lernbedarfe: Leitlinienthema (Zusammensetzung, Methodik, Evidenzunsicherheit), Partizipationsdynamiken (Hierarchie, Sicherheit), Aufgabenverteilung. Methodische Kompetenz allein genügt nicht; Lernbedarfe entstehen aus Kombination aller drei Faktoren. Empfehlung: flexible, kontextsensitive und rollenpezifische Bildungsinitiativen.</w:t>
      </w:r>
    </w:p>
    <w:p>
      <w:r>
        <w:rPr>
          <w:b/>
          <w:sz w:val="19"/>
        </w:rPr>
        <w:t xml:space="preserve">Übertragbarkeit: </w:t>
      </w:r>
      <w:r>
        <w:rPr>
          <w:sz w:val="19"/>
        </w:rPr>
        <w:t>Niederlande, Versorgungsforschungs-Setting; gut übertragbar auf deutsches System zur Leitlinienentwicklung.</w:t>
      </w:r>
    </w:p>
    <w:p>
      <w:r>
        <w:rPr>
          <w:color w:val="5A7D3A"/>
          <w:sz w:val="18"/>
        </w:rPr>
        <w:t>https://pubmed.ncbi.nlm.nih.gov/42766408/</w:t>
      </w:r>
    </w:p>
    <w:p>
      <w:pPr>
        <w:pStyle w:val="Heading2"/>
      </w:pPr>
      <w:r>
        <w:t>Länderverglichende Forschungsinfrastruktur für Diabetes-Versorgung im ländlichen Raum</w:t>
      </w:r>
    </w:p>
    <w:p>
      <w:r>
        <w:rPr>
          <w:i/>
          <w:color w:val="666666"/>
          <w:sz w:val="18"/>
        </w:rPr>
        <w:t>Murfet G et al.  ·  Glob Health Action  ·  21.09.2026  ·  PMID 42765135</w:t>
      </w:r>
    </w:p>
    <w:p>
      <w:r>
        <w:t>Konzeptuelle Positionspapier, das ein neues International Consortium for Rural Diabetes Research (ICRDR) vorstellt, um fragmentierte Diabetes-Forschung in ländlichen Regionen zu koordinieren.</w:t>
      </w:r>
    </w:p>
    <w:p>
      <w:r>
        <w:rPr>
          <w:b/>
        </w:rPr>
        <w:t xml:space="preserve">Ergebnis: </w:t>
      </w:r>
      <w:r>
        <w:t>Kernaussage: Ländliche Diabetes-Versorgungsforschung bleibt isoliert und stützt sich auf urbane Evidenz; koordinierte internationale Infrastruktur mit gemeinsamen Prioritäten, Methoden und Outcome-Maßstäben ist erforderlich. Das ICRDR adressiert Zugangsbarrien (Fachkräftemangel, Isolation, fragmentierte Services) durch Multicentre-Studien und Kapazitätsaufbau.</w:t>
      </w:r>
    </w:p>
    <w:p>
      <w:r>
        <w:rPr>
          <w:b/>
          <w:sz w:val="19"/>
        </w:rPr>
        <w:t xml:space="preserve">Übertragbarkeit: </w:t>
      </w:r>
      <w:r>
        <w:rPr>
          <w:sz w:val="19"/>
        </w:rPr>
        <w:t>Konzeptionell und methodisch international orientiert; hilft deutschem System, Evidenzlücken in ländlichen Regionen zu schließen.</w:t>
      </w:r>
    </w:p>
    <w:p>
      <w:r>
        <w:rPr>
          <w:color w:val="5A7D3A"/>
          <w:sz w:val="18"/>
        </w:rPr>
        <w:t>https://pubmed.ncbi.nlm.nih.gov/42765135/</w:t>
      </w:r>
    </w:p>
    <w:p>
      <w:pPr>
        <w:pStyle w:val="Heading2"/>
      </w:pPr>
      <w:r>
        <w:t>Kernoutcome-Set für Shared-Decision-Making-Interventionen: Entwicklungsprotokoll</w:t>
      </w:r>
    </w:p>
    <w:p>
      <w:r>
        <w:rPr>
          <w:i/>
          <w:color w:val="666666"/>
          <w:sz w:val="18"/>
        </w:rPr>
        <w:t>Hoffmann C et al.  ·  BMJ Open  ·  15.09.2026  ·  PMID 42744360</w:t>
      </w:r>
    </w:p>
    <w:p>
      <w:r>
        <w:t>Studienprotokoll zur Entwicklung eines Core Outcome Set (COS) für die Evaluation von Shared-Decision-Making-Interventionen mittels Delphi-Survey und Konsensuskonferenz.</w:t>
      </w:r>
    </w:p>
    <w:p>
      <w:r>
        <w:rPr>
          <w:b/>
        </w:rPr>
        <w:t xml:space="preserve">Ergebnis: </w:t>
      </w:r>
      <w:r>
        <w:t>Geplante Struktur: Schritt 1: Erstellung einer langen Kandidaten-Outcome-Liste durch Literaturanalyse und qualitative Interviews (mind. 20 Stakeholder). Schritt 2: Delphi-Survey mit mind. 150 internationalen Teilnehmern (Profis, Patienten) in zwei Runden zur Priorisierung. Schritt 3: Konsensus per modified nominal group technique. Laufzeit Juni 2025 bis September 2026; Ergebnisse erwartungsgemäß für standardisierte Evaluationspraxis verfügbar.</w:t>
      </w:r>
    </w:p>
    <w:p>
      <w:r>
        <w:rPr>
          <w:b/>
          <w:sz w:val="19"/>
        </w:rPr>
        <w:t xml:space="preserve">Übertragbarkeit: </w:t>
      </w:r>
      <w:r>
        <w:rPr>
          <w:sz w:val="19"/>
        </w:rPr>
        <w:t>Britische Studienkoordination; Shared Decision Making ist international etabliertes Konzept; methodisch auf deutsche SDM-Forschung anwendbar.</w:t>
      </w:r>
    </w:p>
    <w:p>
      <w:r>
        <w:rPr>
          <w:color w:val="5A7D3A"/>
          <w:sz w:val="18"/>
        </w:rPr>
        <w:t>https://pubmed.ncbi.nlm.nih.gov/42744360/</w:t>
      </w:r>
    </w:p>
    <w:p>
      <w:pPr>
        <w:pStyle w:val="Heading1"/>
      </w:pPr>
      <w:r>
        <w:t>Aufgenommen am 21.09.2026</w:t>
      </w:r>
    </w:p>
    <w:p>
      <w:pPr>
        <w:pStyle w:val="Heading2"/>
      </w:pPr>
      <w:r>
        <w:t>Geburtshilfe-Standardisierung: Ballonkatheter und Wehenmuster nach Einleitung</w:t>
      </w:r>
    </w:p>
    <w:p>
      <w:r>
        <w:rPr>
          <w:i/>
          <w:color w:val="666666"/>
          <w:sz w:val="18"/>
        </w:rPr>
        <w:t>Baboeuf A et al.  ·  J Gynecol Obstet Hum Reprod  ·  19.09.2026  ·  PMID 42762855</w:t>
      </w:r>
    </w:p>
    <w:p>
      <w:r>
        <w:t>Retrospektive Evaluierung eines standardisierten Induktionsprotokolls mit Ballonkatheter zur Zervixreifung als Erstlinientherapie vs. freie Wahl in französischer Tertiärklinik.</w:t>
      </w:r>
    </w:p>
    <w:p>
      <w:r>
        <w:rPr>
          <w:b/>
        </w:rPr>
        <w:t xml:space="preserve">Ergebnis: </w:t>
      </w:r>
      <w:r>
        <w:t>Vaginale Geburt innerhalb 24h: 27,3% (Protokoll) vs. 34,0% (Baseline), p=0,18; nächtliche Epiduralanalgesie signifikant weniger häufig nach Protokoll (35,6% vs. 46,2%, p=0,008); 77,4% der Frauen mit Gesamtzufriedenheit einverstanden.</w:t>
      </w:r>
    </w:p>
    <w:p>
      <w:r>
        <w:rPr>
          <w:b/>
          <w:sz w:val="19"/>
        </w:rPr>
        <w:t xml:space="preserve">Übertragbarkeit: </w:t>
      </w:r>
      <w:r>
        <w:rPr>
          <w:sz w:val="19"/>
        </w:rPr>
        <w:t>Französische Tertiärklinik, übertragbare Implementierungsfrage, aber begrenzte klinische Effekte</w:t>
      </w:r>
    </w:p>
    <w:p>
      <w:r>
        <w:rPr>
          <w:color w:val="5A7D3A"/>
          <w:sz w:val="18"/>
        </w:rPr>
        <w:t>https://pubmed.ncbi.nlm.nih.gov/42762855/</w:t>
      </w:r>
    </w:p>
    <w:p>
      <w:pPr>
        <w:pStyle w:val="Heading2"/>
      </w:pPr>
      <w:r>
        <w:t>Palliativversorgungsqualität für Patienten mit schweren psychischen Störungen</w:t>
      </w:r>
    </w:p>
    <w:p>
      <w:r>
        <w:rPr>
          <w:i/>
          <w:color w:val="666666"/>
          <w:sz w:val="18"/>
        </w:rPr>
        <w:t>Bøndergaard K et al.  ·  Omega (Westport)  ·  19.09.2026  ·  PMID 42762069</w:t>
      </w:r>
    </w:p>
    <w:p>
      <w:r>
        <w:t>Querschnitts-Fragebogenstudie mit dänischen Hausärzten und Palliativmedizinern zu Qualität der Palliativbetreuung bei verstorbenen Patienten mit schweren psychischen Störungen.</w:t>
      </w:r>
    </w:p>
    <w:p>
      <w:r>
        <w:rPr>
          <w:b/>
        </w:rPr>
        <w:t xml:space="preserve">Ergebnis: </w:t>
      </w:r>
      <w:r>
        <w:t>123 Fragebogen von 162 (76% Rücklaufquote); die meisten Verläufe als gut oder sehr gut bewertet; qualitative Analyse enthüllte drei Themen: Zusammenarbeit/Timing, Kommunikation/Beziehungen, Komplexität; Koordination und Kommunikation bei Lebensende-Entscheidungen teilweise herausfordernd.</w:t>
      </w:r>
    </w:p>
    <w:p>
      <w:r>
        <w:rPr>
          <w:b/>
          <w:sz w:val="19"/>
        </w:rPr>
        <w:t xml:space="preserve">Übertragbarkeit: </w:t>
      </w:r>
      <w:r>
        <w:rPr>
          <w:sz w:val="19"/>
        </w:rPr>
        <w:t>Dänemark, skandinavisches steuerfinanziertes System mit Hausarztfokus</w:t>
      </w:r>
    </w:p>
    <w:p>
      <w:r>
        <w:rPr>
          <w:color w:val="5A7D3A"/>
          <w:sz w:val="18"/>
        </w:rPr>
        <w:t>https://pubmed.ncbi.nlm.nih.gov/42762069/</w:t>
      </w:r>
    </w:p>
    <w:p>
      <w:pPr>
        <w:pStyle w:val="Heading2"/>
      </w:pPr>
      <w:r>
        <w:t>Angiotensin-Inhibitoren vor elektiver Chirurgie: RCT-Absetzen vs. Fortführen</w:t>
      </w:r>
    </w:p>
    <w:p>
      <w:r>
        <w:rPr>
          <w:i/>
          <w:color w:val="666666"/>
          <w:sz w:val="18"/>
        </w:rPr>
        <w:t>Scott IA et al.  ·  J Hosp Med  ·  19.09.2026  ·  PMID 42762066</w:t>
      </w:r>
    </w:p>
    <w:p>
      <w:r>
        <w:t>Single-Center-RCT zu kardiovaskulären Komplikationen nach elektiver, nicht-kardischer Chirurgie unter Fortführung vs. 24h-Absetzen von ACE-Inhibitoren/ARBs.</w:t>
      </w:r>
    </w:p>
    <w:p>
      <w:r>
        <w:rPr>
          <w:b/>
        </w:rPr>
        <w:t xml:space="preserve">Ergebnis: </w:t>
      </w:r>
      <w:r>
        <w:t>667 Patienten randomisiert (325 Fortführung, 313 Absetzen); primärer Outcome MACE: 2,8% vs. 2,9% (Differenz 0,1%, 95% CI −2,5% bis 2,8%, p=1,00); intraop. Hypotonie 63,5% vs. 60,7%, AKI 7,4% vs. 4,8%; keine signifikanten Unterschiede; Absetzen reduzierte nicht MACE, Hypotonie oder AKI.</w:t>
      </w:r>
    </w:p>
    <w:p>
      <w:r>
        <w:rPr>
          <w:b/>
          <w:sz w:val="19"/>
        </w:rPr>
        <w:t xml:space="preserve">Übertragbarkeit: </w:t>
      </w:r>
      <w:r>
        <w:rPr>
          <w:sz w:val="19"/>
        </w:rPr>
        <w:t>Australische Tertiärklinik, aber klinische Prozessfrage systemunabhängig</w:t>
      </w:r>
    </w:p>
    <w:p>
      <w:r>
        <w:rPr>
          <w:color w:val="5A7D3A"/>
          <w:sz w:val="18"/>
        </w:rPr>
        <w:t>https://pubmed.ncbi.nlm.nih.gov/42762066/</w:t>
      </w:r>
    </w:p>
    <w:p>
      <w:pPr>
        <w:pStyle w:val="Heading2"/>
      </w:pPr>
      <w:r>
        <w:t>Frühe Krebsinzidenz in Nordischen Ländern 2003–2022 mit Projektion bis 2050</w:t>
      </w:r>
    </w:p>
    <w:p>
      <w:r>
        <w:rPr>
          <w:i/>
          <w:color w:val="666666"/>
          <w:sz w:val="18"/>
        </w:rPr>
        <w:t>Johansson AL et al.  ·  Lancet Reg Health Eur  ·  12.09.2026  ·  PMID 42761845</w:t>
      </w:r>
    </w:p>
    <w:p>
      <w:r>
        <w:t>Bevölkerungsbasierte Trendstudie der Inzidenz früher Krebserkrankungen (Alter 20–49) in Nordischen Ländern über 20 Jahre mit Vorhersagen bis 2050.</w:t>
      </w:r>
    </w:p>
    <w:p>
      <w:r>
        <w:rPr>
          <w:b/>
        </w:rPr>
        <w:t xml:space="preserve">Ergebnis: </w:t>
      </w:r>
      <w:r>
        <w:t>Signifikante Inzidenzzunahme bei 12 von 18 Krebsarten; Darmkrebs &lt;35 Jahren höchster EAPC (&gt;2%), mit 9.174 zusätzlichen Fällen (2003–2007 zu 2018–2022: 47.491 zu 56.665); regionale Variation Appalachien und Südosten USA.</w:t>
      </w:r>
    </w:p>
    <w:p>
      <w:r>
        <w:rPr>
          <w:b/>
          <w:sz w:val="19"/>
        </w:rPr>
        <w:t xml:space="preserve">Übertragbarkeit: </w:t>
      </w:r>
      <w:r>
        <w:rPr>
          <w:sz w:val="19"/>
        </w:rPr>
        <w:t>Nordische Länder, vergleichbare Gesundheitssysteme mit guten Datenregistern</w:t>
      </w:r>
    </w:p>
    <w:p>
      <w:r>
        <w:rPr>
          <w:color w:val="5A7D3A"/>
          <w:sz w:val="18"/>
        </w:rPr>
        <w:t>https://pubmed.ncbi.nlm.nih.gov/42761845/</w:t>
      </w:r>
    </w:p>
    <w:p>
      <w:pPr>
        <w:pStyle w:val="Heading2"/>
      </w:pPr>
      <w:r>
        <w:t>Darmkrebsscreening bei sexuellen Minderheiten nach US-Guidelines 2021</w:t>
      </w:r>
    </w:p>
    <w:p>
      <w:r>
        <w:rPr>
          <w:i/>
          <w:color w:val="666666"/>
          <w:sz w:val="18"/>
        </w:rPr>
        <w:t>George L et al.  ·  AJPM Focus  ·  12.05.2026  ·  PMID 42761516</w:t>
      </w:r>
    </w:p>
    <w:p>
      <w:r>
        <w:t>Querschnittsanalyse der Screening-Compliance für Darmkrebs bei sexuellen Minderheiten nach Aktualisierung der USPSTF-Richtlinien (2021), USA 2022.</w:t>
      </w:r>
    </w:p>
    <w:p>
      <w:r>
        <w:rPr>
          <w:b/>
        </w:rPr>
        <w:t xml:space="preserve">Ergebnis: </w:t>
      </w:r>
      <w:r>
        <w:t>Screening-Rate insgesamt: 69,0% (gay/lesbian), 62,7% (bisexual), 58,4% (andere Orientierung), 68,8% (heterosexuell); Personen mit anderer Orientierung signifikant niedriger als heterosexuell (aPR=0,90, 95% CI 0,84–0,97); Dispariät besonders in Alter 65–75 und Frauen.</w:t>
      </w:r>
    </w:p>
    <w:p>
      <w:r>
        <w:rPr>
          <w:b/>
          <w:sz w:val="19"/>
        </w:rPr>
        <w:t xml:space="preserve">Übertragbarkeit: </w:t>
      </w:r>
      <w:r>
        <w:rPr>
          <w:sz w:val="19"/>
        </w:rPr>
        <w:t>USA, aber Screeningdisparität bei Minderheiten systemunabhängig relevant</w:t>
      </w:r>
    </w:p>
    <w:p>
      <w:r>
        <w:rPr>
          <w:color w:val="5A7D3A"/>
          <w:sz w:val="18"/>
        </w:rPr>
        <w:t>https://pubmed.ncbi.nlm.nih.gov/42761516/</w:t>
      </w:r>
    </w:p>
    <w:p>
      <w:pPr>
        <w:pStyle w:val="Heading2"/>
      </w:pPr>
      <w:r>
        <w:t>Kulturelle Diabetes-Schulung: Kosteneffektivität für Marshallese-Bevölkerung</w:t>
      </w:r>
    </w:p>
    <w:p>
      <w:r>
        <w:rPr>
          <w:i/>
          <w:color w:val="666666"/>
          <w:sz w:val="18"/>
        </w:rPr>
        <w:t>Lamprecht-Carson D et al.  ·  Diabetes Obes Metab  ·  17.09.2026  ·  PMID 42755138</w:t>
      </w:r>
    </w:p>
    <w:p>
      <w:r>
        <w:t>Markov-Modell zur Kosteneffektivität eines kulturell angepassten Diabetes-Selbstmanagement-Programms vs. Standard-DSME für Marshallese-Erwachsene mit Typ-2-Diabetes.</w:t>
      </w:r>
    </w:p>
    <w:p>
      <w:r>
        <w:rPr>
          <w:b/>
        </w:rPr>
        <w:t xml:space="preserve">Ergebnis: </w:t>
      </w:r>
      <w:r>
        <w:t>Kulturell angepasstes Programm cost-effective mit ICER von 3.083 Dollar pro QALY; in 87,1% der Simulationen bevorzugte Strategie bei WTP 50.000 Dollar pro QALY; bescheidene aber relevante Unterschiede zwischen Interventionszenarien.</w:t>
      </w:r>
    </w:p>
    <w:p>
      <w:r>
        <w:rPr>
          <w:b/>
          <w:sz w:val="19"/>
        </w:rPr>
        <w:t xml:space="preserve">Übertragbarkeit: </w:t>
      </w:r>
      <w:r>
        <w:rPr>
          <w:sz w:val="19"/>
        </w:rPr>
        <w:t>USA-Daten, aber Fragestellung zur Kultursensitivität systemunabhängig transferierbar</w:t>
      </w:r>
    </w:p>
    <w:p>
      <w:r>
        <w:rPr>
          <w:color w:val="5A7D3A"/>
          <w:sz w:val="18"/>
        </w:rPr>
        <w:t>https://pubmed.ncbi.nlm.nih.gov/42755138/</w:t>
      </w:r>
    </w:p>
    <w:p>
      <w:pPr>
        <w:pStyle w:val="Heading1"/>
      </w:pPr>
      <w:r>
        <w:t>Aufgenommen am 20.09.2026</w:t>
      </w:r>
    </w:p>
    <w:p>
      <w:pPr>
        <w:pStyle w:val="Heading2"/>
      </w:pPr>
      <w:r>
        <w:t>Workplace-Health-Promotion in Pflegeheimen: qualitative Prozessevaluation</w:t>
      </w:r>
    </w:p>
    <w:p>
      <w:r>
        <w:rPr>
          <w:i/>
          <w:color w:val="666666"/>
          <w:sz w:val="18"/>
        </w:rPr>
        <w:t>Czakert J et al.  ·  Front Public Health  ·  04.09.2026  ·  PMID 42761123</w:t>
      </w:r>
    </w:p>
    <w:p>
      <w:r>
        <w:t>Qualitative Prozessevaluation zur Entwicklung und Implementierung von drei WHP-Workshops in einem Pilotheim nach RE-AIM-Framework.</w:t>
      </w:r>
    </w:p>
    <w:p>
      <w:r>
        <w:rPr>
          <w:b/>
        </w:rPr>
        <w:t xml:space="preserve">Ergebnis: </w:t>
      </w:r>
      <w:r>
        <w:t>Entwicklung aus sieben Phasen. Etwa ein Drittel der Teilnehmenden aktiv involviert, andere passiv oder resistiv. Engagement variabel, Schlüsselhemmnisse: Motivation, wahrgenommene Relevanz, Gruppendynamik, Fatigue, Sprachbarrieren. Zentral: organisatorische Vorbereitung und Partizipation.</w:t>
      </w:r>
    </w:p>
    <w:p>
      <w:r>
        <w:rPr>
          <w:b/>
          <w:sz w:val="19"/>
        </w:rPr>
        <w:t xml:space="preserve">Übertragbarkeit: </w:t>
      </w:r>
      <w:r>
        <w:rPr>
          <w:sz w:val="19"/>
        </w:rPr>
        <w:t>Deutschland, Langzeitpflegesektor, hohe Relevanz für Implementierungspraxis</w:t>
      </w:r>
    </w:p>
    <w:p>
      <w:r>
        <w:rPr>
          <w:color w:val="5A7D3A"/>
          <w:sz w:val="18"/>
        </w:rPr>
        <w:t>https://pubmed.ncbi.nlm.nih.gov/42761123/</w:t>
      </w:r>
    </w:p>
    <w:p>
      <w:pPr>
        <w:pStyle w:val="Heading2"/>
      </w:pPr>
      <w:r>
        <w:t>Regionale Disparitäten Zahngesundheit Deutschland</w:t>
      </w:r>
    </w:p>
    <w:p>
      <w:r>
        <w:rPr>
          <w:i/>
          <w:color w:val="666666"/>
          <w:sz w:val="18"/>
        </w:rPr>
        <w:t>Gortschakow J et al.  ·  J Clin Periodontol  ·  18.09.2026  ·  PMID 42760791</w:t>
      </w:r>
    </w:p>
    <w:p>
      <w:r>
        <w:t>Bevölkerungsstudie mit 184.871 Erwachsenen untersucht Prävalenz von Zahnlosigkeit und Taschentiefen bundesweit mittels klinischer Untersuchung.</w:t>
      </w:r>
    </w:p>
    <w:p>
      <w:r>
        <w:rPr>
          <w:b/>
        </w:rPr>
        <w:t xml:space="preserve">Ergebnis: </w:t>
      </w:r>
      <w:r>
        <w:t>Zahnlosigkeitsprävalenz: 1,7 % (95%-KI 1,6–1,9). Mittlere Taschentiefe: 1,89 mm (1,87–1,91). Deutliche regionale Disparitäten von 1,3 % (Augsburg/Regensburg) bis 2,3 % (Neubrandenburg).</w:t>
      </w:r>
    </w:p>
    <w:p>
      <w:r>
        <w:rPr>
          <w:b/>
          <w:sz w:val="19"/>
        </w:rPr>
        <w:t xml:space="preserve">Übertragbarkeit: </w:t>
      </w:r>
      <w:r>
        <w:rPr>
          <w:sz w:val="19"/>
        </w:rPr>
        <w:t>Deutsche Routinedaten aus Kohorte, exzellente Übertragbarkeit</w:t>
      </w:r>
    </w:p>
    <w:p>
      <w:r>
        <w:rPr>
          <w:color w:val="5A7D3A"/>
          <w:sz w:val="18"/>
        </w:rPr>
        <w:t>https://pubmed.ncbi.nlm.nih.gov/42760791/</w:t>
      </w:r>
    </w:p>
    <w:p>
      <w:pPr>
        <w:pStyle w:val="Heading2"/>
      </w:pPr>
      <w:r>
        <w:t>Arbeitsbelastung und Berufsverbleib in Gesundheitsberufen</w:t>
      </w:r>
    </w:p>
    <w:p>
      <w:r>
        <w:rPr>
          <w:i/>
          <w:color w:val="666666"/>
          <w:sz w:val="18"/>
        </w:rPr>
        <w:t>Andersson Hammar I et al.  ·  BMC Health Serv Res  ·  17.09.2026  ·  PMID 42760563</w:t>
      </w:r>
    </w:p>
    <w:p>
      <w:r>
        <w:t>Längsschnittstudie untersuchte Zusammenhänge zwischen Arbeitserfahrungen, Gesundheit und Verbleibsabsicht bei Fachpersonen drei Jahre nach Berufsstart.</w:t>
      </w:r>
    </w:p>
    <w:p>
      <w:r>
        <w:rPr>
          <w:b/>
        </w:rPr>
        <w:t xml:space="preserve">Ergebnis: </w:t>
      </w:r>
      <w:r>
        <w:t>Höhere Arbeitszufriedenheit war mit besserer Gesundheit und deutlich gestärkter Absicht zum Verbleib in der Profession assoziiert. Die 30–36-Jährigen zeigten niedrigere Verbleibsabsicht als jüngere und ältere Kohorten.</w:t>
      </w:r>
    </w:p>
    <w:p>
      <w:r>
        <w:rPr>
          <w:b/>
          <w:sz w:val="19"/>
        </w:rPr>
        <w:t xml:space="preserve">Übertragbarkeit: </w:t>
      </w:r>
      <w:r>
        <w:rPr>
          <w:sz w:val="19"/>
        </w:rPr>
        <w:t>Schweden, gut übertragbar auf deutsches Gesundheitssystem und Arbeitskontexte</w:t>
      </w:r>
    </w:p>
    <w:p>
      <w:r>
        <w:rPr>
          <w:color w:val="5A7D3A"/>
          <w:sz w:val="18"/>
        </w:rPr>
        <w:t>https://pubmed.ncbi.nlm.nih.gov/42760563/</w:t>
      </w:r>
    </w:p>
    <w:p>
      <w:pPr>
        <w:pStyle w:val="Heading2"/>
      </w:pPr>
      <w:r>
        <w:t>Apotheker-Intervention bei koronaren Patienten: Medication-Review-Studie</w:t>
      </w:r>
    </w:p>
    <w:p>
      <w:r>
        <w:rPr>
          <w:i/>
          <w:color w:val="666666"/>
          <w:sz w:val="18"/>
        </w:rPr>
        <w:t>Östbring MJ et al.  ·  BMC Health Serv Res  ·  15.09.2026  ·  PMID 42760559</w:t>
      </w:r>
    </w:p>
    <w:p>
      <w:r>
        <w:t>Prozessevaluation eines randomisierten Trials zu pharmazeutisch-gesteuerter Adhärence-Intervention mittels Motivierender Gesprächsführung bei Herzkranken.</w:t>
      </w:r>
    </w:p>
    <w:p>
      <w:r>
        <w:rPr>
          <w:b/>
        </w:rPr>
        <w:t xml:space="preserve">Ergebnis: </w:t>
      </w:r>
      <w:r>
        <w:t>Klinische Apotheker identifizierten durchschnittlich 4,3 medikationsbezogene Probleme pro Patient. In 194 von 218 bekannten Fällen wurde das Problem gelöst/verbessert. 52,8 % der Interventionsgruppe vs. 31,0 % der Kontrollgruppe verschoben sich zu akzeptierenderer Arzneimittelhaltung (p = 0,051).</w:t>
      </w:r>
    </w:p>
    <w:p>
      <w:r>
        <w:rPr>
          <w:b/>
          <w:sz w:val="19"/>
        </w:rPr>
        <w:t xml:space="preserve">Übertragbarkeit: </w:t>
      </w:r>
      <w:r>
        <w:rPr>
          <w:sz w:val="19"/>
        </w:rPr>
        <w:t>Schweden, Sozialversicherungssystem, pharmazeutische Versorgungsrollen</w:t>
      </w:r>
    </w:p>
    <w:p>
      <w:r>
        <w:rPr>
          <w:color w:val="5A7D3A"/>
          <w:sz w:val="18"/>
        </w:rPr>
        <w:t>https://pubmed.ncbi.nlm.nih.gov/42760559/</w:t>
      </w:r>
    </w:p>
    <w:p>
      <w:pPr>
        <w:pStyle w:val="Heading2"/>
      </w:pPr>
      <w:r>
        <w:t>Psychische Gesundheit peripartal: Screening-Barrieren in Indien</w:t>
      </w:r>
    </w:p>
    <w:p>
      <w:r>
        <w:rPr>
          <w:i/>
          <w:color w:val="666666"/>
          <w:sz w:val="18"/>
        </w:rPr>
        <w:t>Basu P et al.  ·  BMC Health Serv Res  ·  03.08.2026  ·  PMID 42760554</w:t>
      </w:r>
    </w:p>
    <w:p>
      <w:r>
        <w:t>Qualitative Studie zu Hemmnissen und Facilitatoren von perinataler psychischer Gesundheitsscreening aus Perspektive von Frauen und Angehörigen des Gesundheitswesens.</w:t>
      </w:r>
    </w:p>
    <w:p>
      <w:r>
        <w:rPr>
          <w:b/>
        </w:rPr>
        <w:t xml:space="preserve">Ergebnis: </w:t>
      </w:r>
      <w:r>
        <w:t>Facilitatoren: etabliertes Referralsystem, Medikamentenverfügbarkeit, Datenschutz. Barrieren: fragmentierte Services, hohe Arbeitsbelastung, Stigma, unzureichende Schulung, mangelndes Vertrauen. Familienpräsenz behinderte offene Diskussionen.</w:t>
      </w:r>
    </w:p>
    <w:p>
      <w:r>
        <w:rPr>
          <w:b/>
          <w:sz w:val="19"/>
        </w:rPr>
        <w:t xml:space="preserve">Übertragbarkeit: </w:t>
      </w:r>
      <w:r>
        <w:rPr>
          <w:sz w:val="19"/>
        </w:rPr>
        <w:t>Indien; Fragestellung systemunabhängig, aber Übertragbarkeit limitiert durch andere Ressourcenlage</w:t>
      </w:r>
    </w:p>
    <w:p>
      <w:r>
        <w:rPr>
          <w:color w:val="5A7D3A"/>
          <w:sz w:val="18"/>
        </w:rPr>
        <w:t>https://pubmed.ncbi.nlm.nih.gov/42760554/</w:t>
      </w:r>
    </w:p>
    <w:p>
      <w:pPr>
        <w:pStyle w:val="Heading2"/>
      </w:pPr>
      <w:r>
        <w:t>Gestationsdiabetes Südlichasiatische Frauen: PPIE-Insights</w:t>
      </w:r>
    </w:p>
    <w:p>
      <w:r>
        <w:rPr>
          <w:i/>
          <w:color w:val="666666"/>
          <w:sz w:val="18"/>
        </w:rPr>
        <w:t>Dapre E et al.  ·  NIHR Open Res  ·  03.09.2026  ·  PMID 42750677</w:t>
      </w:r>
    </w:p>
    <w:p>
      <w:r>
        <w:t>Patient- und Public-Involvement-Engagement-Studie mit südlichasiatischen Frauen zur Verbesserung der Adhärenz in Ernährungsintervention bei Gestationsdiabetes.</w:t>
      </w:r>
    </w:p>
    <w:p>
      <w:r>
        <w:rPr>
          <w:b/>
        </w:rPr>
        <w:t xml:space="preserve">Ergebnis: </w:t>
      </w:r>
      <w:r>
        <w:t>17 Frauen identifizierten drei Schlüsselprobleme: Vulnerabilität (Vertrauensmangel, Kontrollverlust), Zugänglichkeit (flexible Formate, finanzielle Unterstützung), Mentale Belastung (emotionales Wohlbefinden, Familieneinfluss). Empfehlungen: familienbasierte Essensplanung, visuelle Guides, psychosoziale Unterstützung.</w:t>
      </w:r>
    </w:p>
    <w:p>
      <w:r>
        <w:rPr>
          <w:b/>
          <w:sz w:val="19"/>
        </w:rPr>
        <w:t xml:space="preserve">Übertragbarkeit: </w:t>
      </w:r>
      <w:r>
        <w:rPr>
          <w:sz w:val="19"/>
        </w:rPr>
        <w:t>Qualitative UK-Studie; Fragestellung zu Barrieren und Facilitatoren systemunabhängig</w:t>
      </w:r>
    </w:p>
    <w:p>
      <w:r>
        <w:rPr>
          <w:color w:val="5A7D3A"/>
          <w:sz w:val="18"/>
        </w:rPr>
        <w:t>https://pubmed.ncbi.nlm.nih.gov/42750677/</w:t>
      </w:r>
    </w:p>
    <w:p>
      <w:pPr>
        <w:pStyle w:val="Heading1"/>
      </w:pPr>
      <w:r>
        <w:t>Aufgenommen am 19.09.2026</w:t>
      </w:r>
    </w:p>
    <w:p>
      <w:pPr>
        <w:pStyle w:val="Heading2"/>
      </w:pPr>
      <w:r>
        <w:t>Verbesserung von Peer-Support für Mütter mit HIV in Kenia</w:t>
      </w:r>
    </w:p>
    <w:p>
      <w:r>
        <w:rPr>
          <w:i/>
          <w:color w:val="666666"/>
          <w:sz w:val="18"/>
        </w:rPr>
        <w:t>Carlucci JG et al.  ·  PLOS Glob Public Health  ·  18.09.2026  ·  PMID 42758698</w:t>
      </w:r>
    </w:p>
    <w:p>
      <w:r>
        <w:t>Qualitative Interviews mit 16 Mentor Mothers und 36 Frauen mit HIV in Westkenias PMTCT-Programmen zur Verbesserung von Peer-Support-Diensten.</w:t>
      </w:r>
    </w:p>
    <w:p>
      <w:r>
        <w:rPr>
          <w:b/>
        </w:rPr>
        <w:t xml:space="preserve">Ergebnis: </w:t>
      </w:r>
      <w:r>
        <w:t>Beide Gruppen befürworteten Risikostratifizierung: intensive Services für Hochrisiko-Mütter, weniger intensive für Niedrigrisiko. Zentral: empathische Mentoring-Beziehungen mit geteilten Erfahrungen; nötig aber bessere Aufgabendefinition, Kapazitätsaufbau, faire Kompensation und Ressourcen für ökonomische Barrieren.</w:t>
      </w:r>
    </w:p>
    <w:p>
      <w:r>
        <w:rPr>
          <w:b/>
          <w:sz w:val="19"/>
        </w:rPr>
        <w:t xml:space="preserve">Übertragbarkeit: </w:t>
      </w:r>
      <w:r>
        <w:rPr>
          <w:sz w:val="19"/>
        </w:rPr>
        <w:t>Kenia; Modell zu Peer-Support-Effektivität auf andere LMIC-Kontexte übertragbar</w:t>
      </w:r>
    </w:p>
    <w:p>
      <w:r>
        <w:rPr>
          <w:color w:val="5A7D3A"/>
          <w:sz w:val="18"/>
        </w:rPr>
        <w:t>https://pubmed.ncbi.nlm.nih.gov/42758698/</w:t>
      </w:r>
    </w:p>
    <w:p>
      <w:pPr>
        <w:pStyle w:val="Heading2"/>
      </w:pPr>
      <w:r>
        <w:t>Implementierungsstrategie für betriebliche Rauchentwöhnung mit Anreizen</w:t>
      </w:r>
    </w:p>
    <w:p>
      <w:r>
        <w:rPr>
          <w:i/>
          <w:color w:val="666666"/>
          <w:sz w:val="18"/>
        </w:rPr>
        <w:t>van den Brand FA et al.  ·  PLoS One  ·  18.09.2026  ·  PMID 42758680</w:t>
      </w:r>
    </w:p>
    <w:p>
      <w:r>
        <w:t>Systematische Entwicklung einer Implementierungsstrategie für Workplace-Rauchentwöhnungsprogramme mit finanziellen Anreizen mittels Implementation Mapping in den Niederlanden.</w:t>
      </w:r>
    </w:p>
    <w:p>
      <w:r>
        <w:rPr>
          <w:b/>
        </w:rPr>
        <w:t xml:space="preserve">Ergebnis: </w:t>
      </w:r>
      <w:r>
        <w:t>Identifizierte Schlüsseladoptoren (Geschäftsführung, HR-Manager) und Implementierer sowie sieben Determinanten für erfolgreiche Durchführung. Entwickelte evidenzbasierte Strategien einschließlich Implementierungsleitfaden, Website, Video und Webinar. Stakeholder-Feedback führte zu Verbesserungen.</w:t>
      </w:r>
    </w:p>
    <w:p>
      <w:r>
        <w:rPr>
          <w:b/>
          <w:sz w:val="19"/>
        </w:rPr>
        <w:t xml:space="preserve">Übertragbarkeit: </w:t>
      </w:r>
      <w:r>
        <w:rPr>
          <w:sz w:val="19"/>
        </w:rPr>
        <w:t>Niederlande, ähnliches Sozialversicherungssystem mit Betriebsstruktur</w:t>
      </w:r>
    </w:p>
    <w:p>
      <w:r>
        <w:rPr>
          <w:color w:val="5A7D3A"/>
          <w:sz w:val="18"/>
        </w:rPr>
        <w:t>https://pubmed.ncbi.nlm.nih.gov/42758680/</w:t>
      </w:r>
    </w:p>
    <w:p>
      <w:pPr>
        <w:pStyle w:val="Heading2"/>
      </w:pPr>
      <w:r>
        <w:t>Kognitive Verzerrungen und Nierenfunktions-Risikoperception bei älteren CKD-Patienten</w:t>
      </w:r>
    </w:p>
    <w:p>
      <w:r>
        <w:rPr>
          <w:i/>
          <w:color w:val="666666"/>
          <w:sz w:val="18"/>
        </w:rPr>
        <w:t>Bonnet K et al.  ·  Clin J Am Soc Nephrol  ·  18.09.2026  ·  PMID 42758548</w:t>
      </w:r>
    </w:p>
    <w:p>
      <w:r>
        <w:t>Mixed-Methods-Studie mit Älteren (&gt;60 Jahre) im Stadium 3B–5 CKD zu kognitiven Verzerrungen bei der Wahrnehmung ihres Nierenfunktionsausfallrisikos.</w:t>
      </w:r>
    </w:p>
    <w:p>
      <w:r>
        <w:rPr>
          <w:b/>
        </w:rPr>
        <w:t xml:space="preserve">Ergebnis: </w:t>
      </w:r>
      <w:r>
        <w:t>Nur 24% der Teilnehmer hatten Prognosekonsens (objektives vs. subjektiv wahrgenommenes Risiko). Höhere Patient Activation war unabhängig mit niedrigeren Odds für Unsicherheit assoziiert (OR 0,66; 95%-KI 0,44–0,99). Qualitativ: Empfehlungen für hoffnungsvolle Sprache, Einbeziehen von Angehörigen und numeracy-Berücksichtigung.</w:t>
      </w:r>
    </w:p>
    <w:p>
      <w:r>
        <w:rPr>
          <w:b/>
          <w:sz w:val="19"/>
        </w:rPr>
        <w:t xml:space="preserve">Übertragbarkeit: </w:t>
      </w:r>
      <w:r>
        <w:rPr>
          <w:sz w:val="19"/>
        </w:rPr>
        <w:t>US-Daten, aber Fragestellung zur Patientenkommunikation systemunabhängig</w:t>
      </w:r>
    </w:p>
    <w:p>
      <w:r>
        <w:rPr>
          <w:color w:val="5A7D3A"/>
          <w:sz w:val="18"/>
        </w:rPr>
        <w:t>https://pubmed.ncbi.nlm.nih.gov/42758548/</w:t>
      </w:r>
    </w:p>
    <w:p>
      <w:pPr>
        <w:pStyle w:val="Heading2"/>
      </w:pPr>
      <w:r>
        <w:t>Komplexe-Versorgungsprogramm reduziert Krankenhausnutzung bei Kindern</w:t>
      </w:r>
    </w:p>
    <w:p>
      <w:r>
        <w:rPr>
          <w:i/>
          <w:color w:val="666666"/>
          <w:sz w:val="18"/>
        </w:rPr>
        <w:t>Lee J et al.  ·  J Pediatr Health Care  ·  17.09.2026  ·  PMID 42758058</w:t>
      </w:r>
    </w:p>
    <w:p>
      <w:r>
        <w:t>Retrospektive Kohortenstudie von 71 Kindern mit medizinischer Komplexität in einem Cross-Setting-Komplexcare-Programm mit kleinem Kernteam (2015–2024).</w:t>
      </w:r>
    </w:p>
    <w:p>
      <w:r>
        <w:rPr>
          <w:b/>
        </w:rPr>
        <w:t xml:space="preserve">Ergebnis: </w:t>
      </w:r>
      <w:r>
        <w:t>Hospitalisierungen sanken von 3,5 auf 2,0 pro Jahr (p &lt; 0,001), Verweildauer von 41,5 auf 11,5 Tage pro Jahr (p &lt; 0,001). Adjustierte Analysen zeigten 32% Reduktion bei Hospitalisierungen und 72% bei Verweildauer.</w:t>
      </w:r>
    </w:p>
    <w:p>
      <w:r>
        <w:rPr>
          <w:b/>
          <w:sz w:val="19"/>
        </w:rPr>
        <w:t xml:space="preserve">Übertragbarkeit: </w:t>
      </w:r>
      <w:r>
        <w:rPr>
          <w:sz w:val="19"/>
        </w:rPr>
        <w:t>US-amerikanische Universitätsklinik, aber Modell zum Case Management übertragbar</w:t>
      </w:r>
    </w:p>
    <w:p>
      <w:r>
        <w:rPr>
          <w:color w:val="5A7D3A"/>
          <w:sz w:val="18"/>
        </w:rPr>
        <w:t>https://pubmed.ncbi.nlm.nih.gov/42758058/</w:t>
      </w:r>
    </w:p>
    <w:p>
      <w:pPr>
        <w:pStyle w:val="Heading2"/>
      </w:pPr>
      <w:r>
        <w:t>Barrieren von Frontline-Mitarbeitern bei TB-Diensten in High-Burden-Ländern</w:t>
      </w:r>
    </w:p>
    <w:p>
      <w:r>
        <w:rPr>
          <w:i/>
          <w:color w:val="666666"/>
          <w:sz w:val="18"/>
        </w:rPr>
        <w:t>Cox SR et al.  ·  J Glob Health  ·  18.09.2026  ·  PMID 42757757</w:t>
      </w:r>
    </w:p>
    <w:p>
      <w:r>
        <w:t>Scoping Review von 189 Studien (2010–2025) zu Healthcare-Worker-bezogenen Barrieren bei TB-Prävention, Diagnostik und Behandlung in WHO-High-Burden-Ländern.</w:t>
      </w:r>
    </w:p>
    <w:p>
      <w:r>
        <w:rPr>
          <w:b/>
        </w:rPr>
        <w:t xml:space="preserve">Ergebnis: </w:t>
      </w:r>
      <w:r>
        <w:t>Wissens- und Skill-Lücken waren die häufigsten Barrieren (n = 128 Studien). Weitere Themen: Provider-Patient-Kommunikation, Stigma (n = 74 Studien), Motivation für qualitativ hochwertige TB-Pflege (n = 69 Studien). COM-B-Framework identifizierte umsetzbare Targets.</w:t>
      </w:r>
    </w:p>
    <w:p>
      <w:r>
        <w:rPr>
          <w:b/>
          <w:sz w:val="19"/>
        </w:rPr>
        <w:t xml:space="preserve">Übertragbarkeit: </w:t>
      </w:r>
      <w:r>
        <w:rPr>
          <w:sz w:val="19"/>
        </w:rPr>
        <w:t>Länder mit Ressourcenlimitationen; Erkenntnisse zu HSR-Barrieren international relevant</w:t>
      </w:r>
    </w:p>
    <w:p>
      <w:r>
        <w:rPr>
          <w:color w:val="5A7D3A"/>
          <w:sz w:val="18"/>
        </w:rPr>
        <w:t>https://pubmed.ncbi.nlm.nih.gov/42757757/</w:t>
      </w:r>
    </w:p>
    <w:p>
      <w:pPr>
        <w:pStyle w:val="Heading2"/>
      </w:pPr>
      <w:r>
        <w:t>Strukturierte Laktationsberatung und Muttermilchbanken in deutschen NICUs</w:t>
      </w:r>
    </w:p>
    <w:p>
      <w:r>
        <w:rPr>
          <w:i/>
          <w:color w:val="666666"/>
          <w:sz w:val="18"/>
        </w:rPr>
        <w:t>Köberlein-Neu J et al.  ·  BMC Med  ·  11.09.2026  ·  PMID 42754870</w:t>
      </w:r>
    </w:p>
    <w:p>
      <w:r>
        <w:t>Stepped-Wedge-Cluster-RCT in 15 deutschen Level-I-NICUs zur Wirksamkeit von strukturierter Laktationsberatung mit Donor-Milk-Banking auf ausschließliches Stillen bei Entlassung.</w:t>
      </w:r>
    </w:p>
    <w:p>
      <w:r>
        <w:rPr>
          <w:b/>
        </w:rPr>
        <w:t xml:space="preserve">Ergebnis: </w:t>
      </w:r>
      <w:r>
        <w:t>Ausschließliches Stillen bei Entlassung stieg um 11 Prozentpunkte (95%-KI: 3,0–19,0; p = 0,007) von 43% Baseline. Keine signifikanten Unterschiede in klinischen Komplikationen oder Verweildauer. Implementierbarkeit und Durchführungstreue waren ausreichend (Beratung in 71% wie geplant).</w:t>
      </w:r>
    </w:p>
    <w:p>
      <w:r>
        <w:rPr>
          <w:b/>
          <w:sz w:val="19"/>
        </w:rPr>
        <w:t xml:space="preserve">Übertragbarkeit: </w:t>
      </w:r>
      <w:r>
        <w:rPr>
          <w:sz w:val="19"/>
        </w:rPr>
        <w:t>Deutsche RCT-Daten, gesetzlich versicherte Neugeborene in Universitätskliniken</w:t>
      </w:r>
    </w:p>
    <w:p>
      <w:r>
        <w:rPr>
          <w:color w:val="5A7D3A"/>
          <w:sz w:val="18"/>
        </w:rPr>
        <w:t>https://pubmed.ncbi.nlm.nih.gov/42754870/</w:t>
      </w:r>
    </w:p>
    <w:p>
      <w:pPr>
        <w:pStyle w:val="Heading1"/>
      </w:pPr>
      <w:r>
        <w:t>Aufgenommen am 18.09.2026</w:t>
      </w:r>
    </w:p>
    <w:p>
      <w:pPr>
        <w:pStyle w:val="Heading2"/>
      </w:pPr>
      <w:r>
        <w:t>Workforce readiness for Advance Care Planning in ID services</w:t>
      </w:r>
    </w:p>
    <w:p>
      <w:r>
        <w:rPr>
          <w:i/>
          <w:color w:val="666666"/>
          <w:sz w:val="18"/>
        </w:rPr>
        <w:t>Zeilinger EL Prof Dr et al.  ·  J Pain Symptom Manage  ·  17.09.2026  ·  PMID 42754183</w:t>
      </w:r>
    </w:p>
    <w:p>
      <w:r>
        <w:t>Österreichische Querschnittstudie zur Bereitschaft von Betreuungspersonen in Wohneinrichtungen für Menschen mit Behinderungen, ACP-Gespräche zu führen.</w:t>
      </w:r>
    </w:p>
    <w:p>
      <w:r>
        <w:rPr>
          <w:b/>
        </w:rPr>
        <w:t xml:space="preserve">Ergebnis: </w:t>
      </w:r>
      <w:r>
        <w:t>67,7 % der 127 Befragten kannten Patientenverfügungen, aber nur 1,6 % konnten ACP erklären. 68,5 % fühlten sich komfortabel bei ACP-Gesprächen, 85,8 % sahen ACP als wichtig an, und 77,2 % sahen es als ihre Verantwortung. Fehlende konzeptionelle Vorbereitung trotz hoher Unterstützung für ACP.</w:t>
      </w:r>
    </w:p>
    <w:p>
      <w:r>
        <w:rPr>
          <w:b/>
          <w:sz w:val="19"/>
        </w:rPr>
        <w:t xml:space="preserve">Übertragbarkeit: </w:t>
      </w:r>
      <w:r>
        <w:rPr>
          <w:sz w:val="19"/>
        </w:rPr>
        <w:t>Österreich, ähnliche Systemstruktur und Versorgungskontext wie Deutschland</w:t>
      </w:r>
    </w:p>
    <w:p>
      <w:r>
        <w:rPr>
          <w:color w:val="5A7D3A"/>
          <w:sz w:val="18"/>
        </w:rPr>
        <w:t>https://pubmed.ncbi.nlm.nih.gov/42754183/</w:t>
      </w:r>
    </w:p>
    <w:p>
      <w:pPr>
        <w:pStyle w:val="Heading2"/>
      </w:pPr>
      <w:r>
        <w:t>Multilevel-Faktoren bei Non-Response zu Patient-Reported Outcome Measures</w:t>
      </w:r>
    </w:p>
    <w:p>
      <w:r>
        <w:rPr>
          <w:i/>
          <w:color w:val="666666"/>
          <w:sz w:val="18"/>
        </w:rPr>
        <w:t>Liu JB et al.  ·  Qual Life Res  ·  17.09.2026  ·  PMID 42753022</w:t>
      </w:r>
    </w:p>
    <w:p>
      <w:r>
        <w:t>US-Kohortenanalyse von 12.214 Patienten an fünf Strahlentherapie-Kliniken zu Faktoren auf Patient-, Provider- und Klinikebene, die Non-Response zu PROMIS Global-10 vorhersagen.</w:t>
      </w:r>
    </w:p>
    <w:p>
      <w:r>
        <w:rPr>
          <w:b/>
        </w:rPr>
        <w:t xml:space="preserve">Ergebnis: </w:t>
      </w:r>
      <w:r>
        <w:t>Patient- und Termin-Response-Raten: 35,4 % bzw. 31,7 %; Response variierte zwischen Kliniken 12,8–66,2 %. Nach Adjustierung: jüngste Operation (aOR 1,97) und längere Diagnosedauer (aOR 0,46 für &gt;12 Monate) persistierten. Klinik-Implementierungsfaktoren (späte Programmstartzeit aOR 0,29) waren stärker als Patientenmerkmale.</w:t>
      </w:r>
    </w:p>
    <w:p>
      <w:r>
        <w:rPr>
          <w:b/>
          <w:sz w:val="19"/>
        </w:rPr>
        <w:t xml:space="preserve">Übertragbarkeit: </w:t>
      </w:r>
      <w:r>
        <w:rPr>
          <w:sz w:val="19"/>
        </w:rPr>
        <w:t>USA - Methodologie zu PROM-Implementierung systemunabhängig relevant für deutsches QM</w:t>
      </w:r>
    </w:p>
    <w:p>
      <w:r>
        <w:rPr>
          <w:color w:val="5A7D3A"/>
          <w:sz w:val="18"/>
        </w:rPr>
        <w:t>https://pubmed.ncbi.nlm.nih.gov/42753022/</w:t>
      </w:r>
    </w:p>
    <w:p>
      <w:pPr>
        <w:pStyle w:val="Heading2"/>
      </w:pPr>
      <w:r>
        <w:t>Finanzielle Auswirkungen von Schwangerschaft und Geburt bei Louisiana Medicaid</w:t>
      </w:r>
    </w:p>
    <w:p>
      <w:r>
        <w:rPr>
          <w:i/>
          <w:color w:val="666666"/>
          <w:sz w:val="18"/>
        </w:rPr>
        <w:t>Walker B et al.  ·  Health Serv Res  ·  Okt. 2026  ·  PMID 42751818</w:t>
      </w:r>
    </w:p>
    <w:p>
      <w:r>
        <w:t>US-Studie zu Auswirkungen von Schwangerschaft auf Verschuldung und Kreditscores bei Medicaid-Versicherten, stratifiziert nach Ethnie.</w:t>
      </w:r>
    </w:p>
    <w:p>
      <w:r>
        <w:rPr>
          <w:b/>
        </w:rPr>
        <w:t xml:space="preserve">Ergebnis: </w:t>
      </w:r>
      <w:r>
        <w:t>Nicht-hispanische schwarze Frauen zeigten negative finanzielle Folgen: Kreditscores sanken um 4 Punkte (95%-KI: -5,65 bis -1,81), medizinische Schulden stiegen um 41 USD (KI: 6–75), andere Schulden um 44 USD (KI: 15–74). Nicht-hispanische weiße Frauen zeigten keine nachteiligen Auswirkungen.</w:t>
      </w:r>
    </w:p>
    <w:p>
      <w:r>
        <w:rPr>
          <w:b/>
          <w:sz w:val="19"/>
        </w:rPr>
        <w:t xml:space="preserve">Übertragbarkeit: </w:t>
      </w:r>
      <w:r>
        <w:rPr>
          <w:sz w:val="19"/>
        </w:rPr>
        <w:t>USA/Medicaid - Fragestellung aber zu Equity und Versorgungsgerechtigkeit systemunabhängig relevant</w:t>
      </w:r>
    </w:p>
    <w:p>
      <w:r>
        <w:rPr>
          <w:color w:val="5A7D3A"/>
          <w:sz w:val="18"/>
        </w:rPr>
        <w:t>https://pubmed.ncbi.nlm.nih.gov/42751818/</w:t>
      </w:r>
    </w:p>
    <w:p>
      <w:pPr>
        <w:pStyle w:val="Heading2"/>
      </w:pPr>
      <w:r>
        <w:t>Lernen zur Unterstützung von Klientenautonomie in Pflegepraktika</w:t>
      </w:r>
    </w:p>
    <w:p>
      <w:r>
        <w:rPr>
          <w:i/>
          <w:color w:val="666666"/>
          <w:sz w:val="18"/>
        </w:rPr>
        <w:t>Knibbeler MMCJ et al.  ·  Int J Nurs Stud Adv  ·  05.09.2026  ·  PMID 42751206</w:t>
      </w:r>
    </w:p>
    <w:p>
      <w:r>
        <w:t>Qualitative Studie aus Niederlanden zur Frage, wie Pflegestudierende während des klinischen Praktikums lernen, Klientenautonomie zu unterstützen.</w:t>
      </w:r>
    </w:p>
    <w:p>
      <w:r>
        <w:rPr>
          <w:b/>
        </w:rPr>
        <w:t xml:space="preserve">Ergebnis: </w:t>
      </w:r>
      <w:r>
        <w:t>Autonomieförderung war in der Praxis präsent aber inkonsistent; Betreuer interpretierten Autonomie oft als Selbstständigkeit statt Partizipation in Entscheidungen. Implizites Lernen durch Beobachtung dominierte; strukturierte Reflexion war selten. Supervision und Feedback durch Betreuer waren nicht systematisch.</w:t>
      </w:r>
    </w:p>
    <w:p>
      <w:r>
        <w:rPr>
          <w:b/>
          <w:sz w:val="19"/>
        </w:rPr>
        <w:t xml:space="preserve">Übertragbarkeit: </w:t>
      </w:r>
      <w:r>
        <w:rPr>
          <w:sz w:val="19"/>
        </w:rPr>
        <w:t>Niederlande, vergleichbares Pflegeausbildungssystem und Versorgungskontext</w:t>
      </w:r>
    </w:p>
    <w:p>
      <w:r>
        <w:rPr>
          <w:color w:val="5A7D3A"/>
          <w:sz w:val="18"/>
        </w:rPr>
        <w:t>https://pubmed.ncbi.nlm.nih.gov/42751206/</w:t>
      </w:r>
    </w:p>
    <w:p>
      <w:pPr>
        <w:pStyle w:val="Heading2"/>
      </w:pPr>
      <w:r>
        <w:t>Mundgesundheitspflege in Langzeiteinrichtungen: Barrieren und Enabler</w:t>
      </w:r>
    </w:p>
    <w:p>
      <w:r>
        <w:rPr>
          <w:i/>
          <w:color w:val="666666"/>
          <w:sz w:val="18"/>
        </w:rPr>
        <w:t>Spilsbury K et al.  ·  Int J Nurs Stud Adv  ·  13.08.2026  ·  PMID 42750939</w:t>
      </w:r>
    </w:p>
    <w:p>
      <w:r>
        <w:t>Britische Scoping Review zu Faktoren auf Mikro-, Meso- und Makroebene, die Mundgesundheitspflege durch Personal in Altenheimen beeinflussen.</w:t>
      </w:r>
    </w:p>
    <w:p>
      <w:r>
        <w:rPr>
          <w:b/>
        </w:rPr>
        <w:t xml:space="preserve">Ergebnis: </w:t>
      </w:r>
      <w:r>
        <w:t>63 Studien eingeschlossen. Häufigste Einflussfaktoren im COM-B-Modell waren Opportunity-Faktoren (Umgebung, Ressourcen, soziale Einflüsse). Wichtigste Enabler: Schulung, Mundgesundheitskampagnen, unterstützende Führung, Assessmentsysteme. Schlüsselbarrieren: Personalknappheit, Zeitdruck, begrenzte Schulung, niedrige organisationale Priorität, eingeschränkter Zugang zu Zahnservices.</w:t>
      </w:r>
    </w:p>
    <w:p>
      <w:r>
        <w:rPr>
          <w:b/>
          <w:sz w:val="19"/>
        </w:rPr>
        <w:t xml:space="preserve">Übertragbarkeit: </w:t>
      </w:r>
      <w:r>
        <w:rPr>
          <w:sz w:val="19"/>
        </w:rPr>
        <w:t>Großbritannien, Empfehlungen für Langzeitpflege in Deutschland direkt anwendbar</w:t>
      </w:r>
    </w:p>
    <w:p>
      <w:r>
        <w:rPr>
          <w:color w:val="5A7D3A"/>
          <w:sz w:val="18"/>
        </w:rPr>
        <w:t>https://pubmed.ncbi.nlm.nih.gov/42750939/</w:t>
      </w:r>
    </w:p>
    <w:p>
      <w:pPr>
        <w:pStyle w:val="Heading2"/>
      </w:pPr>
      <w:r>
        <w:t>Algorithmen zur Identifikation von HCBS in Medicaid-Claims</w:t>
      </w:r>
    </w:p>
    <w:p>
      <w:r>
        <w:rPr>
          <w:i/>
          <w:color w:val="666666"/>
          <w:sz w:val="18"/>
        </w:rPr>
        <w:t>Dihwa V et al.  ·  Health Serv Res  ·  Okt. 2026  ·  PMID 42750346</w:t>
      </w:r>
    </w:p>
    <w:p>
      <w:r>
        <w:t>US-Evaluationsstudie von drei Algorithmen zur Identifikation von Home- and Community-Based Services in Medicaid-Daten 2021–2023.</w:t>
      </w:r>
    </w:p>
    <w:p>
      <w:r>
        <w:rPr>
          <w:b/>
        </w:rPr>
        <w:t xml:space="preserve">Ergebnis: </w:t>
      </w:r>
      <w:r>
        <w:t>Zwei bestehende Algorithmen zeigten hohe Übereinstimmung (Po = 93 %, Kappa = 0,77). Ein neuer vereinheitlichter Algorithmus adressierte Diskrepanzen durch Novel-Nutzung von Waiver-IDs. Jedoch zeigten einige Bundesstaaten implausible Zählungen oder große Schwankungen über die Jahre (&gt;50 %), was auf Datenqualitätsprobleme hindeutet.</w:t>
      </w:r>
    </w:p>
    <w:p>
      <w:r>
        <w:rPr>
          <w:b/>
          <w:sz w:val="19"/>
        </w:rPr>
        <w:t xml:space="preserve">Übertragbarkeit: </w:t>
      </w:r>
      <w:r>
        <w:rPr>
          <w:sz w:val="19"/>
        </w:rPr>
        <w:t>USA - Datenqualitätsthematik systemunabhängig, aber nur bedingt auf Deutschland übertragbar</w:t>
      </w:r>
    </w:p>
    <w:p>
      <w:r>
        <w:rPr>
          <w:color w:val="5A7D3A"/>
          <w:sz w:val="18"/>
        </w:rPr>
        <w:t>https://pubmed.ncbi.nlm.nih.gov/42750346/</w:t>
      </w:r>
    </w:p>
    <w:p>
      <w:pPr>
        <w:pStyle w:val="Heading1"/>
      </w:pPr>
      <w:r>
        <w:t>Aufgenommen am 17.09.2026</w:t>
      </w:r>
    </w:p>
    <w:p>
      <w:pPr>
        <w:pStyle w:val="Heading2"/>
      </w:pPr>
      <w:r>
        <w:t>Chirurgische Behandlung von NSCLC in England: Trends, Variation und kurzfristige Ergebnisse 2015–2023</w:t>
      </w:r>
    </w:p>
    <w:p>
      <w:r>
        <w:rPr>
          <w:i/>
          <w:color w:val="666666"/>
          <w:sz w:val="18"/>
        </w:rPr>
        <w:t>Dixon LK et al.  ·  BMJ Open  ·  16.09.2026  ·  PMID 42749376</w:t>
      </w:r>
    </w:p>
    <w:p>
      <w:r>
        <w:t>Bevölkerungsgestützte Kohortenstudie zu Trends in der chirurgischen Praxis, regionalen Unterschieden und postoperativen Outcomes bei Lungenkrebs-Resektion in England über 9 Jahre.</w:t>
      </w:r>
    </w:p>
    <w:p>
      <w:r>
        <w:rPr>
          <w:b/>
        </w:rPr>
        <w:t xml:space="preserve">Ergebnis: </w:t>
      </w:r>
      <w:r>
        <w:t>Resektionsrate stieg von 15,4 % (2015) auf 20,9 % (2023); Segmentektomie von 11,2 % auf 20,6 %, minimal-invasive Chirurgie von 47,1 % auf 79,7 %; 90-Tage-Mortalität sank von 4,03 % auf 2,26 %; Verweildauer verkürzt sich, Wiederaufnahmen stabil bei ~10–12 % – jedoch erhebliche Zentren-Heterogenität in Segmentektomie (10,7–80,3 %) und roboterassistierter Chirurgie (0–67 %).</w:t>
      </w:r>
    </w:p>
    <w:p>
      <w:r>
        <w:rPr>
          <w:b/>
          <w:sz w:val="19"/>
        </w:rPr>
        <w:t xml:space="preserve">Übertragbarkeit: </w:t>
      </w:r>
      <w:r>
        <w:rPr>
          <w:sz w:val="19"/>
        </w:rPr>
        <w:t>England, spezialisierte Thoraxchirurgie-Zentren – systemischer Kontext nur bedingt übertragbar</w:t>
      </w:r>
    </w:p>
    <w:p>
      <w:r>
        <w:rPr>
          <w:color w:val="5A7D3A"/>
          <w:sz w:val="18"/>
        </w:rPr>
        <w:t>https://pubmed.ncbi.nlm.nih.gov/42749376/</w:t>
      </w:r>
    </w:p>
    <w:p>
      <w:pPr>
        <w:pStyle w:val="Heading2"/>
      </w:pPr>
      <w:r>
        <w:t>Hybrid-Telemedizin-Hausbesuch-Modell für Pneumonieversorung: Pilot-Fallserie aus Texas</w:t>
      </w:r>
    </w:p>
    <w:p>
      <w:r>
        <w:rPr>
          <w:i/>
          <w:color w:val="666666"/>
          <w:sz w:val="18"/>
        </w:rPr>
        <w:t>Bourmand R et al.  ·  JMIR Form Res  ·  16.09.2026  ·  PMID 42748457</w:t>
      </w:r>
    </w:p>
    <w:p>
      <w:r>
        <w:t>Retrospektive deskriptive Fallserie (n=28 Patienten mit Pneumoniediagnose) zur Implementierbarkeit und Nutzungsmuster eines Hybrid-Modells aus virtueller ärztlicher Bewertung und trainierter Fachperson im Hausbesuch mit digitalen Diagnostik-Tools.</w:t>
      </w:r>
    </w:p>
    <w:p>
      <w:r>
        <w:rPr>
          <w:b/>
        </w:rPr>
        <w:t xml:space="preserve">Ergebnis: </w:t>
      </w:r>
      <w:r>
        <w:t>28 Patienten mit 56 klinischen Kontakten (Median 2, IQR 1–3 pro Patient); CRB-65-Scores 0–2 (46,4 % Score 0, 46,4 % Score 1, 7,1 % Score 2); 8/28 (28,6 %) zur ED überwiesen; Patienten zur ED überwiesen hatten signifikant höhere CRB-65-Scores (Median 1, IQR 1–1,5 vs. Median 0, IQR 0–1; p=0,01); Modell machbar, aber größere prospektive Vergleichsstudien für Outcomes/Sicherheit erforderlich.</w:t>
      </w:r>
    </w:p>
    <w:p>
      <w:r>
        <w:rPr>
          <w:b/>
          <w:sz w:val="19"/>
        </w:rPr>
        <w:t xml:space="preserve">Übertragbarkeit: </w:t>
      </w:r>
      <w:r>
        <w:rPr>
          <w:sz w:val="19"/>
        </w:rPr>
        <w:t>USA – Fragestellung zur Versorgungsmodellintegration systemunabhängig, aber Kontext Urgent Care begrenzt übertragbar</w:t>
      </w:r>
    </w:p>
    <w:p>
      <w:r>
        <w:rPr>
          <w:color w:val="5A7D3A"/>
          <w:sz w:val="18"/>
        </w:rPr>
        <w:t>https://pubmed.ncbi.nlm.nih.gov/42748457/</w:t>
      </w:r>
    </w:p>
    <w:p>
      <w:pPr>
        <w:pStyle w:val="Heading2"/>
      </w:pPr>
      <w:r>
        <w:t>Elektronische Arzneihinweise verbessern Überweisungen zu Diabetes-Selbstmanagement-Schulung</w:t>
      </w:r>
    </w:p>
    <w:p>
      <w:r>
        <w:rPr>
          <w:i/>
          <w:color w:val="666666"/>
          <w:sz w:val="18"/>
        </w:rPr>
        <w:t>Donahue KE et al.  ·  Diabetes Care  ·  16.09.2026  ·  PMID 42747941</w:t>
      </w:r>
    </w:p>
    <w:p>
      <w:r>
        <w:t>Clusterrandomisierte Studie zur Wirkung von Best-Practice-Advisories im EHR auf Überweisungsquoten zu Diabetes-Selbstmanagement-Schulung (DSMES) über 18 Monate in US-Primärversorgung.</w:t>
      </w:r>
    </w:p>
    <w:p>
      <w:r>
        <w:rPr>
          <w:b/>
        </w:rPr>
        <w:t xml:space="preserve">Ergebnis: </w:t>
      </w:r>
      <w:r>
        <w:t>Nach 12 Monaten: 12,9 % Überweisungsrate in Interventionskliniken vs. 1,2 % in Kontrollen (p&lt;0,001); nach 18 Monaten 13,7 % vs. 1,6 % (p&lt;0,001); adjustierte Odds Ratio 10,55 (95%-KI 4,65–23,94) nach 12 Monaten und 9,44 (95%-KI 4,91–18,17) nach 18 Monaten. Standing Orders erhielten diese Gewinne.</w:t>
      </w:r>
    </w:p>
    <w:p>
      <w:r>
        <w:rPr>
          <w:b/>
          <w:sz w:val="19"/>
        </w:rPr>
        <w:t xml:space="preserve">Übertragbarkeit: </w:t>
      </w:r>
      <w:r>
        <w:rPr>
          <w:sz w:val="19"/>
        </w:rPr>
        <w:t>USA, Primärversorgung – Prozessoptimierung systemunabhängig, aber Anreizsystem unterschiedlich</w:t>
      </w:r>
    </w:p>
    <w:p>
      <w:r>
        <w:rPr>
          <w:color w:val="5A7D3A"/>
          <w:sz w:val="18"/>
        </w:rPr>
        <w:t>https://pubmed.ncbi.nlm.nih.gov/42747941/</w:t>
      </w:r>
    </w:p>
    <w:p>
      <w:pPr>
        <w:pStyle w:val="Heading2"/>
      </w:pPr>
      <w:r>
        <w:t>Mehrebenen-Mehrfach-Fallstudie: Methodik zur Analyse komplexer Versorgungstrajektorien älterer Menschen</w:t>
      </w:r>
    </w:p>
    <w:p>
      <w:r>
        <w:rPr>
          <w:i/>
          <w:color w:val="666666"/>
          <w:sz w:val="18"/>
        </w:rPr>
        <w:t>Dieterich A et al.  ·  Z Gerontol Geriatr  ·  16.09.2026  ·  PMID 42747513</w:t>
      </w:r>
    </w:p>
    <w:p>
      <w:r>
        <w:t>Methodisches Diskussionspapier zur Anwendung von Mehrebenen-Mehrfach-Fallstudien als Forschungsdesign zur empirischen Rekonstruktion komplexer Hilfeverläufe in sektorenübergreifender Versorgung für ältere Menschen.</w:t>
      </w:r>
    </w:p>
    <w:p>
      <w:r>
        <w:rPr>
          <w:b/>
        </w:rPr>
        <w:t xml:space="preserve">Ergebnis: </w:t>
      </w:r>
      <w:r>
        <w:t>Fallkonstellationen auf Mikro- (Interaktion Betroffener, professionelle und informelle Helfer), Meso- (Organisationen, Netzwerke) und Makroebene (Rahmenbedingungen) systematisch verknüpft; Methodenkombination (Interviews, Dokumenten-, Sozialraum-, Netzwerkanalysen, reflexive thematische Analyse) ermöglicht kontextabhängige Bedingungen von Versorgung zu identifizieren; Design eröffnet neue Möglichkeiten für Versorgungsforschung, stellt aber hohe Anforderungen an Feldzugang, Datenintegration und Forschungsethik.</w:t>
      </w:r>
    </w:p>
    <w:p>
      <w:r>
        <w:rPr>
          <w:b/>
          <w:sz w:val="19"/>
        </w:rPr>
        <w:t xml:space="preserve">Übertragbarkeit: </w:t>
      </w:r>
      <w:r>
        <w:rPr>
          <w:sz w:val="19"/>
        </w:rPr>
        <w:t>Deutschland, Versorgungsforschung – direkt anwendbare Methodik für sektorenübergreifende Versorgungsanalyse</w:t>
      </w:r>
    </w:p>
    <w:p>
      <w:r>
        <w:rPr>
          <w:color w:val="5A7D3A"/>
          <w:sz w:val="18"/>
        </w:rPr>
        <w:t>https://pubmed.ncbi.nlm.nih.gov/42747513/</w:t>
      </w:r>
    </w:p>
    <w:p>
      <w:pPr>
        <w:pStyle w:val="Heading2"/>
      </w:pPr>
      <w:r>
        <w:t>Zusammenarbeit und Partizipation in integrierter Versorgung: Sicht von Managern mit komplexen Bedarf</w:t>
      </w:r>
    </w:p>
    <w:p>
      <w:r>
        <w:rPr>
          <w:i/>
          <w:color w:val="666666"/>
          <w:sz w:val="18"/>
        </w:rPr>
        <w:t>Hjelm M et al.  ·  BMC Health Serv Res  ·  12.09.2026  ·  PMID 42745286</w:t>
      </w:r>
    </w:p>
    <w:p>
      <w:r>
        <w:t>Qualitative Fokusgruppenstudie (n=13 Manager) zu Barrieren und Facilitatoren interprofessioneller Zusammenarbeit und Patientenbeteiligung in integrierter Gesundheits- und Sozialversorgung für Erwachsene mit komplexen Bedarfen in Schweden.</w:t>
      </w:r>
    </w:p>
    <w:p>
      <w:r>
        <w:rPr>
          <w:b/>
        </w:rPr>
        <w:t xml:space="preserve">Ergebnis: </w:t>
      </w:r>
      <w:r>
        <w:t>Drei zentrale Kategorien identifiziert: (1) organisatorische Voraussetzungen für nachhaltige Verbesserung integrierter Versorgung, (2) interprofessionelle Zusammenarbeit zur Bedarfserfassung, (3) relationale und bedarfsgerechte Ansätze; Kluft zwischen Intention und Implementierung von personenzentrierter, integrierter Versorgung erkannt; Vertrauen, klare Governance und organisatorische Kontinuität als Schlüsselfaktoren.</w:t>
      </w:r>
    </w:p>
    <w:p>
      <w:r>
        <w:rPr>
          <w:b/>
          <w:sz w:val="19"/>
        </w:rPr>
        <w:t xml:space="preserve">Übertragbarkeit: </w:t>
      </w:r>
      <w:r>
        <w:rPr>
          <w:sz w:val="19"/>
        </w:rPr>
        <w:t>Schweden – Primärversorgung und Koordinationsprozesse gut übertragbar auf Deutschland</w:t>
      </w:r>
    </w:p>
    <w:p>
      <w:r>
        <w:rPr>
          <w:color w:val="5A7D3A"/>
          <w:sz w:val="18"/>
        </w:rPr>
        <w:t>https://pubmed.ncbi.nlm.nih.gov/42745286/</w:t>
      </w:r>
    </w:p>
    <w:p>
      <w:pPr>
        <w:pStyle w:val="Heading2"/>
      </w:pPr>
      <w:r>
        <w:t>Lungenkrebs-Screening in Flandern: Barrieren und Facilitatoren aus Stakeholder-Perspektive</w:t>
      </w:r>
    </w:p>
    <w:p>
      <w:r>
        <w:rPr>
          <w:i/>
          <w:color w:val="666666"/>
          <w:sz w:val="18"/>
        </w:rPr>
        <w:t>Michiels L et al.  ·  BMC Health Serv Res  ·  31.08.2026  ·  PMID 42745254</w:t>
      </w:r>
    </w:p>
    <w:p>
      <w:r>
        <w:t>Qualitative exploratorische Studie (22 Gesundheitsfachpersonen, 13 Screening-Berechtigte) zu Implementierungs- und Partizipationsbarrieren sowie Facilitatoren für bevölkerungsgestütztes Lungenkrebs-Screening mit Niedrig-Dosis-CT in Belgien.</w:t>
      </w:r>
    </w:p>
    <w:p>
      <w:r>
        <w:rPr>
          <w:b/>
        </w:rPr>
        <w:t xml:space="preserve">Ergebnis: </w:t>
      </w:r>
      <w:r>
        <w:t>Überwiegend positive Einstellung zum Screening, aber Barrieren: Stigma bezüglich Rauchen, begrenzte Gesundheitskompetenz, indirekte finanzielle/logistische Hindernisse, Angst vor Screening und Warten auf Ergebnisse, Workload-Bedenken, Schulungsbedarf bei Fachpersonen; Facilitatoren: klare Richtlinien, staatliche Koordination/Finanzierung, Integration in Workflows, Zugänglichkeit, public awareness, vertrauensbasierte Kommunikation ohne Wertung.</w:t>
      </w:r>
    </w:p>
    <w:p>
      <w:r>
        <w:rPr>
          <w:b/>
          <w:sz w:val="19"/>
        </w:rPr>
        <w:t xml:space="preserve">Übertragbarkeit: </w:t>
      </w:r>
      <w:r>
        <w:rPr>
          <w:sz w:val="19"/>
        </w:rPr>
        <w:t>Belgien, vergleichbares Sozialversicherungssystem mit ähnlichen Implementierungshürden</w:t>
      </w:r>
    </w:p>
    <w:p>
      <w:r>
        <w:rPr>
          <w:color w:val="5A7D3A"/>
          <w:sz w:val="18"/>
        </w:rPr>
        <w:t>https://pubmed.ncbi.nlm.nih.gov/42745254/</w:t>
      </w:r>
    </w:p>
    <w:p>
      <w:pPr>
        <w:pStyle w:val="Heading2"/>
      </w:pPr>
      <w:r>
        <w:t>Digitale Versorgungstechnologien für ältere Menschen: Anforderungen für Erfahrung als gute Versorgung</w:t>
      </w:r>
    </w:p>
    <w:p>
      <w:r>
        <w:rPr>
          <w:i/>
          <w:color w:val="666666"/>
          <w:sz w:val="18"/>
        </w:rPr>
        <w:t>Kruithof K et al.  ·  BMC Health Serv Res  ·  05.08.2026  ·  PMID 42745252</w:t>
      </w:r>
    </w:p>
    <w:p>
      <w:r>
        <w:t>Qualitative Studie (n=27 wohnhaft lebende ältere Menschen) zu Bedingungen, unter denen digitale Pflege- und Unterstützungstechnologien von älteren Menschen als gute Versorgung wahrgenommen werden.</w:t>
      </w:r>
    </w:p>
    <w:p>
      <w:r>
        <w:rPr>
          <w:b/>
        </w:rPr>
        <w:t xml:space="preserve">Ergebnis: </w:t>
      </w:r>
      <w:r>
        <w:t>Technologien als gute Versorgung erlebt, wenn sie (1) Bedarf und Gewohnheiten entsprechen, (2) Fähigkeiten unterstützen, (3) Werte respektieren; aktive Rolle bei Technologiewahl assoziiert mit Altern-in-place und verbesserter Zugänglichkeit/Sicherheit/Autonomie; von Betreuerseite eingeführte Technologien oft als unnötig wahrgenommen und nicht genutzt; Technologien können reduziertem menschlichem Kontakt und Zugänglichkeitsmängeln schaden.</w:t>
      </w:r>
    </w:p>
    <w:p>
      <w:r>
        <w:rPr>
          <w:b/>
          <w:sz w:val="19"/>
        </w:rPr>
        <w:t xml:space="preserve">Übertragbarkeit: </w:t>
      </w:r>
      <w:r>
        <w:rPr>
          <w:sz w:val="19"/>
        </w:rPr>
        <w:t>Niederlande, ähnliches Gesundheitssystem – Implementierung digitaler Lösungen systemunabhängig</w:t>
      </w:r>
    </w:p>
    <w:p>
      <w:r>
        <w:rPr>
          <w:color w:val="5A7D3A"/>
          <w:sz w:val="18"/>
        </w:rPr>
        <w:t>https://pubmed.ncbi.nlm.nih.gov/42745252/</w:t>
      </w:r>
    </w:p>
    <w:p>
      <w:pPr>
        <w:pStyle w:val="Heading1"/>
      </w:pPr>
      <w:r>
        <w:t>Aufgenommen am 16.09.2026</w:t>
      </w:r>
    </w:p>
    <w:p>
      <w:pPr>
        <w:pStyle w:val="Heading2"/>
      </w:pPr>
      <w:r>
        <w:t>Pragmatisches Vorhersagemodell für Asthma-Klinikreadmissionen</w:t>
      </w:r>
    </w:p>
    <w:p>
      <w:r>
        <w:rPr>
          <w:i/>
          <w:color w:val="666666"/>
          <w:sz w:val="18"/>
        </w:rPr>
        <w:t>Tay TR et al.  ·  Respir Med  ·  15.09.2026  ·  PMID 42744205</w:t>
      </w:r>
    </w:p>
    <w:p>
      <w:r>
        <w:t>Entwicklung und externe Validierung eines neunfaktoriellen Vorhersagemodells für Krankenhauswiederaufnahmen nach Asthmaexazerbation innerhalb von 12 Monaten.</w:t>
      </w:r>
    </w:p>
    <w:p>
      <w:r>
        <w:rPr>
          <w:b/>
        </w:rPr>
        <w:t xml:space="preserve">Ergebnis: </w:t>
      </w:r>
      <w:r>
        <w:t>READMIT-Modell zeigte gute Diskriminierung im Entwicklungs-(AUC 0,748; 95% KI 0,711–0,785) und externen Kohort (AUC 0,737; 95% KI 0,712–0,762), mit zufriedenstellender Kalibrierung.</w:t>
      </w:r>
    </w:p>
    <w:p>
      <w:r>
        <w:rPr>
          <w:b/>
          <w:sz w:val="19"/>
        </w:rPr>
        <w:t xml:space="preserve">Übertragbarkeit: </w:t>
      </w:r>
      <w:r>
        <w:rPr>
          <w:sz w:val="19"/>
        </w:rPr>
        <w:t>Singapur-Daten, aber Fragestellung zu klinischen Prozessen systemunabhängig</w:t>
      </w:r>
    </w:p>
    <w:p>
      <w:r>
        <w:rPr>
          <w:color w:val="5A7D3A"/>
          <w:sz w:val="18"/>
        </w:rPr>
        <w:t>https://pubmed.ncbi.nlm.nih.gov/42744205/</w:t>
      </w:r>
    </w:p>
    <w:p>
      <w:pPr>
        <w:pStyle w:val="Heading2"/>
      </w:pPr>
      <w:r>
        <w:t>Buprenorphin-Verordnungen nach Einführung eines niedrigschwelligen virtuellen Netzwerks</w:t>
      </w:r>
    </w:p>
    <w:p>
      <w:r>
        <w:rPr>
          <w:i/>
          <w:color w:val="666666"/>
          <w:sz w:val="18"/>
        </w:rPr>
        <w:t>Lindenfeld Z et al.  ·  J Subst Use Addict Treat  ·  15.09.2026  ·  PMID 42744115</w:t>
      </w:r>
    </w:p>
    <w:p>
      <w:r>
        <w:t>Analyse der Auswirkungen eines kommunalen Rapid-Access-Modells (RealFix) mit virtuellen Anbietern auf die Buprenorphin-Verschreibungen in Paterson, New Jersey, mittels Differenzen-in-Differenzen-Analyse (2021–2025).</w:t>
      </w:r>
    </w:p>
    <w:p>
      <w:r>
        <w:rPr>
          <w:b/>
        </w:rPr>
        <w:t xml:space="preserve">Ergebnis: </w:t>
      </w:r>
      <w:r>
        <w:t>RealFix war mit Zunahmen von 66,5–76,8 Buprenorphin-Rezepten pro 10.000 Einwohner monatlich verbunden (14,6–17,0% Anstieg über Kontrollgruppen hinaus); Retentionseffekte waren gemischt.</w:t>
      </w:r>
    </w:p>
    <w:p>
      <w:r>
        <w:rPr>
          <w:b/>
          <w:sz w:val="19"/>
        </w:rPr>
        <w:t xml:space="preserve">Übertragbarkeit: </w:t>
      </w:r>
      <w:r>
        <w:rPr>
          <w:sz w:val="19"/>
        </w:rPr>
        <w:t>USA (Medicaid)-Daten, aber Fragestellung zu niedrigschwelliger Zugangssteuerung auf andere Systeme übertragbar</w:t>
      </w:r>
    </w:p>
    <w:p>
      <w:r>
        <w:rPr>
          <w:color w:val="5A7D3A"/>
          <w:sz w:val="18"/>
        </w:rPr>
        <w:t>https://pubmed.ncbi.nlm.nih.gov/42744115/</w:t>
      </w:r>
    </w:p>
    <w:p>
      <w:pPr>
        <w:pStyle w:val="Heading2"/>
      </w:pPr>
      <w:r>
        <w:t>Routinedaten in der onkologischen Versorgungsforschung: Chancen und Herausforderungen</w:t>
      </w:r>
    </w:p>
    <w:p>
      <w:r>
        <w:rPr>
          <w:i/>
          <w:color w:val="666666"/>
          <w:sz w:val="18"/>
        </w:rPr>
        <w:t>Kästner A et al.  ·  Gesundheitswesen  ·  15.09.2026  ·  PMID 42743977</w:t>
      </w:r>
    </w:p>
    <w:p>
      <w:r>
        <w:t>Qualitative Analyse praktischer Erfahrungen mit Krebsregisterdaten und Abrechnungsdaten von Krankenkassen für Versorgungsforschung am Beispiel eines Innovationsfonds-Projekts.</w:t>
      </w:r>
    </w:p>
    <w:p>
      <w:r>
        <w:rPr>
          <w:b/>
        </w:rPr>
        <w:t xml:space="preserve">Ergebnis: </w:t>
      </w:r>
      <w:r>
        <w:t>Verlinkung von Krebsregistern und Abrechnungsdaten ermöglicht umfassende Analysen von Langzeitoutcomes und Versorgungsstrukturen, erfordert jedoch zeitintensive Abstimmungs- und Genehmigungsprozesse sowie spezialisierte methodische Expertise.</w:t>
      </w:r>
    </w:p>
    <w:p>
      <w:r>
        <w:rPr>
          <w:b/>
          <w:sz w:val="19"/>
        </w:rPr>
        <w:t xml:space="preserve">Übertragbarkeit: </w:t>
      </w:r>
      <w:r>
        <w:rPr>
          <w:sz w:val="19"/>
        </w:rPr>
        <w:t>Deutsches Gesundheitssystem, Krebsregister nach §65c SGB V und gesetzliche Krankenkassen</w:t>
      </w:r>
    </w:p>
    <w:p>
      <w:r>
        <w:rPr>
          <w:color w:val="5A7D3A"/>
          <w:sz w:val="18"/>
        </w:rPr>
        <w:t>https://pubmed.ncbi.nlm.nih.gov/42743977/</w:t>
      </w:r>
    </w:p>
    <w:p>
      <w:pPr>
        <w:pStyle w:val="Heading2"/>
      </w:pPr>
      <w:r>
        <w:t>Präferenzen für dezentrale ophthalmologische Kliniken: Diskrete-Wahl-Experiment im UK</w:t>
      </w:r>
    </w:p>
    <w:p>
      <w:r>
        <w:rPr>
          <w:i/>
          <w:color w:val="666666"/>
          <w:sz w:val="18"/>
        </w:rPr>
        <w:t>Ndwandwe S et al.  ·  PLoS One  ·  15.09.2026  ·  PMID 42743352</w:t>
      </w:r>
    </w:p>
    <w:p>
      <w:r>
        <w:t>Diskrete-Wahl-Experiment mit 389 Befragten (Patienten, Fachkräfte, Öffentlichkeit) zu Präferenzen für Merkmale einer techniker-geleiteten asynchronen Augenklinik zur Überwachung chronischer Augenerkrankungen.</w:t>
      </w:r>
    </w:p>
    <w:p>
      <w:r>
        <w:rPr>
          <w:b/>
        </w:rPr>
        <w:t xml:space="preserve">Ergebnis: </w:t>
      </w:r>
      <w:r>
        <w:t>Wer einen Techniker statt Kliniker sah und Ergebnisse per Post erhielt, benötigte Reduktion der Terminverzögerung um 6,27 Monate (95% KI 4,52–8,03) oder Fahrtzeit um 153 Minuten (95% KI 88–219); techniker-geleitete Modelle könnten kliniker-geleitete Services ergänzen, wenn sie Verzögerungen verkürzen.</w:t>
      </w:r>
    </w:p>
    <w:p>
      <w:r>
        <w:rPr>
          <w:b/>
          <w:sz w:val="19"/>
        </w:rPr>
        <w:t xml:space="preserve">Übertragbarkeit: </w:t>
      </w:r>
      <w:r>
        <w:rPr>
          <w:sz w:val="19"/>
        </w:rPr>
        <w:t>UK NHS-System, teilweise übertragbar auf dezentrale Versorgungsmodelle in Deutschland</w:t>
      </w:r>
    </w:p>
    <w:p>
      <w:r>
        <w:rPr>
          <w:color w:val="5A7D3A"/>
          <w:sz w:val="18"/>
        </w:rPr>
        <w:t>https://pubmed.ncbi.nlm.nih.gov/42743352/</w:t>
      </w:r>
    </w:p>
    <w:p>
      <w:pPr>
        <w:pStyle w:val="Heading2"/>
      </w:pPr>
      <w:r>
        <w:t>Psychische Belastung von Gesundheitsfachkräften in der COVID-19-Pandemie</w:t>
      </w:r>
    </w:p>
    <w:p>
      <w:r>
        <w:rPr>
          <w:i/>
          <w:color w:val="666666"/>
          <w:sz w:val="18"/>
        </w:rPr>
        <w:t>Peters C et al.  ·  Front Public Health  ·  31.08.2026  ·  PMID 42741285</w:t>
      </w:r>
    </w:p>
    <w:p>
      <w:r>
        <w:t>Querschnittstudie zu Arbeitsbedingungen und psychischer Gesundheit von 576 Beschäftigten in deutschen Gesundheits- und Sozialeinrichtungen während COVID-19.</w:t>
      </w:r>
    </w:p>
    <w:p>
      <w:r>
        <w:rPr>
          <w:b/>
        </w:rPr>
        <w:t xml:space="preserve">Ergebnis: </w:t>
      </w:r>
      <w:r>
        <w:t>59% waren Gesundheitsfachkräfte; diese berichteten schlechtere Arbeitsfähigkeit (6,9 vs. 7,3), höhere emotionale Belastung und depressive Symptome; ca. ein Fünftel zeigte moderate bis schwere psychische Belastung.</w:t>
      </w:r>
    </w:p>
    <w:p>
      <w:r>
        <w:rPr>
          <w:b/>
          <w:sz w:val="19"/>
        </w:rPr>
        <w:t xml:space="preserve">Übertragbarkeit: </w:t>
      </w:r>
      <w:r>
        <w:rPr>
          <w:sz w:val="19"/>
        </w:rPr>
        <w:t>Deutsche Routinedaten, Studie in Deutschland durchgeführt</w:t>
      </w:r>
    </w:p>
    <w:p>
      <w:r>
        <w:rPr>
          <w:color w:val="5A7D3A"/>
          <w:sz w:val="18"/>
        </w:rPr>
        <w:t>https://pubmed.ncbi.nlm.nih.gov/42741285/</w:t>
      </w:r>
    </w:p>
    <w:p>
      <w:pPr>
        <w:pStyle w:val="Heading2"/>
      </w:pPr>
      <w:r>
        <w:t>Zugang zur elektronischen Patientenakte über Krankenversicherer-Apps in Deutschland</w:t>
      </w:r>
    </w:p>
    <w:p>
      <w:r>
        <w:rPr>
          <w:i/>
          <w:color w:val="666666"/>
          <w:sz w:val="18"/>
        </w:rPr>
        <w:t>May S et al.  ·  JMIR Mhealth Uhealth  ·  14.09.2026  ·  PMID 42735900</w:t>
      </w:r>
    </w:p>
    <w:p>
      <w:r>
        <w:t>Qualitative Interviewstudie mit 23 Personen zu Nutzererfahrungen beim Einrichten und Authentifizieren des Zugangs zur ePA durch Versicherer-Apps.</w:t>
      </w:r>
    </w:p>
    <w:p>
      <w:r>
        <w:rPr>
          <w:b/>
        </w:rPr>
        <w:t xml:space="preserve">Ergebnis: </w:t>
      </w:r>
      <w:r>
        <w:t>Zugang besteht nicht aus einem einzelnen Schritt, sondern aus fünf interdependenten Phasen (Orientierung, technischer Zugang, Verifizierung, Unterbrechungen, initiale Nutzung); Barrieren akkumulieren sich über Phasen hinweg und führen zu wiederholten Versuchen.</w:t>
      </w:r>
    </w:p>
    <w:p>
      <w:r>
        <w:rPr>
          <w:b/>
          <w:sz w:val="19"/>
        </w:rPr>
        <w:t xml:space="preserve">Übertragbarkeit: </w:t>
      </w:r>
      <w:r>
        <w:rPr>
          <w:sz w:val="19"/>
        </w:rPr>
        <w:t>Deutsche Routinedaten und ePA-Implementierung, direkt für deutsches System anwendbar</w:t>
      </w:r>
    </w:p>
    <w:p>
      <w:r>
        <w:rPr>
          <w:color w:val="5A7D3A"/>
          <w:sz w:val="18"/>
        </w:rPr>
        <w:t>https://pubmed.ncbi.nlm.nih.gov/42735900/</w:t>
      </w:r>
    </w:p>
    <w:p>
      <w:pPr>
        <w:pStyle w:val="Heading1"/>
      </w:pPr>
      <w:r>
        <w:t>Aufgenommen am 15.09.2026</w:t>
      </w:r>
    </w:p>
    <w:p>
      <w:pPr>
        <w:pStyle w:val="Heading2"/>
      </w:pPr>
      <w:r>
        <w:t>Design-Richtlinien für Online-Gesundheitsforen</w:t>
      </w:r>
    </w:p>
    <w:p>
      <w:r>
        <w:rPr>
          <w:i/>
          <w:color w:val="666666"/>
          <w:sz w:val="18"/>
        </w:rPr>
        <w:t>Marshall P et al.  ·  J Med Internet Res  ·  14.09.2026  ·  PMID 42735377</w:t>
      </w:r>
    </w:p>
    <w:p>
      <w:r>
        <w:t>Qualitative Studie mit 54 Interviews und Workshops zur Entwicklung evidenzgestützter Designrichtlinien für sichere Online-Gesundheitsforen basierend auf Selbstbestimmungstheorie.</w:t>
      </w:r>
    </w:p>
    <w:p>
      <w:r>
        <w:rPr>
          <w:b/>
        </w:rPr>
        <w:t xml:space="preserve">Ergebnis: </w:t>
      </w:r>
      <w:r>
        <w:t>Vier übergeordnete Designprinzipien identifiziert (Autonomie, Kompetenz, Zugehörigkeit, Sicherheit) mit pragmatischen Umsetzungsstrategien; Ergebnisse zeigen gemischte Nutzererfahrungen und Bedarf für nutzerzentrierte Weiterentwicklung.</w:t>
      </w:r>
    </w:p>
    <w:p>
      <w:r>
        <w:rPr>
          <w:b/>
          <w:sz w:val="19"/>
        </w:rPr>
        <w:t xml:space="preserve">Übertragbarkeit: </w:t>
      </w:r>
      <w:r>
        <w:rPr>
          <w:sz w:val="19"/>
        </w:rPr>
        <w:t>UK-Studie, aber Fragestellung zu Prozessqualität und Nutzerperspektive systemunabhängig übertragbar.</w:t>
      </w:r>
    </w:p>
    <w:p>
      <w:r>
        <w:rPr>
          <w:color w:val="5A7D3A"/>
          <w:sz w:val="18"/>
        </w:rPr>
        <w:t>https://pubmed.ncbi.nlm.nih.gov/42735377/</w:t>
      </w:r>
    </w:p>
    <w:p>
      <w:pPr>
        <w:pStyle w:val="Heading2"/>
      </w:pPr>
      <w:r>
        <w:t>Hepatitis-B-Disparitäten bei Migranten in Dänemark</w:t>
      </w:r>
    </w:p>
    <w:p>
      <w:r>
        <w:rPr>
          <w:i/>
          <w:color w:val="666666"/>
          <w:sz w:val="18"/>
        </w:rPr>
        <w:t>Deal A et al.  ·  Eur J Public Health  ·  04.08.2026  ·  PMID 42734651</w:t>
      </w:r>
    </w:p>
    <w:p>
      <w:r>
        <w:t>Matched-Cohort-Studie mit 179.110 Migranten und 1.049.345 Dänen über 23 Jahre zur Erfassung von HBV-Diagnoseraten und Verzögerungen.</w:t>
      </w:r>
    </w:p>
    <w:p>
      <w:r>
        <w:rPr>
          <w:b/>
        </w:rPr>
        <w:t xml:space="preserve">Ergebnis: </w:t>
      </w:r>
      <w:r>
        <w:t>Migranten zeigten 30,6-fach erhöhtes HBV-Diagnosrisiko (95%-KI: 26,7–35,2); durchschnittliche Verzögerung von Ankunft bis Diagnose 5,4 Jahre; Unterversorgung bei Personen außerhalb routinemäßiger Screening-Prozesse.</w:t>
      </w:r>
    </w:p>
    <w:p>
      <w:r>
        <w:rPr>
          <w:b/>
          <w:sz w:val="19"/>
        </w:rPr>
        <w:t xml:space="preserve">Übertragbarkeit: </w:t>
      </w:r>
      <w:r>
        <w:rPr>
          <w:sz w:val="19"/>
        </w:rPr>
        <w:t>Dänemark, Sozialversicherungssystem vergleichbar mit Deutschland, aussagekräftig für Migrantenpopulationen.</w:t>
      </w:r>
    </w:p>
    <w:p>
      <w:r>
        <w:rPr>
          <w:color w:val="5A7D3A"/>
          <w:sz w:val="18"/>
        </w:rPr>
        <w:t>https://pubmed.ncbi.nlm.nih.gov/42734651/</w:t>
      </w:r>
    </w:p>
    <w:p>
      <w:pPr>
        <w:pStyle w:val="Heading2"/>
      </w:pPr>
      <w:r>
        <w:t>Indirekte Effektivitätsvergleich Tafamidis vs. Acoramidis bei Transthyretin-Kardiomyopathie</w:t>
      </w:r>
    </w:p>
    <w:p>
      <w:r>
        <w:rPr>
          <w:i/>
          <w:color w:val="666666"/>
          <w:sz w:val="18"/>
        </w:rPr>
        <w:t>Debonnaire P et al.  ·  J Comp Eff Res  ·  14.09.2026  ·  PMID 42734113</w:t>
      </w:r>
    </w:p>
    <w:p>
      <w:r>
        <w:t>Trial-Emulation-Studie mit indirektem Vergleich zweier Transthyretin-Stabilisatoren basierend auf Registerdaten und klinischen Trials.</w:t>
      </w:r>
    </w:p>
    <w:p>
      <w:r>
        <w:rPr>
          <w:b/>
        </w:rPr>
        <w:t xml:space="preserve">Ergebnis: </w:t>
      </w:r>
      <w:r>
        <w:t>Nach Kalibrierung zeigte Acoramidis eine 42-Monats-Mortalitätsrate von 24,0% versus kalibrierte 31,2% für Tafamidis; relatives Mortalitätsrisiko 0,78 (95%-KI: 0,60–0,99), was auf 22% niedrigeres Sterblichkeitsrisiko deutet.</w:t>
      </w:r>
    </w:p>
    <w:p>
      <w:r>
        <w:rPr>
          <w:b/>
          <w:sz w:val="19"/>
        </w:rPr>
        <w:t xml:space="preserve">Übertragbarkeit: </w:t>
      </w:r>
      <w:r>
        <w:rPr>
          <w:sz w:val="19"/>
        </w:rPr>
        <w:t>Gering: US-Registerdaten; aber Fragestellung zur Vergleichbarkeit von Wirkstoffen systemunabhängig relevant.</w:t>
      </w:r>
    </w:p>
    <w:p>
      <w:r>
        <w:rPr>
          <w:color w:val="5A7D3A"/>
          <w:sz w:val="18"/>
        </w:rPr>
        <w:t>https://pubmed.ncbi.nlm.nih.gov/42734113/</w:t>
      </w:r>
    </w:p>
    <w:p>
      <w:pPr>
        <w:pStyle w:val="Heading2"/>
      </w:pPr>
      <w:r>
        <w:t>SESAME-Checkliste für Adverse-Event- und Fehlerberichterstattung</w:t>
      </w:r>
    </w:p>
    <w:p>
      <w:r>
        <w:rPr>
          <w:i/>
          <w:color w:val="666666"/>
          <w:sz w:val="18"/>
        </w:rPr>
        <w:t>Griffey RT et al.  ·  J Patient Saf  ·  11.09.2026  ·  PMID 42725452</w:t>
      </w:r>
    </w:p>
    <w:p>
      <w:r>
        <w:t>Methodisches Konsensuspapier zur Entwicklung einer 44-Item-Checkliste (SESAME) zur Standardisierung der Berichterstattung in Studien zu unerwünschten Ereignissen und medizinischen Fehlern.</w:t>
      </w:r>
    </w:p>
    <w:p>
      <w:r>
        <w:rPr>
          <w:b/>
        </w:rPr>
        <w:t xml:space="preserve">Ergebnis: </w:t>
      </w:r>
      <w:r>
        <w:t>SESAME-Checkliste mit 44 Items deckt alle kritischen Reporting-Domänen ab; Ziel ist Verbesserung der Vollständigkeit, Vergleichbarkeit und Reproduzierbarkeit; Entwicklung nach EQUATOR-Standards mit internationalem Expertenkonsens.</w:t>
      </w:r>
    </w:p>
    <w:p>
      <w:r>
        <w:rPr>
          <w:b/>
          <w:sz w:val="19"/>
        </w:rPr>
        <w:t xml:space="preserve">Übertragbarkeit: </w:t>
      </w:r>
      <w:r>
        <w:rPr>
          <w:sz w:val="19"/>
        </w:rPr>
        <w:t>Internationales Konsensdokument zur Studienqualität, systemunabhängig für Patientensicherheitsforschung relevant.</w:t>
      </w:r>
    </w:p>
    <w:p>
      <w:r>
        <w:rPr>
          <w:color w:val="5A7D3A"/>
          <w:sz w:val="18"/>
        </w:rPr>
        <w:t>https://pubmed.ncbi.nlm.nih.gov/42725452/</w:t>
      </w:r>
    </w:p>
    <w:p>
      <w:pPr>
        <w:pStyle w:val="Heading2"/>
      </w:pPr>
      <w:r>
        <w:t>Koordinierter Ansatz zur integrierten Sturz- und Frakturprävention</w:t>
      </w:r>
    </w:p>
    <w:p>
      <w:r>
        <w:rPr>
          <w:i/>
          <w:color w:val="666666"/>
          <w:sz w:val="18"/>
        </w:rPr>
        <w:t>van der Velde N et al.  ·  Eur Geriatr Med  ·  10.09.2026  ·  PMID 42720850</w:t>
      </w:r>
    </w:p>
    <w:p>
      <w:r>
        <w:t>Position Paper von sieben internationalen Fachgesellschaften zu evidenzgestützter integrierter Versorgung für Sturz- und Frakturprävention bei älteren Menschen.</w:t>
      </w:r>
    </w:p>
    <w:p>
      <w:r>
        <w:rPr>
          <w:b/>
        </w:rPr>
        <w:t xml:space="preserve">Ergebnis: </w:t>
      </w:r>
      <w:r>
        <w:t>Kernerkenntnis: Fragmentierte Versorgungsstrukturen erfordern integrierte Fall- und Frakturprävention als Public-Health-Priorität; Empfehlungen für interdisziplinäre Zusammenarbeit, Trainings und systemische Ressourcenallokation.</w:t>
      </w:r>
    </w:p>
    <w:p>
      <w:r>
        <w:rPr>
          <w:b/>
          <w:sz w:val="19"/>
        </w:rPr>
        <w:t xml:space="preserve">Übertragbarkeit: </w:t>
      </w:r>
      <w:r>
        <w:rPr>
          <w:sz w:val="19"/>
        </w:rPr>
        <w:t>Europäischer Konsens mit Fokus auf Versorgungsprozesse, Qualität und Implementierung in Regelversorgung.</w:t>
      </w:r>
    </w:p>
    <w:p>
      <w:r>
        <w:rPr>
          <w:color w:val="5A7D3A"/>
          <w:sz w:val="18"/>
        </w:rPr>
        <w:t>https://pubmed.ncbi.nlm.nih.gov/42720850/</w:t>
      </w:r>
    </w:p>
    <w:p>
      <w:pPr>
        <w:pStyle w:val="Heading2"/>
      </w:pPr>
      <w:r>
        <w:t>Tabakrauchexposition und Gesundheitsdienstleistungen bei jungen Erwachsenen</w:t>
      </w:r>
    </w:p>
    <w:p>
      <w:r>
        <w:rPr>
          <w:i/>
          <w:color w:val="666666"/>
          <w:sz w:val="18"/>
        </w:rPr>
        <w:t>Akhtar S et al.  ·  BMC Health Serv Res  ·  04.09.2026  ·  PMID 42717348</w:t>
      </w:r>
    </w:p>
    <w:p>
      <w:r>
        <w:t>Querschnittsstudie mit 1.323 Studierenden zur Erfassung von Tabakrauchexposition, Symptomen und Inanspruchnahme von Gesundheitsdienstleistungen.</w:t>
      </w:r>
    </w:p>
    <w:p>
      <w:r>
        <w:rPr>
          <w:b/>
        </w:rPr>
        <w:t xml:space="preserve">Ergebnis: </w:t>
      </w:r>
      <w:r>
        <w:t>Exposition gegenüber Tabakrauch 55,9% (740/1.323); Husten (aOR 2,10; 95%-KI 1,66–2,64), Dyspnoe (aOR 1,30; 95%-KI 1,01–1,67) und Asthma (aOR 1,95; 95%-KI 1,43–2,65) signifikant mit Inanspruchnahme assoziiert.</w:t>
      </w:r>
    </w:p>
    <w:p>
      <w:r>
        <w:rPr>
          <w:b/>
          <w:sz w:val="19"/>
        </w:rPr>
        <w:t xml:space="preserve">Übertragbarkeit: </w:t>
      </w:r>
      <w:r>
        <w:rPr>
          <w:sz w:val="19"/>
        </w:rPr>
        <w:t>Kuwait, aber Fragestellung zu Symptomen, Morbidität und Versorgungsnutzung epidemiologisch aussagekräftig.</w:t>
      </w:r>
    </w:p>
    <w:p>
      <w:r>
        <w:rPr>
          <w:color w:val="5A7D3A"/>
          <w:sz w:val="18"/>
        </w:rPr>
        <w:t>https://pubmed.ncbi.nlm.nih.gov/42717348/</w:t>
      </w:r>
    </w:p>
    <w:p>
      <w:pPr>
        <w:pStyle w:val="Heading1"/>
      </w:pPr>
      <w:r>
        <w:t>Aufgenommen am 14.09.2026</w:t>
      </w:r>
    </w:p>
    <w:p>
      <w:pPr>
        <w:pStyle w:val="Heading2"/>
      </w:pPr>
      <w:r>
        <w:t>Kliniker- und Informatiker-Perspektiven auf Harm-Risk-Vorhersage-Tools</w:t>
      </w:r>
    </w:p>
    <w:p>
      <w:r>
        <w:rPr>
          <w:i/>
          <w:color w:val="666666"/>
          <w:sz w:val="18"/>
        </w:rPr>
        <w:t>Lam JYJ et al.  ·  J Eval Clin Pract  ·  Sept. 2026  ·  PMID 42732558</w:t>
      </w:r>
    </w:p>
    <w:p>
      <w:r>
        <w:t>Qualitative Studie mit 22 Interviews (6 Ärzte, 11 Pharmazeuten, 5 Informatiker) zur Implementierung digitaler Risk-Prediction-Tools für Medikamentenschaden in australischen Krankenhäusern.</w:t>
      </w:r>
    </w:p>
    <w:p>
      <w:r>
        <w:rPr>
          <w:b/>
        </w:rPr>
        <w:t xml:space="preserve">Ergebnis: </w:t>
      </w:r>
      <w:r>
        <w:t>Fünf Themen mit Einfluss auf Adoption: Vertrauen der Kliniker, wahrgenommener Nutzen, organisatorische Bereitschaft, automatisierungsfähigkeit und Workflow-Kompatibilität. Barrieren: schlechte Systemintegration, Unsicherheit über Tool-Zuverlässigkeit; Enabler: umfassende Feedback-Mechanismen, Ressourcenplanung.</w:t>
      </w:r>
    </w:p>
    <w:p>
      <w:r>
        <w:rPr>
          <w:b/>
          <w:sz w:val="19"/>
        </w:rPr>
        <w:t xml:space="preserve">Übertragbarkeit: </w:t>
      </w:r>
      <w:r>
        <w:rPr>
          <w:sz w:val="19"/>
        </w:rPr>
        <w:t>Australien, aber klinische Perspektiven auf digitale Sicherheitstools übertragbar</w:t>
      </w:r>
    </w:p>
    <w:p>
      <w:r>
        <w:rPr>
          <w:color w:val="5A7D3A"/>
          <w:sz w:val="18"/>
        </w:rPr>
        <w:t>https://pubmed.ncbi.nlm.nih.gov/42732558/</w:t>
      </w:r>
    </w:p>
    <w:p>
      <w:pPr>
        <w:pStyle w:val="Heading2"/>
      </w:pPr>
      <w:r>
        <w:t>ADHD-Medikation und Selbstverletzungsrisiko: multinational</w:t>
      </w:r>
    </w:p>
    <w:p>
      <w:r>
        <w:rPr>
          <w:i/>
          <w:color w:val="666666"/>
          <w:sz w:val="18"/>
        </w:rPr>
        <w:t>Chan AYL et al.  ·  BMJ Ment Health  ·  12.09.2026  ·  PMID 42731881</w:t>
      </w:r>
    </w:p>
    <w:p>
      <w:r>
        <w:t>Multinational selbstkontrollierte Fallserie zur Assoziation zwischen ADHD-Medikation und Selbstverletzungen anhand von fünf Ländern-Datenbanken.</w:t>
      </w:r>
    </w:p>
    <w:p>
      <w:r>
        <w:rPr>
          <w:b/>
        </w:rPr>
        <w:t xml:space="preserve">Ergebnis: </w:t>
      </w:r>
      <w:r>
        <w:t>Höchstes Risiko 90 Tage vor Therapiestart (IRR 2,58), dann während ersten 90 Tage (IRR 1,78) und später (IRR 1,27). Muster konsistent über alle Datenbanken – erhöhtes Risiko vor Behandlung deutet auf unbehandelte ADHD-Symptome, nicht auf Medikation hin.</w:t>
      </w:r>
    </w:p>
    <w:p>
      <w:r>
        <w:rPr>
          <w:b/>
          <w:sz w:val="19"/>
        </w:rPr>
        <w:t xml:space="preserve">Übertragbarkeit: </w:t>
      </w:r>
      <w:r>
        <w:rPr>
          <w:sz w:val="19"/>
        </w:rPr>
        <w:t>Multinational, UK, Neuseeland, Taiwan eingeschlossen</w:t>
      </w:r>
    </w:p>
    <w:p>
      <w:r>
        <w:rPr>
          <w:color w:val="5A7D3A"/>
          <w:sz w:val="18"/>
        </w:rPr>
        <w:t>https://pubmed.ncbi.nlm.nih.gov/42731881/</w:t>
      </w:r>
    </w:p>
    <w:p>
      <w:pPr>
        <w:pStyle w:val="Heading2"/>
      </w:pPr>
      <w:r>
        <w:t>Online-Infektionstests: Systemische Vorteile und Barrieren</w:t>
      </w:r>
    </w:p>
    <w:p>
      <w:r>
        <w:rPr>
          <w:i/>
          <w:color w:val="666666"/>
          <w:sz w:val="18"/>
        </w:rPr>
        <w:t>Grace D et al.  ·  BMC Health Serv Res  ·  05.09.2026  ·  PMID 42728588</w:t>
      </w:r>
    </w:p>
    <w:p>
      <w:r>
        <w:t>Qualitative Interviews mit 41 Fachleuten zu Implementierung eines Online-Tests für sexuell übertragbare Infektionen (GetCheckedOnline) in Ontario.</w:t>
      </w:r>
    </w:p>
    <w:p>
      <w:r>
        <w:rPr>
          <w:b/>
        </w:rPr>
        <w:t xml:space="preserve">Ergebnis: </w:t>
      </w:r>
      <w:r>
        <w:t>Fünf zentrale Spannungsfelder identifiziert: Zugang, Datenschutz, Koordination, Agency und Systemauswirkungen. Teilnehmende erkannten Vorteile (besserer Zugang), berichteten aber auch unerwünschte Folgen (Koordinationsverluste zwischen Sektoren, Datenschutzbedenken).</w:t>
      </w:r>
    </w:p>
    <w:p>
      <w:r>
        <w:rPr>
          <w:b/>
          <w:sz w:val="19"/>
        </w:rPr>
        <w:t xml:space="preserve">Übertragbarkeit: </w:t>
      </w:r>
      <w:r>
        <w:rPr>
          <w:sz w:val="19"/>
        </w:rPr>
        <w:t>Kanada, aber Fragestellung zu digitalen Testmodellen systemübergreifend relevant</w:t>
      </w:r>
    </w:p>
    <w:p>
      <w:r>
        <w:rPr>
          <w:color w:val="5A7D3A"/>
          <w:sz w:val="18"/>
        </w:rPr>
        <w:t>https://pubmed.ncbi.nlm.nih.gov/42728588/</w:t>
      </w:r>
    </w:p>
    <w:p>
      <w:pPr>
        <w:pStyle w:val="Heading2"/>
      </w:pPr>
      <w:r>
        <w:t>Notfall- und Katastrophenbereitschaft in Krankenhäusern Äthiopiens</w:t>
      </w:r>
    </w:p>
    <w:p>
      <w:r>
        <w:rPr>
          <w:i/>
          <w:color w:val="666666"/>
          <w:sz w:val="18"/>
        </w:rPr>
        <w:t>Farah B et al.  ·  Res Health Serv Reg  ·  10.09.2026  ·  PMID 42720815</w:t>
      </w:r>
    </w:p>
    <w:p>
      <w:r>
        <w:t>Querschnittsstudie zur Notfall- und Katastrophenbereitschaft in vier öffentlichen Zonal-Krankenhäusern in der Somali-Region mit WHO-Hospital-Safety-Index Modul 4.</w:t>
      </w:r>
    </w:p>
    <w:p>
      <w:r>
        <w:rPr>
          <w:b/>
        </w:rPr>
        <w:t xml:space="preserve">Ergebnis: </w:t>
      </w:r>
      <w:r>
        <w:t>Mittlere Bereitschaftswerte von 45%; tiefste Werte für Notfall- und Katastrophenreaktion/Wiederherstellung (41,3%). Defizite in Reaktionsplanung, logistischer Bereitschaft, Finanzadministration und Kommunikationssystemen; fehlende externe Stakeholder-Koordination.</w:t>
      </w:r>
    </w:p>
    <w:p>
      <w:r>
        <w:rPr>
          <w:b/>
          <w:sz w:val="19"/>
        </w:rPr>
        <w:t xml:space="preserve">Übertragbarkeit: </w:t>
      </w:r>
      <w:r>
        <w:rPr>
          <w:sz w:val="19"/>
        </w:rPr>
        <w:t>Äthiopien (LMIC), aber HTA zur Systemreife allgemein relevant</w:t>
      </w:r>
    </w:p>
    <w:p>
      <w:r>
        <w:rPr>
          <w:color w:val="5A7D3A"/>
          <w:sz w:val="18"/>
        </w:rPr>
        <w:t>https://pubmed.ncbi.nlm.nih.gov/42720815/</w:t>
      </w:r>
    </w:p>
    <w:p>
      <w:pPr>
        <w:pStyle w:val="Heading2"/>
      </w:pPr>
      <w:r>
        <w:t>Risk Adjustment in Medicare Advantage mit Encounter-Daten</w:t>
      </w:r>
    </w:p>
    <w:p>
      <w:r>
        <w:rPr>
          <w:i/>
          <w:color w:val="666666"/>
          <w:sz w:val="18"/>
        </w:rPr>
        <w:t>Carlin CS et al.  ·  Health Serv Res  ·  Okt. 2026  ·  PMID 42720268</w:t>
      </w:r>
    </w:p>
    <w:p>
      <w:r>
        <w:t>Vergleichende Re-Schätzung des CMS-Hierarchical-Condition-Category-Modells mit Traditional-Medicare- vs. Medicare-Advantage-Claims 2016–2022.</w:t>
      </w:r>
    </w:p>
    <w:p>
      <w:r>
        <w:rPr>
          <w:b/>
        </w:rPr>
        <w:t xml:space="preserve">Ergebnis: </w:t>
      </w:r>
      <w:r>
        <w:t>MA-Daten zeigen 8,9% niedrigere durchschnittliche HCC-Scores als TM-Daten; Unterschiede variieren über Scoreverteilung. Keine neuen Anreizverzerrungen zu Lasten von Minoritäten oder ländlichen Versicherten.</w:t>
      </w:r>
    </w:p>
    <w:p>
      <w:r>
        <w:rPr>
          <w:b/>
          <w:sz w:val="19"/>
        </w:rPr>
        <w:t xml:space="preserve">Übertragbarkeit: </w:t>
      </w:r>
      <w:r>
        <w:rPr>
          <w:sz w:val="19"/>
        </w:rPr>
        <w:t>US-System (MA/Medicare), aber relevante Methodologie für Risk-Adjustment</w:t>
      </w:r>
    </w:p>
    <w:p>
      <w:r>
        <w:rPr>
          <w:color w:val="5A7D3A"/>
          <w:sz w:val="18"/>
        </w:rPr>
        <w:t>https://pubmed.ncbi.nlm.nih.gov/42720268/</w:t>
      </w:r>
    </w:p>
    <w:p>
      <w:pPr>
        <w:pStyle w:val="Heading2"/>
      </w:pPr>
      <w:r>
        <w:t>MISSION4Sax: Sektorübergreifende onkologische Versorgungsmodelle</w:t>
      </w:r>
    </w:p>
    <w:p>
      <w:r>
        <w:rPr>
          <w:i/>
          <w:color w:val="666666"/>
          <w:sz w:val="18"/>
        </w:rPr>
        <w:t>Richter C et al.  ·  J Cancer Res Clin Oncol  ·  02.09.2026  ·  PMID 42693346</w:t>
      </w:r>
    </w:p>
    <w:p>
      <w:r>
        <w:t>Studienprotokoll eines multizentrischen Pilotstudien zur Machbarkeit einer integrierten onkologischen Versorgung über Regionaltumorbrett zwischen Maximalversorgung und Landpraxis mit standardisierten Patientenpfaden.</w:t>
      </w:r>
    </w:p>
    <w:p>
      <w:r>
        <w:rPr>
          <w:b/>
        </w:rPr>
        <w:t xml:space="preserve">Ergebnis: </w:t>
      </w:r>
      <w:r>
        <w:t>Geplante Bewertung von Machbarkeit, Akzeptanz, Implementierung und Datenqualität (keine Effektivitätsfrage); Fokus auf Wartezeiten, Adhärenz, klinische und Patient-Reported Outcomes. Routinedaten der Krankenkasse als externe Referenz geplant, keine Individualverlinkung.</w:t>
      </w:r>
    </w:p>
    <w:p>
      <w:r>
        <w:rPr>
          <w:b/>
          <w:sz w:val="19"/>
        </w:rPr>
        <w:t xml:space="preserve">Übertragbarkeit: </w:t>
      </w:r>
      <w:r>
        <w:rPr>
          <w:sz w:val="19"/>
        </w:rPr>
        <w:t>Deutschland (Sachsen), Versorgungsforschungs-Design direkt übertragbar</w:t>
      </w:r>
    </w:p>
    <w:p>
      <w:r>
        <w:rPr>
          <w:color w:val="5A7D3A"/>
          <w:sz w:val="18"/>
        </w:rPr>
        <w:t>https://pubmed.ncbi.nlm.nih.gov/42693346/</w:t>
      </w:r>
    </w:p>
    <w:p>
      <w:pPr>
        <w:pStyle w:val="Heading1"/>
      </w:pPr>
      <w:r>
        <w:t>Aufgenommen am 13.09.2026</w:t>
      </w:r>
    </w:p>
    <w:p>
      <w:pPr>
        <w:pStyle w:val="Heading2"/>
      </w:pPr>
      <w:r>
        <w:t>Direkt-OP-Teledermatologie für Hautkrebs: Sicherheit und Effizienz</w:t>
      </w:r>
    </w:p>
    <w:p>
      <w:r>
        <w:rPr>
          <w:i/>
          <w:color w:val="666666"/>
          <w:sz w:val="18"/>
        </w:rPr>
        <w:t>Nour S et al.  ·  BMJ Open Qual  ·  11.09.2026  ·  PMID 42731848</w:t>
      </w:r>
    </w:p>
    <w:p>
      <w:r>
        <w:t>Evaluierung eines Direct-to-Surgery-Teledermatologie-Pfads für verdächtige Hautkrebs-Referrals in einem großen NHS-Hautkrebs-Service mit 18.587 Patienten.</w:t>
      </w:r>
    </w:p>
    <w:p>
      <w:r>
        <w:rPr>
          <w:b/>
        </w:rPr>
        <w:t xml:space="preserve">Ergebnis: </w:t>
      </w:r>
      <w:r>
        <w:t>Von 5.099 eingeschlossenen Patienten wurde 99,86% die 28-Tage-Faster-Diagnosis-Standard erreicht (Ziel: 75%); 75,5% der Melanom-/Plattenepithel-Karzinom-Patienten begannen Behandlung innerhalb der 62-Tage-Zielmarke. Histologie identifizierte 35,5% maligne und 15,5% prämaligne Pathologie; Diagnostische Konkordanz 41,5% (Cohen's κ=0,34). Komplikationsrate 1,3%. Der Pfad demonstriert sichere hochvolumige Hautkrebs-Chirurgie mit exzellenter Compliance zur Faster Diagnosis Standard.</w:t>
      </w:r>
    </w:p>
    <w:p>
      <w:r>
        <w:rPr>
          <w:b/>
          <w:sz w:val="19"/>
        </w:rPr>
        <w:t xml:space="preserve">Übertragbarkeit: </w:t>
      </w:r>
      <w:r>
        <w:rPr>
          <w:sz w:val="19"/>
        </w:rPr>
        <w:t>UK-NHS-Setting, aber Prozessoptimierung für Versorgung übertragbar</w:t>
      </w:r>
    </w:p>
    <w:p>
      <w:r>
        <w:rPr>
          <w:color w:val="5A7D3A"/>
          <w:sz w:val="18"/>
        </w:rPr>
        <w:t>https://pubmed.ncbi.nlm.nih.gov/42731848/</w:t>
      </w:r>
    </w:p>
    <w:p>
      <w:pPr>
        <w:pStyle w:val="Heading2"/>
      </w:pPr>
      <w:r>
        <w:t>Merkmale von Hausärzten und potenziell unangemessene Medikation bei älteren Patienten</w:t>
      </w:r>
    </w:p>
    <w:p>
      <w:r>
        <w:rPr>
          <w:i/>
          <w:color w:val="666666"/>
          <w:sz w:val="18"/>
        </w:rPr>
        <w:t>Tatsuno Y et al.  ·  Health Aff Sch  ·  28.08.2026  ·  PMID 42730259</w:t>
      </w:r>
    </w:p>
    <w:p>
      <w:r>
        <w:t>Japanische Querschnittsstudie zu Zusammenhängen zwischen Arztmerkmalen (Alter, Patientenvolumen) und der Verschreibung potenziell unangemessener Medikamente (PIMs) bei ≥75-Jährigen.</w:t>
      </w:r>
    </w:p>
    <w:p>
      <w:r>
        <w:rPr>
          <w:b/>
        </w:rPr>
        <w:t xml:space="preserve">Ergebnis: </w:t>
      </w:r>
      <w:r>
        <w:t>Von 184.097 Patienten erhielten 38,2% mindestens eine PIM; zwei Drittel der PIM-Verschreibungen konzentrierten sich auf 20% der Ärzte. Jüngere Ärzte (aOR 1,27; 95%-KI 1,05–1,55), solche mit niedrigerem Volumen älterer Patienten (aOR 1,39; 95%-KI 1,19–1,61) und Ärzte in Ost- oder Mittel-Japan verschrieben häufiger PIMs. Gezielte Interventionen bei Hochverschreibern könnten PIMs effizient reduzieren.</w:t>
      </w:r>
    </w:p>
    <w:p>
      <w:r>
        <w:rPr>
          <w:b/>
          <w:sz w:val="19"/>
        </w:rPr>
        <w:t xml:space="preserve">Übertragbarkeit: </w:t>
      </w:r>
      <w:r>
        <w:rPr>
          <w:sz w:val="19"/>
        </w:rPr>
        <w:t>Japan, aber Fragestellung zur Arztqualität systemunabhängig übertragbar</w:t>
      </w:r>
    </w:p>
    <w:p>
      <w:r>
        <w:rPr>
          <w:color w:val="5A7D3A"/>
          <w:sz w:val="18"/>
        </w:rPr>
        <w:t>https://pubmed.ncbi.nlm.nih.gov/42730259/</w:t>
      </w:r>
    </w:p>
    <w:p>
      <w:pPr>
        <w:pStyle w:val="Heading2"/>
      </w:pPr>
      <w:r>
        <w:t>Integration Flexibles Assertive Community Treatment mit kommunalen Sozialservices</w:t>
      </w:r>
    </w:p>
    <w:p>
      <w:r>
        <w:rPr>
          <w:i/>
          <w:color w:val="666666"/>
          <w:sz w:val="18"/>
        </w:rPr>
        <w:t>Kleijburg A et al.  ·  Int J Integr Care  ·  08.09.2026  ·  PMID 42729928</w:t>
      </w:r>
    </w:p>
    <w:p>
      <w:r>
        <w:t>Qualitative Studie mit 15 Interviews zur Implementierung von FACT+DSS-Teams (Flexible Assertive Community Treatment + District Social Services) in der Niederlande für Patienten mit schwerer psychischer Erkrankung.</w:t>
      </w:r>
    </w:p>
    <w:p>
      <w:r>
        <w:rPr>
          <w:b/>
        </w:rPr>
        <w:t xml:space="preserve">Ergebnis: </w:t>
      </w:r>
      <w:r>
        <w:t>FACT+DSS wurde von Teamkräften als deutlich positiv erlebt und verbesserte Zugangsbarrieren, Kontinuität der Versorgung, Case-Finding und Vernetzungskollaboration. Wichtige Erfolgsfaktoren waren starke Führung, geteilter Besitz, gleichberechtigte Zusammenarbeit und direkte Beziehungen. Barrieren waren unzureichende Ressourcen und fehlende klare Rollenverteilung.</w:t>
      </w:r>
    </w:p>
    <w:p>
      <w:r>
        <w:rPr>
          <w:b/>
          <w:sz w:val="19"/>
        </w:rPr>
        <w:t xml:space="preserve">Übertragbarkeit: </w:t>
      </w:r>
      <w:r>
        <w:rPr>
          <w:sz w:val="19"/>
        </w:rPr>
        <w:t>Niederlande, vergleichbares Sozialversicherungssystem, integrierte Versorgung</w:t>
      </w:r>
    </w:p>
    <w:p>
      <w:r>
        <w:rPr>
          <w:color w:val="5A7D3A"/>
          <w:sz w:val="18"/>
        </w:rPr>
        <w:t>https://pubmed.ncbi.nlm.nih.gov/42729928/</w:t>
      </w:r>
    </w:p>
    <w:p>
      <w:pPr>
        <w:pStyle w:val="Heading2"/>
      </w:pPr>
      <w:r>
        <w:t>Auswirkung Brandon Act auf Suizidversuche im US-Militär</w:t>
      </w:r>
    </w:p>
    <w:p>
      <w:r>
        <w:rPr>
          <w:i/>
          <w:color w:val="666666"/>
          <w:sz w:val="18"/>
        </w:rPr>
        <w:t>Yoon J et al.  ·  Health Serv Res  ·  Okt. 2026  ·  PMID 42728782</w:t>
      </w:r>
    </w:p>
    <w:p>
      <w:r>
        <w:t>Unterbrochene Zeitreihen-Analyse (2018–2024) der Military Health System-Daten zu Effekten des Brandon Acts (Geheime Selbst-Überweisungs-Pathways für psychische Gesundheit) auf Suizidversuche bei Active-Duty-Soldaten.</w:t>
      </w:r>
    </w:p>
    <w:p>
      <w:r>
        <w:rPr>
          <w:b/>
        </w:rPr>
        <w:t xml:space="preserve">Ergebnis: </w:t>
      </w:r>
      <w:r>
        <w:t>Brandon Act im Dezember 2021 assoziiert mit unmittelbare Reduktion von 6,51 pro 100.000 (95%-KI: -10,54, -2,47) und Trendwechsel von -2,25 pro Quartal (95%-KI: -3,81, -0,70). Nach Implementation Mai 2023 weitere Reduktion von 21,19 pro 100.000 (95%-KI: -26,83, -15,55). Über 3 Jahre geschätzt ~3.800 Suizidversuche verhindert. Größte Effekte bei junior Enlisted, Frauen, Army/Marines.</w:t>
      </w:r>
    </w:p>
    <w:p>
      <w:r>
        <w:rPr>
          <w:b/>
          <w:sz w:val="19"/>
        </w:rPr>
        <w:t xml:space="preserve">Übertragbarkeit: </w:t>
      </w:r>
      <w:r>
        <w:rPr>
          <w:sz w:val="19"/>
        </w:rPr>
        <w:t>US-Militärsystem, aber Fragestellung zu Stigma-Reduktion systemunabhängig übertragbar</w:t>
      </w:r>
    </w:p>
    <w:p>
      <w:r>
        <w:rPr>
          <w:color w:val="5A7D3A"/>
          <w:sz w:val="18"/>
        </w:rPr>
        <w:t>https://pubmed.ncbi.nlm.nih.gov/42728782/</w:t>
      </w:r>
    </w:p>
    <w:p>
      <w:pPr>
        <w:pStyle w:val="Heading2"/>
      </w:pPr>
      <w:r>
        <w:t>Subjektive Bedarfserkennung und Inanspruchnahme psychischer Gesundheitsversorgung</w:t>
      </w:r>
    </w:p>
    <w:p>
      <w:r>
        <w:rPr>
          <w:i/>
          <w:color w:val="666666"/>
          <w:sz w:val="18"/>
        </w:rPr>
        <w:t>Reinhold AK et al.  ·  BMC Health Serv Res  ·  10.09.2026  ·  PMID 42728591</w:t>
      </w:r>
    </w:p>
    <w:p>
      <w:r>
        <w:t>Gemischte Methoden-Studie mit 456 Teilnehmern mit depressiven Symptomen (PHQ-9≥5) zur Diskrepanz zwischen objektivem, subjektivem Bedarf und tatsächlicher Inanspruchnahme von psychischer Versorgung.</w:t>
      </w:r>
    </w:p>
    <w:p>
      <w:r>
        <w:rPr>
          <w:b/>
        </w:rPr>
        <w:t xml:space="preserve">Ergebnis: </w:t>
      </w:r>
      <w:r>
        <w:t>Subjektive Bedarfserkennung ist starker Prädiktor für Inanspruchnahme: 38,1% der Negativ-Gescreenten und 45,8% der Positiv-Gescreenten berichteten weniger als "sehr genau" zu Suizid-Gedanken geantwortet zu haben. Qualitative Analyse (n=23) identifizierte eine Sechsteilung-Typologie von subjektivem Bedarf statt binärer Klassifikation.</w:t>
      </w:r>
    </w:p>
    <w:p>
      <w:r>
        <w:rPr>
          <w:b/>
          <w:sz w:val="19"/>
        </w:rPr>
        <w:t xml:space="preserve">Übertragbarkeit: </w:t>
      </w:r>
      <w:r>
        <w:rPr>
          <w:sz w:val="19"/>
        </w:rPr>
        <w:t>Deutsche Routinedaten, populationsbasierte Stichprobe, Hausarzt-nahe Versorgung</w:t>
      </w:r>
    </w:p>
    <w:p>
      <w:r>
        <w:rPr>
          <w:color w:val="5A7D3A"/>
          <w:sz w:val="18"/>
        </w:rPr>
        <w:t>https://pubmed.ncbi.nlm.nih.gov/42728591/</w:t>
      </w:r>
    </w:p>
    <w:p>
      <w:pPr>
        <w:pStyle w:val="Heading2"/>
      </w:pPr>
      <w:r>
        <w:t>Vial-Sharing-Strategie reduziert Arzneimittelabfall bei CT-Kontrastmittel</w:t>
      </w:r>
    </w:p>
    <w:p>
      <w:r>
        <w:rPr>
          <w:i/>
          <w:color w:val="666666"/>
          <w:sz w:val="18"/>
        </w:rPr>
        <w:t>Yin Y et al.  ·  BMC Health Serv Res  ·  30.07.2026  ·  PMID 42723046</w:t>
      </w:r>
    </w:p>
    <w:p>
      <w:r>
        <w:t>Retrospektive Studie in chinesischem Universitätskrankenhaus zur Kostenreduktion durch Umstellung von Einzelvial- auf gemeinsame Vial-Abrechnung für CT-Kontrastmittel mit Prozessoptimierung.</w:t>
      </w:r>
    </w:p>
    <w:p>
      <w:r>
        <w:rPr>
          <w:b/>
        </w:rPr>
        <w:t xml:space="preserve">Ergebnis: </w:t>
      </w:r>
      <w:r>
        <w:t>Vial-Sharing-Strategie führte zu jährlicher Einsparung von 2.906.398,8 mL Kontrastmittel und Kostenreduktion von 9.181.958,83 CNY; durchschnittlich 66,93 CNY Kostenreduktion pro Patient. Multidisziplinäre Prozessoptimierung verbesserte Drug Utilization Efficiency und Ressourcenschonung.</w:t>
      </w:r>
    </w:p>
    <w:p>
      <w:r>
        <w:rPr>
          <w:b/>
          <w:sz w:val="19"/>
        </w:rPr>
        <w:t xml:space="preserve">Übertragbarkeit: </w:t>
      </w:r>
      <w:r>
        <w:rPr>
          <w:sz w:val="19"/>
        </w:rPr>
        <w:t>China, aber Versorgungseffizienz-Ansatz für deutsche Krankenhäuser adaptierbar</w:t>
      </w:r>
    </w:p>
    <w:p>
      <w:r>
        <w:rPr>
          <w:color w:val="5A7D3A"/>
          <w:sz w:val="18"/>
        </w:rPr>
        <w:t>https://pubmed.ncbi.nlm.nih.gov/42723046/</w:t>
      </w:r>
    </w:p>
    <w:p>
      <w:pPr>
        <w:pStyle w:val="Heading1"/>
      </w:pPr>
      <w:r>
        <w:t>Aufgenommen am 12.09.2026</w:t>
      </w:r>
    </w:p>
    <w:p>
      <w:pPr>
        <w:pStyle w:val="Heading2"/>
      </w:pPr>
      <w:r>
        <w:t>Geografische Erreichbarkeit Primärversorgung Schweden</w:t>
      </w:r>
    </w:p>
    <w:p>
      <w:r>
        <w:rPr>
          <w:i/>
          <w:color w:val="666666"/>
          <w:sz w:val="18"/>
        </w:rPr>
        <w:t>Isaksson D et al.  ·  BMJ Open  ·  11.09.2026  ·  PMID 42727971</w:t>
      </w:r>
    </w:p>
    <w:p>
      <w:r>
        <w:t>Landesweite Querschnittsstudie zur Fahrtzeit-Erreichbarkeit von Hausarztpraxen in Schweden anhand von Routinedaten.</w:t>
      </w:r>
    </w:p>
    <w:p>
      <w:r>
        <w:rPr>
          <w:b/>
        </w:rPr>
        <w:t xml:space="preserve">Ergebnis: </w:t>
      </w:r>
      <w:r>
        <w:t>Mittlere Fahrtzeit zur nächsten Praxis: 5,6 Min (SD 6,3), Median 3,3 Min; 15,8% erreichen Praxis nicht in ≤10 Min; deutliche Urban-Rural-Disparität (15,1 Min vs 3,0 Min in Großstädten). Geographischer Zugang hoch im Mittel, aber substantielle Unterschiede bleiben.</w:t>
      </w:r>
    </w:p>
    <w:p>
      <w:r>
        <w:rPr>
          <w:b/>
          <w:sz w:val="19"/>
        </w:rPr>
        <w:t xml:space="preserve">Übertragbarkeit: </w:t>
      </w:r>
      <w:r>
        <w:rPr>
          <w:sz w:val="19"/>
        </w:rPr>
        <w:t>Schweden, steuerfinanziert; Prozessmessungen zur Zugänglichkeit auf deutsche Strukturen gut übertragbar.</w:t>
      </w:r>
    </w:p>
    <w:p>
      <w:r>
        <w:rPr>
          <w:color w:val="5A7D3A"/>
          <w:sz w:val="18"/>
        </w:rPr>
        <w:t>https://pubmed.ncbi.nlm.nih.gov/42727971/</w:t>
      </w:r>
    </w:p>
    <w:p>
      <w:pPr>
        <w:pStyle w:val="Heading2"/>
      </w:pPr>
      <w:r>
        <w:t>Psychische Belastung von Gesundheitsfachkräften durch COVID-19</w:t>
      </w:r>
    </w:p>
    <w:p>
      <w:r>
        <w:rPr>
          <w:i/>
          <w:color w:val="666666"/>
          <w:sz w:val="18"/>
        </w:rPr>
        <w:t>Alonso J et al.  ·  Span J Psychiatry Ment Health  ·  11.09.2026  ·  PMID 42727923</w:t>
      </w:r>
    </w:p>
    <w:p>
      <w:r>
        <w:t>Dreieinhalb-Jahres-Längsschnittstudie zu psychischen Auswirkungen von COVID-19 auf spanische Gesundheitsfachkräfte.</w:t>
      </w:r>
    </w:p>
    <w:p>
      <w:r>
        <w:rPr>
          <w:b/>
        </w:rPr>
        <w:t xml:space="preserve">Ergebnis: </w:t>
      </w:r>
      <w:r>
        <w:t>38,1% der negativ gescreenten und 45,8% der positiv gescreenten Veteranen berichteten unauffällige Disclosure bei Suizidales-Screening. Weniger genaue Angaben assoziiert mit niedrigerem Glauben, Suizid sei Ausweg (OR 0,46 bzw 0,40), und höherer Sorge vor Überreaktion (OR 2,36 bzw 3,73). Screening-Genauigkeit limitiert durch Offenbarungshemmungen.</w:t>
      </w:r>
    </w:p>
    <w:p>
      <w:r>
        <w:rPr>
          <w:b/>
          <w:sz w:val="19"/>
        </w:rPr>
        <w:t xml:space="preserve">Übertragbarkeit: </w:t>
      </w:r>
      <w:r>
        <w:rPr>
          <w:sz w:val="19"/>
        </w:rPr>
        <w:t>Spanische Gesundheitsfachkräfte; Health Services Research-Perspektive auf Implementierungsbarrieren auf deutsche Verhältnisse übertragbar.</w:t>
      </w:r>
    </w:p>
    <w:p>
      <w:r>
        <w:rPr>
          <w:color w:val="5A7D3A"/>
          <w:sz w:val="18"/>
        </w:rPr>
        <w:t>https://pubmed.ncbi.nlm.nih.gov/42727923/</w:t>
      </w:r>
    </w:p>
    <w:p>
      <w:pPr>
        <w:pStyle w:val="Heading2"/>
      </w:pPr>
      <w:r>
        <w:t>Technische Unterstützung für Leitlinien-Implementation in LMICs</w:t>
      </w:r>
    </w:p>
    <w:p>
      <w:r>
        <w:rPr>
          <w:i/>
          <w:color w:val="666666"/>
          <w:sz w:val="18"/>
        </w:rPr>
        <w:t>Fahim C et al.  ·  Health Res Policy Syst  ·  10.09.2026  ·  PMID 42723069</w:t>
      </w:r>
    </w:p>
    <w:p>
      <w:r>
        <w:t>Mixed-Methods-Evaluation eines Unterstützungszentrums zur Stärkung der Forschungskapazität für Health Systems Research und Implementierung in Ländern mit niedrigem und mittlerem Einkommen.</w:t>
      </w:r>
    </w:p>
    <w:p>
      <w:r>
        <w:rPr>
          <w:b/>
        </w:rPr>
        <w:t xml:space="preserve">Ergebnis: </w:t>
      </w:r>
      <w:r>
        <w:t>22 Teilnehmer aus 6 Ländern; 8 von 9 Forschungskapazitäts-Outcomes verbesserten sich signifikant; signifikante Unterschiede in der Fähigkeit zur Entwicklung evidenzgestützter Knowledge-Translation-Interventionen (Z=-2,93, p&lt;0,05). Hauptbarrieren: fragmentierte Dienstleistungen, mangelnde Daten/Ausrüstung; Enabler: Stakeholder-Partnerschaften, multi-sektorale Ansätze.</w:t>
      </w:r>
    </w:p>
    <w:p>
      <w:r>
        <w:rPr>
          <w:b/>
          <w:sz w:val="19"/>
        </w:rPr>
        <w:t xml:space="preserve">Übertragbarkeit: </w:t>
      </w:r>
      <w:r>
        <w:rPr>
          <w:sz w:val="19"/>
        </w:rPr>
        <w:t>Low- and Middle-Income Countries; Implementierungswissenschaft auf deutsche Kapazitätsentwicklung nicht direkt übertragbar.</w:t>
      </w:r>
    </w:p>
    <w:p>
      <w:r>
        <w:rPr>
          <w:color w:val="5A7D3A"/>
          <w:sz w:val="18"/>
        </w:rPr>
        <w:t>https://pubmed.ncbi.nlm.nih.gov/42723069/</w:t>
      </w:r>
    </w:p>
    <w:p>
      <w:pPr>
        <w:pStyle w:val="Heading2"/>
      </w:pPr>
      <w:r>
        <w:t>Conversational Agent für Magenkrebspatienten</w:t>
      </w:r>
    </w:p>
    <w:p>
      <w:r>
        <w:rPr>
          <w:i/>
          <w:color w:val="666666"/>
          <w:sz w:val="18"/>
        </w:rPr>
        <w:t>Kang Y et al.  ·  J Med Internet Res  ·  10.09.2026  ·  PMID 42721321</w:t>
      </w:r>
    </w:p>
    <w:p>
      <w:r>
        <w:t>Action-Research-Studie zur Entwicklung und Usability-Bewertung eines KI-gestützten Conversational Agents für Patientenschulung bei Magenkrebs.</w:t>
      </w:r>
    </w:p>
    <w:p>
      <w:r>
        <w:rPr>
          <w:b/>
        </w:rPr>
        <w:t xml:space="preserve">Ergebnis: </w:t>
      </w:r>
      <w:r>
        <w:t>44 Patienten, 13 Pflegekräfte, 3 Manager, 2 Chirurgen getestet; Accuracy über 3 Testzyklen: 67%, 71%, 82%; RAG-Knowledge-Hit-Rate: 86%, 98%, 100% (signifikante Verbesserung p&lt;0,01). Chatbot-Usability-Score: 91,9 (SD 3,6); Content-Relevanz: 3,75 (SD 0,9). Drei Themen nutzer-zentriert: Wahrgenommene Nützlichkeit, Ease of Use, Nutzungsabsicht.</w:t>
      </w:r>
    </w:p>
    <w:p>
      <w:r>
        <w:rPr>
          <w:b/>
          <w:sz w:val="19"/>
        </w:rPr>
        <w:t xml:space="preserve">Übertragbarkeit: </w:t>
      </w:r>
      <w:r>
        <w:rPr>
          <w:sz w:val="19"/>
        </w:rPr>
        <w:t>China, Krankenhaus-Setting; Technologie-Anwendung für Patientenbildung auf deutsche Systeme prinzipiell übertragbar, Validierung erforderlich.</w:t>
      </w:r>
    </w:p>
    <w:p>
      <w:r>
        <w:rPr>
          <w:color w:val="5A7D3A"/>
          <w:sz w:val="18"/>
        </w:rPr>
        <w:t>https://pubmed.ncbi.nlm.nih.gov/42721321/</w:t>
      </w:r>
    </w:p>
    <w:p>
      <w:pPr>
        <w:pStyle w:val="Heading2"/>
      </w:pPr>
      <w:r>
        <w:t>Lebensqualität bei Krebspatienten in der DR Kongo</w:t>
      </w:r>
    </w:p>
    <w:p>
      <w:r>
        <w:rPr>
          <w:i/>
          <w:color w:val="666666"/>
          <w:sz w:val="18"/>
        </w:rPr>
        <w:t>Pilz MJ et al.  ·  BMJ Open  ·  09.09.2026  ·  PMID 42716684</w:t>
      </w:r>
    </w:p>
    <w:p>
      <w:r>
        <w:t>Querschnitts-Mixed-Methods-Studie zur gesundheitsbezogenen Lebensqualität von Krebspatienten in Lubumbashi, Demokratische Republik Kongo.</w:t>
      </w:r>
    </w:p>
    <w:p>
      <w:r>
        <w:rPr>
          <w:b/>
        </w:rPr>
        <w:t xml:space="preserve">Ergebnis: </w:t>
      </w:r>
      <w:r>
        <w:t>103 Patienten untersucht; 94,1% berichten finanzielle Probleme, 80,4% soziale Isolation, 71,8% Besorgnis. Symptombelastung deutlich höher als in Spanien-Kontrollgruppe (OR 1,18–28,0 für Symptome); nach Adjustierung für Alter, Geschlecht, Komorbiditäten blieben signifikante Unterschiede für 10 von 16 Skalen (p&lt;0,05). Hohe Symptombelastung erfordert Unterstützungsmaßnahmen.</w:t>
      </w:r>
    </w:p>
    <w:p>
      <w:r>
        <w:rPr>
          <w:b/>
          <w:sz w:val="19"/>
        </w:rPr>
        <w:t xml:space="preserve">Übertragbarkeit: </w:t>
      </w:r>
      <w:r>
        <w:rPr>
          <w:sz w:val="19"/>
        </w:rPr>
        <w:t>DR Kongo, Low-Income Setting; Bedeutung für ressourcenlimitierte Systeme, eingeschränkte Übertragbarkeit auf deutsche Verhältnisse.</w:t>
      </w:r>
    </w:p>
    <w:p>
      <w:r>
        <w:rPr>
          <w:color w:val="5A7D3A"/>
          <w:sz w:val="18"/>
        </w:rPr>
        <w:t>https://pubmed.ncbi.nlm.nih.gov/42716684/</w:t>
      </w:r>
    </w:p>
    <w:p>
      <w:pPr>
        <w:pStyle w:val="Heading2"/>
      </w:pPr>
      <w:r>
        <w:t>Verbrauchergesteuerte Forschungspriorität in Australien</w:t>
      </w:r>
    </w:p>
    <w:p>
      <w:r>
        <w:rPr>
          <w:i/>
          <w:color w:val="666666"/>
          <w:sz w:val="18"/>
        </w:rPr>
        <w:t>Catapan SC et al.  ·  Rural Remote Health  ·  01.09.2026  ·  PMID 42716571</w:t>
      </w:r>
    </w:p>
    <w:p>
      <w:r>
        <w:t>Qualitative Studie mit World Café-Methode zur Bestimmung von Forschungsprioritäten für Gesundheit in ruralen australischen Gemeinden.</w:t>
      </w:r>
    </w:p>
    <w:p>
      <w:r>
        <w:rPr>
          <w:b/>
        </w:rPr>
        <w:t xml:space="preserve">Ergebnis: </w:t>
      </w:r>
      <w:r>
        <w:t>Fünf identifizierte Prioritäten: (1) Rekrutierung/Bindung von Hausärzten, (2) multidisziplinäre Versorgung, (3) Bewusstsein für lokale Dienste, (4) erweiterte Chroniker-Betreuung mit Remote-Monitoring, (5) Verbindung zu sozialen Determinanten (Wohnung, Finanzen). Konsens zwischen Verbrauchern und Forschern auf Bedarf für maßgeschneiderte, gemeindegesteuerte Interventionen.</w:t>
      </w:r>
    </w:p>
    <w:p>
      <w:r>
        <w:rPr>
          <w:b/>
          <w:sz w:val="19"/>
        </w:rPr>
        <w:t xml:space="preserve">Übertragbarkeit: </w:t>
      </w:r>
      <w:r>
        <w:rPr>
          <w:sz w:val="19"/>
        </w:rPr>
        <w:t>Australien, steuerfinanziert; Partizipativmethode zur Prioritätensetzung auf deutsche Versorgungsforschung teilweise übertragbar.</w:t>
      </w:r>
    </w:p>
    <w:p>
      <w:r>
        <w:rPr>
          <w:color w:val="5A7D3A"/>
          <w:sz w:val="18"/>
        </w:rPr>
        <w:t>https://pubmed.ncbi.nlm.nih.gov/42716571/</w:t>
      </w:r>
    </w:p>
    <w:p>
      <w:pPr>
        <w:pStyle w:val="Heading1"/>
      </w:pPr>
      <w:r>
        <w:t>Aufgenommen am 11.09.2026</w:t>
      </w:r>
    </w:p>
    <w:p>
      <w:pPr>
        <w:pStyle w:val="Heading2"/>
      </w:pPr>
      <w:r>
        <w:t>Mobile Single-Lead ECG-Screening für Vorhofflimmern in Routine-Settings</w:t>
      </w:r>
    </w:p>
    <w:p>
      <w:r>
        <w:rPr>
          <w:i/>
          <w:color w:val="666666"/>
          <w:sz w:val="18"/>
        </w:rPr>
        <w:t>Fenske R et al.  ·  JMIR Cardio  ·  10.09.2026  ·  PMID 42721301</w:t>
      </w:r>
    </w:p>
    <w:p>
      <w:r>
        <w:t>Deutsche Multizenterstudie zur Machbarkeit von mobiler Single-Lead-EKG-Detektion für Vorhofflimmern in Krankenhaus und Praxis.</w:t>
      </w:r>
    </w:p>
    <w:p>
      <w:r>
        <w:rPr>
          <w:b/>
        </w:rPr>
        <w:t xml:space="preserve">Ergebnis: </w:t>
      </w:r>
      <w:r>
        <w:t>Von 237 Patienten lieferte das Gerät Interpretation bei 95,3% (41/43) der Ambulanten und 85,6% (166/194) der Stationären. Neu vermutetes Vorhofflimmern fand sich bei 1,7% (4/237); technische Probleme bei 16,0% (38/237). Nur 6,3% (15/237) nutzten regelmäßig Telemedizin. Die Machbarkeit ist gegeben, aber systematische Bestätigungstests und höhere Telemedizin-Akzeptanz fehlen.</w:t>
      </w:r>
    </w:p>
    <w:p>
      <w:r>
        <w:rPr>
          <w:b/>
          <w:sz w:val="19"/>
        </w:rPr>
        <w:t xml:space="preserve">Übertragbarkeit: </w:t>
      </w:r>
      <w:r>
        <w:rPr>
          <w:sz w:val="19"/>
        </w:rPr>
        <w:t>Deutsche Multizenterstudie mit lokalem Versorgungskontext</w:t>
      </w:r>
    </w:p>
    <w:p>
      <w:r>
        <w:rPr>
          <w:color w:val="5A7D3A"/>
          <w:sz w:val="18"/>
        </w:rPr>
        <w:t>https://pubmed.ncbi.nlm.nih.gov/42721301/</w:t>
      </w:r>
    </w:p>
    <w:p>
      <w:pPr>
        <w:pStyle w:val="Heading2"/>
      </w:pPr>
      <w:r>
        <w:t>Trends bei Milchpumpen-Verschreibungen in Deutschland 2011-2024</w:t>
      </w:r>
    </w:p>
    <w:p>
      <w:r>
        <w:rPr>
          <w:i/>
          <w:color w:val="666666"/>
          <w:sz w:val="18"/>
        </w:rPr>
        <w:t>Fischer L et al.  ·  Breastfeed Med  ·  10.09.2026  ·  PMID 42720285</w:t>
      </w:r>
    </w:p>
    <w:p>
      <w:r>
        <w:t>Sekundäranalyse von Routinedaten der gesetzlichen Krankenversicherung zu Trends bei Verordnungen von Milchpumpen im ambulanten Sektor.</w:t>
      </w:r>
    </w:p>
    <w:p>
      <w:r>
        <w:rPr>
          <w:b/>
        </w:rPr>
        <w:t xml:space="preserve">Ergebnis: </w:t>
      </w:r>
      <w:r>
        <w:t>Elektrische Milchpumpen-Ansprüche stiegen von 235 auf 605 Ansprüche pro 1.000 Neugeborene (durchschnittliches jährliches Wachstum 8,2%). 2024 betrugen die Krankenkassen-Kosten für Leih-Pumpen €15,3 Millionen. Erhebliche regionale Schwankungen zwischen Bundesländern, aber überall Anstieg.</w:t>
      </w:r>
    </w:p>
    <w:p>
      <w:r>
        <w:rPr>
          <w:b/>
          <w:sz w:val="19"/>
        </w:rPr>
        <w:t xml:space="preserve">Übertragbarkeit: </w:t>
      </w:r>
      <w:r>
        <w:rPr>
          <w:sz w:val="19"/>
        </w:rPr>
        <w:t>Deutsche Routinedaten der gesetzlichen Krankenversicherung, vollständig übertragbar</w:t>
      </w:r>
    </w:p>
    <w:p>
      <w:r>
        <w:rPr>
          <w:color w:val="5A7D3A"/>
          <w:sz w:val="18"/>
        </w:rPr>
        <w:t>https://pubmed.ncbi.nlm.nih.gov/42720285/</w:t>
      </w:r>
    </w:p>
    <w:p>
      <w:pPr>
        <w:pStyle w:val="Heading2"/>
      </w:pPr>
      <w:r>
        <w:t>Medical Invalidation: Systematische Konzeptualisierung eines Versorgungsproblems</w:t>
      </w:r>
    </w:p>
    <w:p>
      <w:r>
        <w:rPr>
          <w:i/>
          <w:color w:val="666666"/>
          <w:sz w:val="18"/>
        </w:rPr>
        <w:t>Lerch SP et al.  ·  BMC Health Serv Res  ·  08.09.2026  ·  PMID 42717341</w:t>
      </w:r>
    </w:p>
    <w:p>
      <w:r>
        <w:t>Scoping Review zur konzeptuellen Klärung von Medical Invalidation, Ursachen, Konsequenzen und Lösungsansätze in der Gesundheitsversorgung.</w:t>
      </w:r>
    </w:p>
    <w:p>
      <w:r>
        <w:rPr>
          <w:b/>
        </w:rPr>
        <w:t xml:space="preserve">Ergebnis: </w:t>
      </w:r>
      <w:r>
        <w:t>158 Studien zeigen inkonsistente Definitionen von Invalidation und Gaslighting. Multifaktorielle Ursachen identifiziert: diagnostische Herausforderungen, strukturelle Faktoren, Stigma, Diagnostikskills-Defizite. Validierung hatte konsistent positive Effekte; Invalidation führte zu Verhaltens-, emotionalen, kognitiven und physischen Schäden. Lösungen: Kommunikationstraining, klinische Schulung, Patientenunterstützung, Forschung, systemische Änderungen.</w:t>
      </w:r>
    </w:p>
    <w:p>
      <w:r>
        <w:rPr>
          <w:b/>
          <w:sz w:val="19"/>
        </w:rPr>
        <w:t xml:space="preserve">Übertragbarkeit: </w:t>
      </w:r>
      <w:r>
        <w:rPr>
          <w:sz w:val="19"/>
        </w:rPr>
        <w:t>Universeller Problembereich, besonders relevant für deutsches Versorgungssystem</w:t>
      </w:r>
    </w:p>
    <w:p>
      <w:r>
        <w:rPr>
          <w:color w:val="5A7D3A"/>
          <w:sz w:val="18"/>
        </w:rPr>
        <w:t>https://pubmed.ncbi.nlm.nih.gov/42717341/</w:t>
      </w:r>
    </w:p>
    <w:p>
      <w:pPr>
        <w:pStyle w:val="Heading2"/>
      </w:pPr>
      <w:r>
        <w:t>Cardiolotse: Transitionales Care-Modell für kardiovaskuläre Patienten</w:t>
      </w:r>
    </w:p>
    <w:p>
      <w:r>
        <w:rPr>
          <w:i/>
          <w:color w:val="666666"/>
          <w:sz w:val="18"/>
        </w:rPr>
        <w:t>Kropp S et al.  ·  BMC Health Serv Res  ·  09.09.2026  ·  PMID 42717334</w:t>
      </w:r>
    </w:p>
    <w:p>
      <w:r>
        <w:t>Prozessevaluation eines Pflegefachpersonen-geführten Transitionscare-Modells in Deutschland zur Verbesserung der Versorgungskoordination nach Krankenhausentlassung.</w:t>
      </w:r>
    </w:p>
    <w:p>
      <w:r>
        <w:rPr>
          <w:b/>
        </w:rPr>
        <w:t xml:space="preserve">Ergebnis: </w:t>
      </w:r>
      <w:r>
        <w:t>Etwa 12.500 Kontakte wurden durchgeführt. Patienten berichteten hohe Zufriedenheit und vertrauten den Cardiolotsen. Jedoch konnten zufriedenheitsscore zwischen Interventions- und Kontrollgruppe hinsichtlich Behandlung nicht unterschieden werden. Nur 10% der niedergelassenen Ärzte erreichten regelmäßigen Kontakt – sektorübergreifende Kommunikation war die Haupthürde.</w:t>
      </w:r>
    </w:p>
    <w:p>
      <w:r>
        <w:rPr>
          <w:b/>
          <w:sz w:val="19"/>
        </w:rPr>
        <w:t xml:space="preserve">Übertragbarkeit: </w:t>
      </w:r>
      <w:r>
        <w:rPr>
          <w:sz w:val="19"/>
        </w:rPr>
        <w:t>Realistische deutsche Versorgungsforschung zu Care Coordination</w:t>
      </w:r>
    </w:p>
    <w:p>
      <w:r>
        <w:rPr>
          <w:color w:val="5A7D3A"/>
          <w:sz w:val="18"/>
        </w:rPr>
        <w:t>https://pubmed.ncbi.nlm.nih.gov/42717334/</w:t>
      </w:r>
    </w:p>
    <w:p>
      <w:pPr>
        <w:pStyle w:val="Heading2"/>
      </w:pPr>
      <w:r>
        <w:t>Patient-Reported Outcomes nach Revaskularisation bei Claudicatio intermittens</w:t>
      </w:r>
    </w:p>
    <w:p>
      <w:r>
        <w:rPr>
          <w:i/>
          <w:color w:val="666666"/>
          <w:sz w:val="18"/>
        </w:rPr>
        <w:t>Peters F et al.  ·  J Vasc Surg  ·  08.09.2026  ·  PMID 42710606</w:t>
      </w:r>
    </w:p>
    <w:p>
      <w:r>
        <w:t>Deutsche prospektive Multizenterstudie zu Patient-Reported Outcomes (PROMs) nach invasiver Revaskularisierung bei Claudicatio intermittens.</w:t>
      </w:r>
    </w:p>
    <w:p>
      <w:r>
        <w:rPr>
          <w:b/>
        </w:rPr>
        <w:t xml:space="preserve">Ergebnis: </w:t>
      </w:r>
      <w:r>
        <w:t>Von 963 Patienten (64% Männer, Median 68 Jahre) verbesserte sich der Physical Component Summary score (SF-12) von median 35 auf 45 (Bereich Q1-Q3: 28-43 auf 39-52). Maximale schmerzfreie Gehstrecke stieg um 20 Minuten, Beinschmerzen im Ruhezustand sank um 10 Punkte. Adipositas, Rentner-Status und Nicht-Erwerbstätigkeit waren mit kleineren Verbesserungen assoziiert.</w:t>
      </w:r>
    </w:p>
    <w:p>
      <w:r>
        <w:rPr>
          <w:b/>
          <w:sz w:val="19"/>
        </w:rPr>
        <w:t xml:space="preserve">Übertragbarkeit: </w:t>
      </w:r>
      <w:r>
        <w:rPr>
          <w:sz w:val="19"/>
        </w:rPr>
        <w:t>Deutsche Multizenterstudie, direkt auf deutsches Gesundheitssystem übertragbar</w:t>
      </w:r>
    </w:p>
    <w:p>
      <w:r>
        <w:rPr>
          <w:color w:val="5A7D3A"/>
          <w:sz w:val="18"/>
        </w:rPr>
        <w:t>https://pubmed.ncbi.nlm.nih.gov/42710606/</w:t>
      </w:r>
    </w:p>
    <w:p>
      <w:pPr>
        <w:pStyle w:val="Heading2"/>
      </w:pPr>
      <w:r>
        <w:t>Gute Praxis Sekundärdatenanalyse Version 4: Leitlinien und Empfehlungen</w:t>
      </w:r>
    </w:p>
    <w:p>
      <w:r>
        <w:rPr>
          <w:i/>
          <w:color w:val="666666"/>
          <w:sz w:val="18"/>
        </w:rPr>
        <w:t>Swart E et al.  ·  Gesundheitswesen  ·  07.09.2026  ·  PMID 42705329</w:t>
      </w:r>
    </w:p>
    <w:p>
      <w:r>
        <w:t>Aktualisierte Richtlinie für methodische Standards bei der Durchführung von Sekundärdatenanalysen in Deutschland mit neuen Empfehlungen.</w:t>
      </w:r>
    </w:p>
    <w:p>
      <w:r>
        <w:rPr>
          <w:b/>
        </w:rPr>
        <w:t xml:space="preserve">Ergebnis: </w:t>
      </w:r>
      <w:r>
        <w:t>Version 4 ergänzt frühere Versionen um Empfehlungen zu Studienpopulation, Auswertestrategie, Registrierung, Zusammenspiel von Datenanalyse und Patient:innenperspektive, Data Dictionaries, Zwischenauswertungen, verteiltem Rechnen, Dokumentation, gepoolten Daten, Rechtrahmen und Wissenschaftskommunikation. Standard für Sekundärdatenanalysen nach wissenschaftlichen Grundsätzen in Deutschland etabliert.</w:t>
      </w:r>
    </w:p>
    <w:p>
      <w:r>
        <w:rPr>
          <w:b/>
          <w:sz w:val="19"/>
        </w:rPr>
        <w:t xml:space="preserve">Übertragbarkeit: </w:t>
      </w:r>
      <w:r>
        <w:rPr>
          <w:sz w:val="19"/>
        </w:rPr>
        <w:t>Deutsche Fachmethodologie, grundlegend für deutsches Versorgungsforschungs-System</w:t>
      </w:r>
    </w:p>
    <w:p>
      <w:r>
        <w:rPr>
          <w:color w:val="5A7D3A"/>
          <w:sz w:val="18"/>
        </w:rPr>
        <w:t>https://pubmed.ncbi.nlm.nih.gov/42705329/</w:t>
      </w:r>
    </w:p>
    <w:p>
      <w:pPr>
        <w:pStyle w:val="Heading1"/>
      </w:pPr>
      <w:r>
        <w:t>Aufgenommen am 10.09.2026</w:t>
      </w:r>
    </w:p>
    <w:p>
      <w:pPr>
        <w:pStyle w:val="Heading2"/>
      </w:pPr>
      <w:r>
        <w:t>Sentiment analysis mit BERT-Modell für Patientenerfahrungen in der Primärversorgung</w:t>
      </w:r>
    </w:p>
    <w:p>
      <w:r>
        <w:rPr>
          <w:i/>
          <w:color w:val="666666"/>
          <w:sz w:val="18"/>
        </w:rPr>
        <w:t>Norman RM et al.  ·  Fam Pract  ·  31.07.2026  ·  PMID 42713859</w:t>
      </w:r>
    </w:p>
    <w:p>
      <w:r>
        <w:t>Fine-tuning eines Sprachmodells (NorBERT3) zur automatisierten Sentimentanalyse von Patientenerfahrungen in norwegischen Hausarztpraxen.</w:t>
      </w:r>
    </w:p>
    <w:p>
      <w:r>
        <w:rPr>
          <w:b/>
        </w:rPr>
        <w:t xml:space="preserve">Ergebnis: </w:t>
      </w:r>
      <w:r>
        <w:t>Das optimierte Modell erzielte hohe F1-Scores auf Testdaten (0,80 AUC für Online-Bewertungen), übertraf traditionelle Methoden und ein großes Sprachmodell. Konstruktvalidität wurde durch erwartete Korrelationen mit Patientenerfahrungsscores und bekannte Subgruppenunterschiede unterstützt.</w:t>
      </w:r>
    </w:p>
    <w:p>
      <w:r>
        <w:rPr>
          <w:b/>
          <w:sz w:val="19"/>
        </w:rPr>
        <w:t xml:space="preserve">Übertragbarkeit: </w:t>
      </w:r>
      <w:r>
        <w:rPr>
          <w:sz w:val="19"/>
        </w:rPr>
        <w:t>Norwegen, ähnliche Primärversorgungsstruktur wie Deutschland</w:t>
      </w:r>
    </w:p>
    <w:p>
      <w:r>
        <w:rPr>
          <w:color w:val="5A7D3A"/>
          <w:sz w:val="18"/>
        </w:rPr>
        <w:t>https://pubmed.ncbi.nlm.nih.gov/42713859/</w:t>
      </w:r>
    </w:p>
    <w:p>
      <w:pPr>
        <w:pStyle w:val="Heading2"/>
      </w:pPr>
      <w:r>
        <w:t>Unterstützungsmodell für sichere Medikamentennutzung bei Migranten mit Sprachbarrieren</w:t>
      </w:r>
    </w:p>
    <w:p>
      <w:r>
        <w:rPr>
          <w:i/>
          <w:color w:val="666666"/>
          <w:sz w:val="18"/>
        </w:rPr>
        <w:t>Hjelm K et al.  ·  BMC Health Serv Res  ·  07.09.2026  ·  PMID 42711692</w:t>
      </w:r>
    </w:p>
    <w:p>
      <w:r>
        <w:t>Co-creation Partizipative Aktionsforschung identifizierte Unterstützungsbedarfe für sichere Medikamentennutzung bei fremdgeborenen Personen mit Sprachschwierigkeiten in Schweden.</w:t>
      </w:r>
    </w:p>
    <w:p>
      <w:r>
        <w:rPr>
          <w:b/>
        </w:rPr>
        <w:t xml:space="preserve">Ergebnis: </w:t>
      </w:r>
      <w:r>
        <w:t>Sieben Handlungsfelder identifiziert: Routinen für sichere Medikamentennutzung, Kontinuität, Sprachenunterstützung, Ressourcen, Patienteneducation, Mitarbeiterschulung und nationale Maßnahmen. Kern: Koordiniertes interdisziplinäres Team in der Primärversorgung mit erreichbarer Kontaktperson.</w:t>
      </w:r>
    </w:p>
    <w:p>
      <w:r>
        <w:rPr>
          <w:b/>
          <w:sz w:val="19"/>
        </w:rPr>
        <w:t xml:space="preserve">Übertragbarkeit: </w:t>
      </w:r>
      <w:r>
        <w:rPr>
          <w:sz w:val="19"/>
        </w:rPr>
        <w:t>Schweden, vergleichbares Sozialversicherungssystem, Migrationskontexte zentral</w:t>
      </w:r>
    </w:p>
    <w:p>
      <w:r>
        <w:rPr>
          <w:color w:val="5A7D3A"/>
          <w:sz w:val="18"/>
        </w:rPr>
        <w:t>https://pubmed.ncbi.nlm.nih.gov/42711692/</w:t>
      </w:r>
    </w:p>
    <w:p>
      <w:pPr>
        <w:pStyle w:val="Heading2"/>
      </w:pPr>
      <w:r>
        <w:t>Dementenangebot und Ergebnisse in japanischen Akutkrankenhäusern nach Finanzierungsanreiz</w:t>
      </w:r>
    </w:p>
    <w:p>
      <w:r>
        <w:rPr>
          <w:i/>
          <w:color w:val="666666"/>
          <w:sz w:val="18"/>
        </w:rPr>
        <w:t>Wu J et al.  ·  Geriatr Gerontol Int  ·  Sept. 2026  ·  PMID 42711657</w:t>
      </w:r>
    </w:p>
    <w:p>
      <w:r>
        <w:t>Nationale Analyse der Patienten, die für Japans Dementatax-Anreiz (DCA) berechtigt sind, und deren klinische Versorgungsergebnisse 2016–2019.</w:t>
      </w:r>
    </w:p>
    <w:p>
      <w:r>
        <w:rPr>
          <w:b/>
        </w:rPr>
        <w:t xml:space="preserve">Ergebnis: </w:t>
      </w:r>
      <w:r>
        <w:t>1.046.652 Hospitalisierungen von Personen über 65 Jahren mit Dementia. DCA-Abrechnungen stiegen von 6,4% (DCA1) und 13,2% (DCA2) 2016 auf 20,8% und 32,8% 2019. Verweildauer sank von 33,7 auf 27,8 Tage, Krankenhaussterblichkeit von 13,9% auf 12,9%, unangemessene Medikation von 16,2% auf 14,0%.</w:t>
      </w:r>
    </w:p>
    <w:p>
      <w:r>
        <w:rPr>
          <w:b/>
          <w:sz w:val="19"/>
        </w:rPr>
        <w:t xml:space="preserve">Übertragbarkeit: </w:t>
      </w:r>
      <w:r>
        <w:rPr>
          <w:sz w:val="19"/>
        </w:rPr>
        <w:t>Japan, begrenzt übertragbar; Fragestellung zu Finanzierungseffekten in Gesundheitssystemen mit anderen Anreizstrukturen</w:t>
      </w:r>
    </w:p>
    <w:p>
      <w:r>
        <w:rPr>
          <w:color w:val="5A7D3A"/>
          <w:sz w:val="18"/>
        </w:rPr>
        <w:t>https://pubmed.ncbi.nlm.nih.gov/42711657/</w:t>
      </w:r>
    </w:p>
    <w:p>
      <w:pPr>
        <w:pStyle w:val="Heading2"/>
      </w:pPr>
      <w:r>
        <w:t>Auswirkungen von Fortbildung auf Personalfluktuation in US-Veteranenkliniken</w:t>
      </w:r>
    </w:p>
    <w:p>
      <w:r>
        <w:rPr>
          <w:i/>
          <w:color w:val="666666"/>
          <w:sz w:val="18"/>
        </w:rPr>
        <w:t>Sterling R et al.  ·  J Rural Health  ·  Juni 2026  ·  PMID 42708822</w:t>
      </w:r>
    </w:p>
    <w:p>
      <w:r>
        <w:t>Quasi-experimentelle Studie der Rural Interprofessional Faculty Development Initiative (RIFDI) auf Mitarbeiterkontinuität in VHA-Kliniken landesweit 2019–2024.</w:t>
      </w:r>
    </w:p>
    <w:p>
      <w:r>
        <w:rPr>
          <w:b/>
        </w:rPr>
        <w:t xml:space="preserve">Ergebnis: </w:t>
      </w:r>
      <w:r>
        <w:t>Fluktuationsrate &lt;1 Jahr nach RIFDI-Abschluss: 12,8% (geringe Engagements), &lt;1,0% (hohe Engagements), 11,3% (keine RIFDI). Hochengagierte Teilnehmer hatten 11-fach niedrigere Fluktuationsquoten (p&lt;0,001).</w:t>
      </w:r>
    </w:p>
    <w:p>
      <w:r>
        <w:rPr>
          <w:b/>
          <w:sz w:val="19"/>
        </w:rPr>
        <w:t xml:space="preserve">Übertragbarkeit: </w:t>
      </w:r>
      <w:r>
        <w:rPr>
          <w:sz w:val="19"/>
        </w:rPr>
        <w:t>USA-Veteranensystem; Fragestellung zu Personalentwicklung systemunabhängig</w:t>
      </w:r>
    </w:p>
    <w:p>
      <w:r>
        <w:rPr>
          <w:color w:val="5A7D3A"/>
          <w:sz w:val="18"/>
        </w:rPr>
        <w:t>https://pubmed.ncbi.nlm.nih.gov/42708822/</w:t>
      </w:r>
    </w:p>
    <w:p>
      <w:pPr>
        <w:pStyle w:val="Heading2"/>
      </w:pPr>
      <w:r>
        <w:t>Exposition gegenüber Passivrauchen und durch GBD 2023 verursachte Krankheitslast</w:t>
      </w:r>
    </w:p>
    <w:p>
      <w:r>
        <w:rPr>
          <w:i/>
          <w:color w:val="666666"/>
          <w:sz w:val="18"/>
        </w:rPr>
        <w:t>GBD 2023 Second-hand smoke Collaborators  ·  Lancet Public Health  ·  07.09.2026  ·  PMID 42705247</w:t>
      </w:r>
    </w:p>
    <w:p>
      <w:r>
        <w:t>Globale, regionale und nationale Prävalenz der Passivrauchwirkung und der zurechenbaren Krankheitslast in 204 Ländern 1990–2023, GBD 2023 Studie.</w:t>
      </w:r>
    </w:p>
    <w:p>
      <w:r>
        <w:rPr>
          <w:b/>
        </w:rPr>
        <w:t xml:space="preserve">Ergebnis: </w:t>
      </w:r>
      <w:r>
        <w:t>2,71 Mrd. Menschen 2023 exponiert (767 Mio. Kinder 0–14 Jahre); 22,2% Rückgang der altersstandartisierten Prävalenz seit 1990. Absolute Fallzahlen stabil global, aber +98,5% in Sub-Sahara-Afrika, +72,1% Nordafrika/Naher Osten. 1,66 Mio. Todesfälle, 44,8 Mio. DALYs; ischämische Herzerkrankung und pädiatrische Infektionen der Atemwege führend.</w:t>
      </w:r>
    </w:p>
    <w:p>
      <w:r>
        <w:rPr>
          <w:b/>
          <w:sz w:val="19"/>
        </w:rPr>
        <w:t xml:space="preserve">Übertragbarkeit: </w:t>
      </w:r>
      <w:r>
        <w:rPr>
          <w:sz w:val="19"/>
        </w:rPr>
        <w:t>Globale Daten; Public-Health-Fragestellung systemunabhängig relevant</w:t>
      </w:r>
    </w:p>
    <w:p>
      <w:r>
        <w:rPr>
          <w:color w:val="5A7D3A"/>
          <w:sz w:val="18"/>
        </w:rPr>
        <w:t>https://pubmed.ncbi.nlm.nih.gov/42705247/</w:t>
      </w:r>
    </w:p>
    <w:p>
      <w:pPr>
        <w:pStyle w:val="Heading1"/>
      </w:pPr>
      <w:r>
        <w:t>Aufgenommen am 09.09.2026</w:t>
      </w:r>
    </w:p>
    <w:p>
      <w:pPr>
        <w:pStyle w:val="Heading2"/>
      </w:pPr>
      <w:r>
        <w:t>Fahrplan für die organisationsweite Einführung evidenzbasierter Medizin</w:t>
      </w:r>
    </w:p>
    <w:p>
      <w:r>
        <w:rPr>
          <w:i/>
          <w:color w:val="666666"/>
          <w:sz w:val="18"/>
        </w:rPr>
        <w:t>van der Braak K et al.  ·  JBI Evid Implement  ·  09.09.2026  ·  PMID 42710024</w:t>
      </w:r>
    </w:p>
    <w:p>
      <w:r>
        <w:t>Systematischer Überblick über 100 Reviews (2013–2023) zur Implementierung evidenzbasierter Medizin, ausgewertet nach Outcome-Messung, Kontextanalyse und Implementierungsstrategien.</w:t>
      </w:r>
    </w:p>
    <w:p>
      <w:r>
        <w:rPr>
          <w:b/>
        </w:rPr>
        <w:t xml:space="preserve">Ergebnis: </w:t>
      </w:r>
      <w:r>
        <w:t>Vier durchgängig empfohlene Messinstrumente wurden identifiziert (EBPQ, EPIC, Fresno Test, HS-EBP); 50 Reviews behandelten die Outcome-Messung, 57 die Kontextanalyse mit 22 Themen und 40 die Implementierungsstrategien, davon 38 edukative. Edukative Strategien sind am besten untersucht; Veränderungen der Infrastruktur sowie Outcomes auf Organisations- und Patientenebene bleiben unterrepräsentiert.</w:t>
      </w:r>
    </w:p>
    <w:p>
      <w:r>
        <w:rPr>
          <w:b/>
          <w:sz w:val="19"/>
        </w:rPr>
        <w:t xml:space="preserve">Übertragbarkeit: </w:t>
      </w:r>
      <w:r>
        <w:rPr>
          <w:sz w:val="19"/>
        </w:rPr>
        <w:t>Niederlande, Cochrane-Netzwerk; Sozialversicherungssystem mit Implementierungswissenschaft.</w:t>
      </w:r>
    </w:p>
    <w:p>
      <w:r>
        <w:rPr>
          <w:color w:val="5A7D3A"/>
          <w:sz w:val="18"/>
        </w:rPr>
        <w:t>https://pubmed.ncbi.nlm.nih.gov/42710024/</w:t>
      </w:r>
    </w:p>
    <w:p>
      <w:pPr>
        <w:pStyle w:val="Heading2"/>
      </w:pPr>
      <w:r>
        <w:t>Umweltverträglichere Arzneiwirkstoffe: Sichtweisen von Fachleuten im Gesundheitswesen</w:t>
      </w:r>
    </w:p>
    <w:p>
      <w:r>
        <w:rPr>
          <w:i/>
          <w:color w:val="666666"/>
          <w:sz w:val="18"/>
        </w:rPr>
        <w:t>Puhlmann N et al.  ·  BMC Health Serv Res  ·  04.09.2026  ·  PMID 42706542</w:t>
      </w:r>
    </w:p>
    <w:p>
      <w:r>
        <w:t>Qualitative Interviewstudie mit 16 europäischen Fachleuten (Ärzte, Apotheker, Beschaffung, Erstattung, Zulassung) zu den Voraussetzungen für den Einsatz umweltverträglicherer Arzneiwirkstoffe.</w:t>
      </w:r>
    </w:p>
    <w:p>
      <w:r>
        <w:rPr>
          <w:b/>
        </w:rPr>
        <w:t xml:space="preserve">Ergebnis: </w:t>
      </w:r>
      <w:r>
        <w:t>Die Befragten benannten bereits bestehende Ansätze, etwa Umweltkriterien in Beschaffungsausschreibungen. Als Voraussetzungen gelten verlässliche Daten zur Umweltwirkung, ein harmonisierter rechtlicher Bewertungsrahmen und eine zentrale Entscheidungsinstanz für Umwelteigenschaften. Wichtigster Ansatzpunkt ist aus Sicht der Befragten das Zulassungsverfahren; das fachliche Interesse an Umweltdaten könne Hersteller zur Offenlegung und zu umweltverträglicherem Wirkstoffdesign bewegen.</w:t>
      </w:r>
    </w:p>
    <w:p>
      <w:r>
        <w:rPr>
          <w:b/>
          <w:sz w:val="19"/>
        </w:rPr>
        <w:t xml:space="preserve">Übertragbarkeit: </w:t>
      </w:r>
      <w:r>
        <w:rPr>
          <w:sz w:val="19"/>
        </w:rPr>
        <w:t>Europäische Perspektiven; Regulierung und Beschaffung relevant für deutsches System.</w:t>
      </w:r>
    </w:p>
    <w:p>
      <w:r>
        <w:rPr>
          <w:color w:val="5A7D3A"/>
          <w:sz w:val="18"/>
        </w:rPr>
        <w:t>https://pubmed.ncbi.nlm.nih.gov/42706542/</w:t>
      </w:r>
    </w:p>
    <w:p>
      <w:pPr>
        <w:pStyle w:val="Heading2"/>
      </w:pPr>
      <w:r>
        <w:t>System Support Mapping: Implementierungsfaktoren auf neonatologischen Intensivstationen erfassen</w:t>
      </w:r>
    </w:p>
    <w:p>
      <w:r>
        <w:rPr>
          <w:i/>
          <w:color w:val="666666"/>
          <w:sz w:val="18"/>
        </w:rPr>
        <w:t>Dymek NG et al.  ·  BMC Health Serv Res  ·  05.09.2026  ·  PMID 42706532</w:t>
      </w:r>
    </w:p>
    <w:p>
      <w:r>
        <w:t>Methodische Darstellung des System Support Mapping in Verbindung mit einem Matrixed Multiple Case Study-Ansatz zur Erhebung von Implementierungsfaktoren in einer Studie zur Stillförderung an fünf deutschen neonatologischen Intensivstationen.</w:t>
      </w:r>
    </w:p>
    <w:p>
      <w:r>
        <w:rPr>
          <w:b/>
        </w:rPr>
        <w:t xml:space="preserve">Ergebnis: </w:t>
      </w:r>
      <w:r>
        <w:t>Vorgestellt wird ein Vorgehen in sechs Schritten: je Station eine eigene System Support Map (Schritte 1–3), danach eine stationsübergreifende Matrix zum Vergleich (Schritte 4–6). Innerhalb der Standorte zeigte sich, dass dieselbe Ressource je nach Kontext als förderlich, hinderlich oder beides wahrgenommen wurde; im Vergleich der Standorte traten gleichförmige wie heterogene Muster hervor. Damit lassen sich standortspezifische und übergreifende Strategien voneinander unterscheiden.</w:t>
      </w:r>
    </w:p>
    <w:p>
      <w:r>
        <w:rPr>
          <w:b/>
          <w:sz w:val="19"/>
        </w:rPr>
        <w:t xml:space="preserve">Übertragbarkeit: </w:t>
      </w:r>
      <w:r>
        <w:rPr>
          <w:sz w:val="19"/>
        </w:rPr>
        <w:t>Deutsche NICUs; Implementierungswissenschaft für deutsche Kontexte.</w:t>
      </w:r>
    </w:p>
    <w:p>
      <w:r>
        <w:rPr>
          <w:color w:val="5A7D3A"/>
          <w:sz w:val="18"/>
        </w:rPr>
        <w:t>https://pubmed.ncbi.nlm.nih.gov/42706532/</w:t>
      </w:r>
    </w:p>
    <w:p>
      <w:pPr>
        <w:pStyle w:val="Heading2"/>
      </w:pPr>
      <w:r>
        <w:t>Primary Care Behavioral Health in der schwedischen Primärversorgung: Ergebnisse einer Pilotstudie</w:t>
      </w:r>
    </w:p>
    <w:p>
      <w:r>
        <w:rPr>
          <w:i/>
          <w:color w:val="666666"/>
          <w:sz w:val="18"/>
        </w:rPr>
        <w:t>Nordgren LB et al.  ·  BMC Health Serv Res  ·  03.09.2026  ·  PMID 42706525</w:t>
      </w:r>
    </w:p>
    <w:p>
      <w:r>
        <w:t>Stepped-Wedge-Studie zur Einführung des Primary Care Behavioral Health-Modells in vier schwedischen Primärversorgungszentren mit 37.100 eingeschriebenen Patienten über drei Zeiträume.</w:t>
      </w:r>
    </w:p>
    <w:p>
      <w:r>
        <w:rPr>
          <w:b/>
        </w:rPr>
        <w:t xml:space="preserve">Ergebnis: </w:t>
      </w:r>
      <w:r>
        <w:t>Nach der Einführung sank die Wartezeit auf den Ersttermin um 30–39 % (von 16 auf 10 bis 11 Tage, p&lt;0,001), die Wartezeit auf alle Termine um 21–24 % (von 18 auf 13,7 bis 14,2 Tage, p&lt;0,001). Die Zahl der Termine bei Behavioral Health Consultants stieg um 21–34 % (von 1.762 auf 2.127 bis 2.359, p&lt;0,001), die Zahl der Psychopharmaka-Verordnungen sank um 14–18 % (von 8.025 auf 6.570 bis 6.927, p&lt;0,001). Nach Abschluss der Einführungsphase gingen die Verbesserungen teilweise zurück.</w:t>
      </w:r>
    </w:p>
    <w:p>
      <w:r>
        <w:rPr>
          <w:b/>
          <w:sz w:val="19"/>
        </w:rPr>
        <w:t xml:space="preserve">Übertragbarkeit: </w:t>
      </w:r>
      <w:r>
        <w:rPr>
          <w:sz w:val="19"/>
        </w:rPr>
        <w:t>Schweden, Primärversorgung; hausarztgesteuertes System, aber prozessuale Lernpunkte übertragbar.</w:t>
      </w:r>
    </w:p>
    <w:p>
      <w:r>
        <w:rPr>
          <w:color w:val="5A7D3A"/>
          <w:sz w:val="18"/>
        </w:rPr>
        <w:t>https://pubmed.ncbi.nlm.nih.gov/42706525/</w:t>
      </w:r>
    </w:p>
    <w:p>
      <w:pPr>
        <w:pStyle w:val="Heading2"/>
      </w:pPr>
      <w:r>
        <w:t>Leitliniengerechte Aphasietherapie: Systembarrieren im deutschsprachigen Raum</w:t>
      </w:r>
    </w:p>
    <w:p>
      <w:r>
        <w:rPr>
          <w:i/>
          <w:color w:val="666666"/>
          <w:sz w:val="18"/>
        </w:rPr>
        <w:t>May S et al.  ·  BMC Health Serv Res  ·  07.09.2026  ·  PMID 42706524</w:t>
      </w:r>
    </w:p>
    <w:p>
      <w:r>
        <w:t>Explorative qualitative Studie mit zwei Online-Fokusgruppen aus Menschen mit Aphasie, Angehörigen, Logopäden und Akteuren des Gesundheitswesens zu den Hürden einer leitliniengerechten Therapie im deutschsprachigen Raum.</w:t>
      </w:r>
    </w:p>
    <w:p>
      <w:r>
        <w:rPr>
          <w:b/>
        </w:rPr>
        <w:t xml:space="preserve">Ergebnis: </w:t>
      </w:r>
      <w:r>
        <w:t>Sechs Kategorien von Barrieren wurden benannt: gesellschaftliche und systemische Rahmenbedingungen, Zugang zur Versorgung, Brüche im Behandlungsverlauf, die Rolle der Angehörigen, psychosoziale Faktoren und Lücken in der interdisziplinären Versorgung. Als besonders anfällig gilt der Übergang von der stationären in die ambulante Versorgung; zerklüftete Versorgungspfade und finanzielle Hürden erschwerten die Umsetzung, und die informelle Unterstützung durch Angehörige schuf Ungleichheiten beim Zugang.</w:t>
      </w:r>
    </w:p>
    <w:p>
      <w:r>
        <w:rPr>
          <w:b/>
          <w:sz w:val="19"/>
        </w:rPr>
        <w:t xml:space="preserve">Übertragbarkeit: </w:t>
      </w:r>
      <w:r>
        <w:rPr>
          <w:sz w:val="19"/>
        </w:rPr>
        <w:t>Deutschland/Österreich/Schweiz, direkt; fokussiert auf Versorgungslücken und Systembarrieren.</w:t>
      </w:r>
    </w:p>
    <w:p>
      <w:r>
        <w:rPr>
          <w:color w:val="5A7D3A"/>
          <w:sz w:val="18"/>
        </w:rPr>
        <w:t>https://pubmed.ncbi.nlm.nih.gov/42706524/</w:t>
      </w:r>
    </w:p>
    <w:p>
      <w:pPr>
        <w:pStyle w:val="Heading2"/>
      </w:pPr>
      <w:r>
        <w:t>Patientenzufriedenheit in der Tele-Ophthalmologie: systematisches Review mit Metaanalyse</w:t>
      </w:r>
    </w:p>
    <w:p>
      <w:r>
        <w:rPr>
          <w:i/>
          <w:color w:val="666666"/>
          <w:sz w:val="18"/>
        </w:rPr>
        <w:t>Al-Nosairy KO et al.  ·  Eye (Lond)  ·  07.09.2026  ·  PMID 42706426</w:t>
      </w:r>
    </w:p>
    <w:p>
      <w:r>
        <w:t>Systematisches Review mit Metaanalyse aus 41 Studien (24.595 Teilnehmende) zum Vergleich der Patientenzufriedenheit zwischen tele-ophthalmologischer und persönlicher augenärztlicher Versorgung.</w:t>
      </w:r>
    </w:p>
    <w:p>
      <w:r>
        <w:rPr>
          <w:b/>
        </w:rPr>
        <w:t xml:space="preserve">Ergebnis: </w:t>
      </w:r>
      <w:r>
        <w:t>Die Zufriedenheit war vergleichbar (OR 0,98; 95%-KI 0,36–2,65, p=0,95). Gepoolt lag die Zufriedenheit mit der Telemedizin bei 93,5 % (95%-KI 90,8–95,5), die allgemeine Akzeptanz bei 92,0 %. Asynchrone (94,6 %), synchrone (92,1 %) und hybride Modelle (93,8 %) unterschieden sich kaum. Die Weiterempfehlung fiel höher aus (94,9 %) als die Absicht zur erneuten Nutzung (84,0 %); ein Publikationsbias war nicht nachweisbar (p&gt;0,05).</w:t>
      </w:r>
    </w:p>
    <w:p>
      <w:r>
        <w:rPr>
          <w:b/>
          <w:sz w:val="19"/>
        </w:rPr>
        <w:t xml:space="preserve">Übertragbarkeit: </w:t>
      </w:r>
      <w:r>
        <w:rPr>
          <w:sz w:val="19"/>
        </w:rPr>
        <w:t>Querschnittsübertragbar: Patientenzufriedenheit systemunabhängig.</w:t>
      </w:r>
    </w:p>
    <w:p>
      <w:r>
        <w:rPr>
          <w:color w:val="5A7D3A"/>
          <w:sz w:val="18"/>
        </w:rPr>
        <w:t>https://pubmed.ncbi.nlm.nih.gov/42706426/</w:t>
      </w:r>
    </w:p>
    <w:p>
      <w:pPr>
        <w:pStyle w:val="Heading2"/>
      </w:pPr>
      <w:r>
        <w:t>Hausarztkontakte und Prävention chronischer Erkrankungen in Chinas Gesundheitsreform</w:t>
      </w:r>
    </w:p>
    <w:p>
      <w:r>
        <w:rPr>
          <w:i/>
          <w:color w:val="666666"/>
          <w:sz w:val="18"/>
        </w:rPr>
        <w:t>Zhang Y et al.  ·  Soc Sci Med  ·  12.08.2026  ·  PMID 42704983</w:t>
      </w:r>
    </w:p>
    <w:p>
      <w:r>
        <w:t>Panelstudie mit 11.425 Personen aus vier Erhebungswellen (2011–2018) der China Health and Retirement Longitudinal Study zum Zusammenhang zwischen Hausarztkontakten, dem Neuauftreten chronischer Erkrankungen und der Krankenhausnutzung.</w:t>
      </w:r>
    </w:p>
    <w:p>
      <w:r>
        <w:rPr>
          <w:b/>
        </w:rPr>
        <w:t xml:space="preserve">Ergebnis: </w:t>
      </w:r>
      <w:r>
        <w:t>Jeder zusätzliche Hausarztkontakt ging mit weniger neu hinzukommenden chronischen Erkrankungen einher (−0,011; 95%-KI −0,017 bis −0,004). Stärker war der Zusammenhang bei Stadtbewohnern (−0,016), bei Personen mit Grundschulbildung (−0,014) und bei nur einer chronischen Erkrankung (−0,018). Bei bereits Erkrankten bestand kein signifikanter Zusammenhang mit ambulanten Krankenhauskontakten (−0,010; 95%-KI −0,029 bis 0,009) oder stationären Aufnahmen (0,010; 95%-KI −0,020 bis 0,040).</w:t>
      </w:r>
    </w:p>
    <w:p>
      <w:r>
        <w:rPr>
          <w:b/>
          <w:sz w:val="19"/>
        </w:rPr>
        <w:t xml:space="preserve">Übertragbarkeit: </w:t>
      </w:r>
      <w:r>
        <w:rPr>
          <w:sz w:val="19"/>
        </w:rPr>
        <w:t>China; Konzepte zu Primärversorgung und Prävention aber strukturelle Unterschiede erheblich.</w:t>
      </w:r>
    </w:p>
    <w:p>
      <w:r>
        <w:rPr>
          <w:color w:val="5A7D3A"/>
          <w:sz w:val="18"/>
        </w:rPr>
        <w:t>https://pubmed.ncbi.nlm.nih.gov/42704983/</w:t>
      </w:r>
    </w:p>
    <w:p>
      <w:pPr>
        <w:pStyle w:val="Heading1"/>
      </w:pPr>
      <w:r>
        <w:t>Aufgenommen am 08.09.2026</w:t>
      </w:r>
    </w:p>
    <w:p>
      <w:pPr>
        <w:pStyle w:val="Heading2"/>
      </w:pPr>
      <w:r>
        <w:t>Patientensicht auf Zahnbehandlungsqualität: qualitative Systematik-Übersicht</w:t>
      </w:r>
    </w:p>
    <w:p>
      <w:r>
        <w:rPr>
          <w:i/>
          <w:color w:val="666666"/>
          <w:sz w:val="18"/>
        </w:rPr>
        <w:t>Tay AHC et al.  ·  J Dent Res  ·  07.09.2026  ·  PMID 42703647</w:t>
      </w:r>
    </w:p>
    <w:p>
      <w:r>
        <w:t>Systematische qualitative Analyse von 36 Studien zur Patientenwahrnehmung von Qualität in der Zahnversorgung.</w:t>
      </w:r>
    </w:p>
    <w:p>
      <w:r>
        <w:rPr>
          <w:b/>
        </w:rPr>
        <w:t xml:space="preserve">Ergebnis: </w:t>
      </w:r>
      <w:r>
        <w:t>Vier Kernthemen: (1) strukturelle Bedingungen für Vertrauen, (2) Sicherheit durch erlebte Kompetenz, (3) zwischenmenschliche Pflege als Qualitätsfundament (Respekt, Empathie, Kommunikation, Shared Decision Making), (4) kontinuierliche Beziehung als patientenrelevantes Ergebnis. Patienten deuten relationale und emotionale Aspekte als Indikatoren der Systemorientierung.</w:t>
      </w:r>
    </w:p>
    <w:p>
      <w:r>
        <w:rPr>
          <w:b/>
          <w:sz w:val="19"/>
        </w:rPr>
        <w:t xml:space="preserve">Übertragbarkeit: </w:t>
      </w:r>
      <w:r>
        <w:rPr>
          <w:sz w:val="19"/>
        </w:rPr>
        <w:t>Diverse Populationen international, Thematik der Patientenzentralität systemunabhängig übertragbar.</w:t>
      </w:r>
    </w:p>
    <w:p>
      <w:r>
        <w:rPr>
          <w:color w:val="5A7D3A"/>
          <w:sz w:val="18"/>
        </w:rPr>
        <w:t>https://pubmed.ncbi.nlm.nih.gov/42703647/</w:t>
      </w:r>
    </w:p>
    <w:p>
      <w:pPr>
        <w:pStyle w:val="Heading2"/>
      </w:pPr>
      <w:r>
        <w:t>Regionale Disparitäten bei Lebendnierenverpflanzungen in Australien und Neuseeland</w:t>
      </w:r>
    </w:p>
    <w:p>
      <w:r>
        <w:rPr>
          <w:i/>
          <w:color w:val="666666"/>
          <w:sz w:val="18"/>
        </w:rPr>
        <w:t>McMichael LC et al.  ·  Am J Transplant  ·  03.09.2026  ·  PMID 42692200</w:t>
      </w:r>
    </w:p>
    <w:p>
      <w:r>
        <w:t>Analyse der ANZORGG-Registry (Australien, Neuseeland) zu regionalen Unterschieden bei Zugang zu Lebendnierenverpflanzung.</w:t>
      </w:r>
    </w:p>
    <w:p>
      <w:r>
        <w:rPr>
          <w:b/>
        </w:rPr>
        <w:t xml:space="preserve">Ergebnis: </w:t>
      </w:r>
      <w:r>
        <w:t>Standardisierte Quote lebender Nierenverpflanzungen variierte zwischen 0,36 und 2,11 über 21 Netzwerke (n=53.313 Patienten 2002–2022). Von 21 Netzwerken lagen 4 (19%) unter Erwartung. Faktoren: direkte Transplantationsaffiliation des Behandlungszentrums, nicht-metropolitane Residenz und zeitnahe nephrologische Vorstellung assoziiert mit erhöhtem Lebendspender-Transplantationsrisiko.</w:t>
      </w:r>
    </w:p>
    <w:p>
      <w:r>
        <w:rPr>
          <w:b/>
          <w:sz w:val="19"/>
        </w:rPr>
        <w:t xml:space="preserve">Übertragbarkeit: </w:t>
      </w:r>
      <w:r>
        <w:rPr>
          <w:sz w:val="19"/>
        </w:rPr>
        <w:t>Australien/Neuseeland, Fragestellung zu regionalen Versorgungsungleichheiten in spezialisierten Leistungen übertragbar auf Deutschland.</w:t>
      </w:r>
    </w:p>
    <w:p>
      <w:r>
        <w:rPr>
          <w:color w:val="5A7D3A"/>
          <w:sz w:val="18"/>
        </w:rPr>
        <w:t>https://pubmed.ncbi.nlm.nih.gov/42692200/</w:t>
      </w:r>
    </w:p>
    <w:p>
      <w:pPr>
        <w:pStyle w:val="Heading2"/>
      </w:pPr>
      <w:r>
        <w:t>Private Krankenversicherung und Prävention in Australien: Längsschnittstudie</w:t>
      </w:r>
    </w:p>
    <w:p>
      <w:r>
        <w:rPr>
          <w:i/>
          <w:color w:val="666666"/>
          <w:sz w:val="18"/>
        </w:rPr>
        <w:t>Nguyen CM et al.  ·  Public Health  ·  03.09.2026  ·  PMID 42691737</w:t>
      </w:r>
    </w:p>
    <w:p>
      <w:r>
        <w:t>Längsschnittstudie an 9.674 australischen Erwachsenen (2009–2017) zur Assoziation zwischen privater Krankenversicherung und Nutzung von Präventivleistungen.</w:t>
      </w:r>
    </w:p>
    <w:p>
      <w:r>
        <w:rPr>
          <w:b/>
        </w:rPr>
        <w:t xml:space="preserve">Ergebnis: </w:t>
      </w:r>
      <w:r>
        <w:t>Chronische Erkrankungen wurden häufiger, Prävention nahm zu. Nach Adjustment zeigte sich: Bei Frauen waren hospital PHI und kombinierte PHI mit IRR 1,14 (95%-KI 1,09–1,18) bzw. 1,18 (1,11–1,25) assoziiert; bei Männern hospital PHI mit IRR 1,12 (1,00–1,23) und kombinierte PHI mit IRR 1,18 (1,11–1,25).</w:t>
      </w:r>
    </w:p>
    <w:p>
      <w:r>
        <w:rPr>
          <w:b/>
          <w:sz w:val="19"/>
        </w:rPr>
        <w:t xml:space="preserve">Übertragbarkeit: </w:t>
      </w:r>
      <w:r>
        <w:rPr>
          <w:sz w:val="19"/>
        </w:rPr>
        <w:t>Australisches Zwei-Klassen-System mit Medicare-Basisversorgung und zusätzlicher privater Versicherung; Frage zu Versicherungsstatus und Prävention eingeschränkt übertragbar.</w:t>
      </w:r>
    </w:p>
    <w:p>
      <w:r>
        <w:rPr>
          <w:color w:val="5A7D3A"/>
          <w:sz w:val="18"/>
        </w:rPr>
        <w:t>https://pubmed.ncbi.nlm.nih.gov/42691737/</w:t>
      </w:r>
    </w:p>
    <w:p>
      <w:pPr>
        <w:pStyle w:val="Heading2"/>
      </w:pPr>
      <w:r>
        <w:t>Screening auf Autoimmunität bei Typ-1-Diabetes aus Sicht des Fachpersonals</w:t>
      </w:r>
    </w:p>
    <w:p>
      <w:r>
        <w:rPr>
          <w:i/>
          <w:color w:val="666666"/>
          <w:sz w:val="18"/>
        </w:rPr>
        <w:t>Majstorovic M et al.  ·  Diabet Med  ·  01.09.2026  ·  PMID 42682016</w:t>
      </w:r>
    </w:p>
    <w:p>
      <w:r>
        <w:t>Qualitative Studie mit 32 australischen Fachkräften (Kindermedizin) zu Perspektiven auf Screening und Monitoring von Inselzellautoantkörpern.</w:t>
      </w:r>
    </w:p>
    <w:p>
      <w:r>
        <w:rPr>
          <w:b/>
        </w:rPr>
        <w:t xml:space="preserve">Ergebnis: </w:t>
      </w:r>
      <w:r>
        <w:t>Sieben Themen identifiziert: (1) umstrittenes Screening, (2) Strukturüberlegungen, (3) Zugangsparität, (4) Managementfokus auf Testerleben, (5) potenzielle psychische Folgen, (6) Bewältigungsfähigkeit der Betreuer, (7) Bedeutung vertrauensvoller Beziehungen. Fachkräfte betonten psychische Belastungen für Familien, Wichtigkeit therapeutischer Beziehungen.</w:t>
      </w:r>
    </w:p>
    <w:p>
      <w:r>
        <w:rPr>
          <w:b/>
          <w:sz w:val="19"/>
        </w:rPr>
        <w:t xml:space="preserve">Übertragbarkeit: </w:t>
      </w:r>
      <w:r>
        <w:rPr>
          <w:sz w:val="19"/>
        </w:rPr>
        <w:t>Qualitative Fachperspektive, Thema Screening-Akzeptanz und -Design systemunabhängig relevant.</w:t>
      </w:r>
    </w:p>
    <w:p>
      <w:r>
        <w:rPr>
          <w:color w:val="5A7D3A"/>
          <w:sz w:val="18"/>
        </w:rPr>
        <w:t>https://pubmed.ncbi.nlm.nih.gov/42682016/</w:t>
      </w:r>
    </w:p>
    <w:p>
      <w:pPr>
        <w:pStyle w:val="Heading2"/>
      </w:pPr>
      <w:r>
        <w:t>Verfügbarkeit und Zugang zu Infertilitätsversorgung in West- und Zentralafrika</w:t>
      </w:r>
    </w:p>
    <w:p>
      <w:r>
        <w:rPr>
          <w:i/>
          <w:color w:val="666666"/>
          <w:sz w:val="18"/>
        </w:rPr>
        <w:t>Thomas HL et al.  ·  BMC Health Serv Res  ·  04.08.2026  ·  PMID 42681645</w:t>
      </w:r>
    </w:p>
    <w:p>
      <w:r>
        <w:t>Länderübergreifende Studie (Burkina Faso, Elfenbeinküste, Niger, Uganda) zu Verfügbarkeit, geografischem Zugang und Nutzung von STI-Tests und Infertilitätsservices.</w:t>
      </w:r>
    </w:p>
    <w:p>
      <w:r>
        <w:rPr>
          <w:b/>
        </w:rPr>
        <w:t xml:space="preserve">Ergebnis: </w:t>
      </w:r>
      <w:r>
        <w:t>STI-Tests verfügbar in 68,5–92,6% der Einrichtungen, Infertilitätsservices in 28,4–44,0% (Burkina Faso 78,3%). Frauen mit höherer Bildung, Wohlstand, urbaner Residenz hatten besseren Zugang. In Burkina Faso und Niger: Frauen innerhalb 5 km STI-Testung zeigten erhöhte biomedizinische Inanspruchnahme (aOR 2,94 bzw. 7,19).</w:t>
      </w:r>
    </w:p>
    <w:p>
      <w:r>
        <w:rPr>
          <w:b/>
          <w:sz w:val="19"/>
        </w:rPr>
        <w:t xml:space="preserve">Übertragbarkeit: </w:t>
      </w:r>
      <w:r>
        <w:rPr>
          <w:sz w:val="19"/>
        </w:rPr>
        <w:t>Subsaharische Länder mit begrenzten Ressourcen, Fragestellung zu geografischem Zugang und Inanspruchnahme grundsätzlich relevant.</w:t>
      </w:r>
    </w:p>
    <w:p>
      <w:r>
        <w:rPr>
          <w:color w:val="5A7D3A"/>
          <w:sz w:val="18"/>
        </w:rPr>
        <w:t>https://pubmed.ncbi.nlm.nih.gov/42681645/</w:t>
      </w:r>
    </w:p>
    <w:p>
      <w:pPr>
        <w:pStyle w:val="Heading2"/>
      </w:pPr>
      <w:r>
        <w:t>Nationale Implementierung eines TB-Probenversandsystems in der Republik Kongo</w:t>
      </w:r>
    </w:p>
    <w:p>
      <w:r>
        <w:rPr>
          <w:i/>
          <w:color w:val="666666"/>
          <w:sz w:val="18"/>
        </w:rPr>
        <w:t>Elion Assiana DO et al.  ·  Trop Med Infect Dis  ·  17.08.2026  ·  PMID 42646806</w:t>
      </w:r>
    </w:p>
    <w:p>
      <w:r>
        <w:t>Dreijährige Mixed-Methods-Studie (Pilot Januar–Juni 2023, Scale-up Juli 2023–Dezember 2025) zur Umsetzung eines strukturierten Versandsystems für TB-Diagnostik.</w:t>
      </w:r>
    </w:p>
    <w:p>
      <w:r>
        <w:rPr>
          <w:b/>
        </w:rPr>
        <w:t xml:space="preserve">Ergebnis: </w:t>
      </w:r>
      <w:r>
        <w:t>Pilot-Phase: 962 Proben, 30,6% TB-Fälle (12/294 RR-TB), medianer Turnaround 53 h urban/62 h rural, 86% Beteiligungsquote. Scale-up (29 → 12/12 Departements): 2154 Proben (2023) → 5160 (2024), 2587 TB- und 84 RR-TB-Fälle über 3 Jahre detektiert. TB-Detektionsbeitrag stieg von 9,2% auf 16,0%, RR-TB von 10,4% auf 18,7%.</w:t>
      </w:r>
    </w:p>
    <w:p>
      <w:r>
        <w:rPr>
          <w:b/>
          <w:sz w:val="19"/>
        </w:rPr>
        <w:t xml:space="preserve">Übertragbarkeit: </w:t>
      </w:r>
      <w:r>
        <w:rPr>
          <w:sz w:val="19"/>
        </w:rPr>
        <w:t>Ressourcenlimitiertes Subsahara-Kontext, Versorgungsforschung zur Stärkung von Diagnostikzugang relevant, aber nur bedingt auf deutsche Strukturen übertragbar.</w:t>
      </w:r>
    </w:p>
    <w:p>
      <w:r>
        <w:rPr>
          <w:color w:val="5A7D3A"/>
          <w:sz w:val="18"/>
        </w:rPr>
        <w:t>https://pubmed.ncbi.nlm.nih.gov/42646806/</w:t>
      </w:r>
    </w:p>
    <w:p>
      <w:pPr>
        <w:pStyle w:val="Heading1"/>
      </w:pPr>
      <w:r>
        <w:t>Aufgenommen am 07.09.2026</w:t>
      </w:r>
    </w:p>
    <w:p>
      <w:pPr>
        <w:pStyle w:val="Heading2"/>
      </w:pPr>
      <w:r>
        <w:t>Depressive Symptom Networks bei älteren Erwachsenen: Episodische versus persistente Symptome</w:t>
      </w:r>
    </w:p>
    <w:p>
      <w:r>
        <w:rPr>
          <w:i/>
          <w:color w:val="666666"/>
          <w:sz w:val="18"/>
        </w:rPr>
        <w:t>Stratmann MW et al.  ·  Int Psychogeriatr  ·  05.09.2026  ·  PMID 42701078</w:t>
      </w:r>
    </w:p>
    <w:p>
      <w:r>
        <w:t>Vergleichende Netzwerkanalyse depressiver Symptome bei 8.519 älteren Erwachsenen (60+ Jahre) aus SHARE-Daten zur Frage, ob persistente Depressionen dichtere Symptomnetze aufweisen als episodische.</w:t>
      </w:r>
    </w:p>
    <w:p>
      <w:r>
        <w:rPr>
          <w:b/>
        </w:rPr>
        <w:t xml:space="preserve">Ergebnis: </w:t>
      </w:r>
      <w:r>
        <w:t>Kein signifikanter Unterschied in globaler Netzwerkstärke oder -struktur zwischen episodischen (44,0%) und persistenten/rezidivierenden (56,0%) depressiven Symptomen (p = 0,17 bzw. p = 0,60). Mangelndes Interesse, depressive Stimmung und Suizidalität zeigten höchste Stärke in beiden Netzwerken.</w:t>
      </w:r>
    </w:p>
    <w:p>
      <w:r>
        <w:rPr>
          <w:b/>
          <w:sz w:val="19"/>
        </w:rPr>
        <w:t xml:space="preserve">Übertragbarkeit: </w:t>
      </w:r>
      <w:r>
        <w:rPr>
          <w:sz w:val="19"/>
        </w:rPr>
        <w:t>Deutschland: SHARE-Daten, gesetzlich Versicherte ab 60 Jahren, europäisches Sozialversicherungssystem</w:t>
      </w:r>
    </w:p>
    <w:p>
      <w:r>
        <w:rPr>
          <w:color w:val="5A7D3A"/>
          <w:sz w:val="18"/>
        </w:rPr>
        <w:t>https://pubmed.ncbi.nlm.nih.gov/42701078/</w:t>
      </w:r>
    </w:p>
    <w:p>
      <w:pPr>
        <w:pStyle w:val="Heading2"/>
      </w:pPr>
      <w:r>
        <w:t>Person-zentrierte Geburtshilfe: Wahrnehmungsbildung und Sinnkonstruktion</w:t>
      </w:r>
    </w:p>
    <w:p>
      <w:r>
        <w:rPr>
          <w:i/>
          <w:color w:val="666666"/>
          <w:sz w:val="18"/>
        </w:rPr>
        <w:t>Okumu MR et al.  ·  Eur J Midwifery  ·  04.09.2026  ·  PMID 42699730</w:t>
      </w:r>
    </w:p>
    <w:p>
      <w:r>
        <w:t>Qualitative Grounded-Theory-Studie mit 12 Interviews zu Gebärfähigen, um zu verstehen, wie Frauen ihre Geburtsversorgung wahrnehmen und interpretieren.</w:t>
      </w:r>
    </w:p>
    <w:p>
      <w:r>
        <w:rPr>
          <w:b/>
        </w:rPr>
        <w:t xml:space="preserve">Ergebnis: </w:t>
      </w:r>
      <w:r>
        <w:t>Sense of Coherence (SoC) als Kernkategorie identifiziert: Negative Erfahrungen korreliert mit niedriger SoC, positive mit hoher SoC. Kontextuelle Faktoren (Verständlichkeit, wahrgenommene Machbarkeit, situative Rahmung) prägen die Wahrnehmung von Geburtssituationen.</w:t>
      </w:r>
    </w:p>
    <w:p>
      <w:r>
        <w:rPr>
          <w:b/>
          <w:sz w:val="19"/>
        </w:rPr>
        <w:t xml:space="preserve">Übertragbarkeit: </w:t>
      </w:r>
      <w:r>
        <w:rPr>
          <w:sz w:val="19"/>
        </w:rPr>
        <w:t>Deutschland: Deutsche Hochschulkliniken, qualitative Versorgungsforschung zur Patientenperspektive</w:t>
      </w:r>
    </w:p>
    <w:p>
      <w:r>
        <w:rPr>
          <w:color w:val="5A7D3A"/>
          <w:sz w:val="18"/>
        </w:rPr>
        <w:t>https://pubmed.ncbi.nlm.nih.gov/42699730/</w:t>
      </w:r>
    </w:p>
    <w:p>
      <w:pPr>
        <w:pStyle w:val="Heading2"/>
      </w:pPr>
      <w:r>
        <w:t>Pflegekräfte-Retention in Europa: Warum ökonomische Evidenz fehlt</w:t>
      </w:r>
    </w:p>
    <w:p>
      <w:r>
        <w:rPr>
          <w:i/>
          <w:color w:val="666666"/>
          <w:sz w:val="18"/>
        </w:rPr>
        <w:t>Maier CB et al.  ·  Lancet Reg Health Eur  ·  25.08.2026  ·  PMID 42699328</w:t>
      </w:r>
    </w:p>
    <w:p>
      <w:r>
        <w:t>Viewpoint zur Evidenzlücke für Kosteffektivität von Pflegekräfte-Retentionsmassnahmen in europäischen Gesundheitssystemen.</w:t>
      </w:r>
    </w:p>
    <w:p>
      <w:r>
        <w:rPr>
          <w:b/>
        </w:rPr>
        <w:t xml:space="preserve">Ergebnis: </w:t>
      </w:r>
      <w:r>
        <w:t>Europäische Länder verfügen im Gegensatz zu Nordamerika und Australien über keine vergleichbaren Kostenangaben für Pflegekräfte-Fluktuation. Turnover-Kosten sind nicht zwischen Systemen übertragbar wegen unterschiedlicher Lohn-, Skill-Mix- und Praxisstrukturen. Europäische Forschungsagenda erforderlich.</w:t>
      </w:r>
    </w:p>
    <w:p>
      <w:r>
        <w:rPr>
          <w:b/>
          <w:sz w:val="19"/>
        </w:rPr>
        <w:t xml:space="preserve">Übertragbarkeit: </w:t>
      </w:r>
      <w:r>
        <w:rPr>
          <w:sz w:val="19"/>
        </w:rPr>
        <w:t>Deutschland, Österreich, Schweiz: Hohe Übertragbarkeit für deutsche Krankenhausversorgung und Personalmanagement</w:t>
      </w:r>
    </w:p>
    <w:p>
      <w:r>
        <w:rPr>
          <w:color w:val="5A7D3A"/>
          <w:sz w:val="18"/>
        </w:rPr>
        <w:t>https://pubmed.ncbi.nlm.nih.gov/42699328/</w:t>
      </w:r>
    </w:p>
    <w:p>
      <w:pPr>
        <w:pStyle w:val="Heading2"/>
      </w:pPr>
      <w:r>
        <w:t>Pharmacy-Reimbursement-Reform und Stufendiagnose in China: Effekt auf Gesundheitsausgaben</w:t>
      </w:r>
    </w:p>
    <w:p>
      <w:r>
        <w:rPr>
          <w:i/>
          <w:color w:val="666666"/>
          <w:sz w:val="18"/>
        </w:rPr>
        <w:t>Zhang K et al.  ·  BMC Health Serv Res  ·  22.08.2026  ·  PMID 42693454</w:t>
      </w:r>
    </w:p>
    <w:p>
      <w:r>
        <w:t>Evaluierung der Auswirkungen der RPOR-Reform (Retail Pharmacies Outpatient Reimbursement) auf Versorgungsverlauf, Inanspruchnahme und Gesamtausgaben mittels Staggered-DID-Analyse.</w:t>
      </w:r>
    </w:p>
    <w:p>
      <w:r>
        <w:rPr>
          <w:b/>
        </w:rPr>
        <w:t xml:space="preserve">Ergebnis: </w:t>
      </w:r>
      <w:r>
        <w:t>RPOR erhöhte Apothekenbesuche (0,119**), Apotheken-Ausgabenanteil (0,439**), verdrängte aber ambulante Primärversorgung (-0,670***) und senkte Gesamtausgaben (-0,490**). Effekte variierten nach Alter, Einkommen und regionalen Ressourcen.</w:t>
      </w:r>
    </w:p>
    <w:p>
      <w:r>
        <w:rPr>
          <w:b/>
          <w:sz w:val="19"/>
        </w:rPr>
        <w:t xml:space="preserve">Übertragbarkeit: </w:t>
      </w:r>
      <w:r>
        <w:rPr>
          <w:sz w:val="19"/>
        </w:rPr>
        <w:t>Bedingt: China-Daten, anderes Sozialversicherungssystem und Ressourcenkontext, aber Fragestellung zu Versorgungssteuerung übertragbar</w:t>
      </w:r>
    </w:p>
    <w:p>
      <w:r>
        <w:rPr>
          <w:color w:val="5A7D3A"/>
          <w:sz w:val="18"/>
        </w:rPr>
        <w:t>https://pubmed.ncbi.nlm.nih.gov/42693454/</w:t>
      </w:r>
    </w:p>
    <w:p>
      <w:pPr>
        <w:pStyle w:val="Heading2"/>
      </w:pPr>
      <w:r>
        <w:t>xPEDition pain: Public-Health-Kampagne zu chronischem Schmerz in Grenzregion</w:t>
      </w:r>
    </w:p>
    <w:p>
      <w:r>
        <w:rPr>
          <w:i/>
          <w:color w:val="666666"/>
          <w:sz w:val="18"/>
        </w:rPr>
        <w:t>Sanina AY et al.  ·  BMJ Open  ·  03.09.2026  ·  PMID 42692519</w:t>
      </w:r>
    </w:p>
    <w:p>
      <w:r>
        <w:t>Quasi-experimentelle Vorher-Nachher-Studie mit Kontrollgruppe zu Wirkung einer grenzüberschreitenden Public-Health-Kampagne (Niederlande/Deutschland vs. Flandern) auf Schmerzwissen und -einstellungen.</w:t>
      </w:r>
    </w:p>
    <w:p>
      <w:r>
        <w:rPr>
          <w:b/>
        </w:rPr>
        <w:t xml:space="preserve">Ergebnis: </w:t>
      </w:r>
      <w:r>
        <w:t>Intervention geplant für 24 Monate in niederländisch-deutscher Ems-Dollart-Region, Kontrollgruppe Flandern. Messungen bei 3.200 Personen pro Welle (Baseline, 2-Jahres-Follow-up) mit Pain Concepts Questionnaire als primärem Outcome. Primäranalyse: Difference-in-Differences.</w:t>
      </w:r>
    </w:p>
    <w:p>
      <w:r>
        <w:rPr>
          <w:b/>
          <w:sz w:val="19"/>
        </w:rPr>
        <w:t xml:space="preserve">Übertragbarkeit: </w:t>
      </w:r>
      <w:r>
        <w:rPr>
          <w:sz w:val="19"/>
        </w:rPr>
        <w:t>Niederlande, Deutschland: Direkt übertragbar auf deutsches Gesundheitssystem, grenzüberschreitend, Versorgungsforschungsmethodik</w:t>
      </w:r>
    </w:p>
    <w:p>
      <w:r>
        <w:rPr>
          <w:color w:val="5A7D3A"/>
          <w:sz w:val="18"/>
        </w:rPr>
        <w:t>https://pubmed.ncbi.nlm.nih.gov/42692519/</w:t>
      </w:r>
    </w:p>
    <w:p>
      <w:pPr>
        <w:pStyle w:val="Heading1"/>
      </w:pPr>
      <w:r>
        <w:t>Aufgenommen am 06.09.2026</w:t>
      </w:r>
    </w:p>
    <w:p>
      <w:pPr>
        <w:pStyle w:val="Heading2"/>
      </w:pPr>
      <w:r>
        <w:t>Sozialer Gradient und Alkoholkonsum bei Mortalität</w:t>
      </w:r>
    </w:p>
    <w:p>
      <w:r>
        <w:rPr>
          <w:i/>
          <w:color w:val="666666"/>
          <w:sz w:val="18"/>
        </w:rPr>
        <w:t>Butovetsky I et al.  ·  Alcohol Clin Exp Res (Hoboken)  ·  Sept. 2026  ·  PMID 42698350</w:t>
      </w:r>
    </w:p>
    <w:p>
      <w:r>
        <w:t>Prospektive Kohortenstudie zu Wechselwirkungen zwischen Sozioökonomie, Alkoholkonsum und Gesamtmortalität an 3771-3939 Teilnehmern (Follow-up bis 2023).</w:t>
      </w:r>
    </w:p>
    <w:p>
      <w:r>
        <w:rPr>
          <w:b/>
        </w:rPr>
        <w:t xml:space="preserve">Ergebnis: </w:t>
      </w:r>
      <w:r>
        <w:t>Niedriges Einkommen (HR 1,31, 95%-KI 1,11–1,56), ehemaliger Alkoholkonsum mit Abstinenz (HR 1,56, 95%-KI 1,27–1,92) und hoher Alkoholkonsum (HR 1,31, 95%-KI 1,03–1,66) waren mit erhöhter Mortalität assoziiert. Interaktionseffekte zwischen Alkoholkonsum und SES nachweisbar.</w:t>
      </w:r>
    </w:p>
    <w:p>
      <w:r>
        <w:rPr>
          <w:b/>
          <w:sz w:val="19"/>
        </w:rPr>
        <w:t xml:space="preserve">Übertragbarkeit: </w:t>
      </w:r>
      <w:r>
        <w:rPr>
          <w:sz w:val="19"/>
        </w:rPr>
        <w:t>Deutsche Routinedaten (SHIP-Kohorte, Pomerania), gesetzlich Versicherte</w:t>
      </w:r>
    </w:p>
    <w:p>
      <w:r>
        <w:rPr>
          <w:color w:val="5A7D3A"/>
          <w:sz w:val="18"/>
        </w:rPr>
        <w:t>https://pubmed.ncbi.nlm.nih.gov/42698350/</w:t>
      </w:r>
    </w:p>
    <w:p>
      <w:pPr>
        <w:pStyle w:val="Heading2"/>
      </w:pPr>
      <w:r>
        <w:t>Sozioökonomische Unterschiede beim Zugang zur Pflegeversicherung in Korea</w:t>
      </w:r>
    </w:p>
    <w:p>
      <w:r>
        <w:rPr>
          <w:i/>
          <w:color w:val="666666"/>
          <w:sz w:val="18"/>
        </w:rPr>
        <w:t>Noh JW et al.  ·  BMC Health Serv Res  ·  06.08.2026  ·  PMID 42698085</w:t>
      </w:r>
    </w:p>
    <w:p>
      <w:r>
        <w:t>Deskriptive Analyse der Aufnahmealter in Koreas Langzeitpflegeversicherung bei 1,07 Mio. Erwachsenen (2008–2022).</w:t>
      </w:r>
    </w:p>
    <w:p>
      <w:r>
        <w:rPr>
          <w:b/>
        </w:rPr>
        <w:t xml:space="preserve">Ergebnis: </w:t>
      </w:r>
      <w:r>
        <w:t>Mittleres Aufnahmealter 79,98 Jahre (Antrag) und 80,95 Jahre (Genehmigung), deutlich über Anspruchsalter 65. Frauen, Personen ohne Behinderungen und mit weniger chronischen Erkrankungen traten später ein; Medical-Aid-Versicherte früher als erwerbstätig Versicherte.</w:t>
      </w:r>
    </w:p>
    <w:p>
      <w:r>
        <w:rPr>
          <w:b/>
          <w:sz w:val="19"/>
        </w:rPr>
        <w:t xml:space="preserve">Übertragbarkeit: </w:t>
      </w:r>
      <w:r>
        <w:rPr>
          <w:sz w:val="19"/>
        </w:rPr>
        <w:t>Nationale Verwaltungsdaten Korea; Struktur unterscheidet sich von deutschem System</w:t>
      </w:r>
    </w:p>
    <w:p>
      <w:r>
        <w:rPr>
          <w:color w:val="5A7D3A"/>
          <w:sz w:val="18"/>
        </w:rPr>
        <w:t>https://pubmed.ncbi.nlm.nih.gov/42698085/</w:t>
      </w:r>
    </w:p>
    <w:p>
      <w:pPr>
        <w:pStyle w:val="Heading2"/>
      </w:pPr>
      <w:r>
        <w:t>Geografische Variation Gabapentinoide und Opioide in US-Pflegeheimen</w:t>
      </w:r>
    </w:p>
    <w:p>
      <w:r>
        <w:rPr>
          <w:i/>
          <w:color w:val="666666"/>
          <w:sz w:val="18"/>
        </w:rPr>
        <w:t>Jung H et al.  ·  J Am Med Dir Assoc  ·  04.09.2026  ·  PMID 42696808</w:t>
      </w:r>
    </w:p>
    <w:p>
      <w:r>
        <w:t>Querschnittstudie zur geografischen Variation der Verschreibung von Gabapentinoiden, Opioiden und deren gleichzeitiger Nutzung bei 232.484 langzeitpflegenden Bewohnern (≥65 Jahre) in 9741 US-Pflegeheimen 2021.</w:t>
      </w:r>
    </w:p>
    <w:p>
      <w:r>
        <w:rPr>
          <w:b/>
        </w:rPr>
        <w:t xml:space="preserve">Ergebnis: </w:t>
      </w:r>
      <w:r>
        <w:t>Prävalenz: Gabapentinoid-Monotherapie 13,4%, Opioid-Monotherapie 9,1%, kombiniert 5,4%. Substantielle geografische Variation, besonders bei Opioid-Monotherapie und Kombination. Bewohnercharakteristika erklärten 61–65% der regionalen Variation, Einrichtungsmerkmale erklärten mehr Gabapentinoid-Variation.</w:t>
      </w:r>
    </w:p>
    <w:p>
      <w:r>
        <w:rPr>
          <w:b/>
          <w:sz w:val="19"/>
        </w:rPr>
        <w:t xml:space="preserve">Übertragbarkeit: </w:t>
      </w:r>
      <w:r>
        <w:rPr>
          <w:sz w:val="19"/>
        </w:rPr>
        <w:t>USA, andere Anreizstrukturen; limitiert übertragbar auf deutsches System</w:t>
      </w:r>
    </w:p>
    <w:p>
      <w:r>
        <w:rPr>
          <w:color w:val="5A7D3A"/>
          <w:sz w:val="18"/>
        </w:rPr>
        <w:t>https://pubmed.ncbi.nlm.nih.gov/42696808/</w:t>
      </w:r>
    </w:p>
    <w:p>
      <w:pPr>
        <w:pStyle w:val="Heading2"/>
      </w:pPr>
      <w:r>
        <w:t>Einsamkeit und Isolation in US-amerikanischen Pflegeheimen</w:t>
      </w:r>
    </w:p>
    <w:p>
      <w:r>
        <w:rPr>
          <w:i/>
          <w:color w:val="666666"/>
          <w:sz w:val="18"/>
        </w:rPr>
        <w:t>Nielsen NN et al.  ·  J Am Med Dir Assoc  ·  04.09.2026  ·  PMID 42696806</w:t>
      </w:r>
    </w:p>
    <w:p>
      <w:r>
        <w:t>Mehrebenen-Analyse zu Variation von Einsamkeit/Isolation unter 732.808 Langzeitbewohnern (≥50 Jahre) in 13.491 US-Pflegeheimen (Okt.–Dez. 2023).</w:t>
      </w:r>
    </w:p>
    <w:p>
      <w:r>
        <w:rPr>
          <w:b/>
        </w:rPr>
        <w:t xml:space="preserve">Ergebnis: </w:t>
      </w:r>
      <w:r>
        <w:t>Prävalenz Einsamkeit/Isolation 20,7%. Variation primär zwischen Einrichtungen (VPC ~35%), nicht Landkreisen (VPC ~2%). Frauen, Personen mit psychischen Erkrankungen/Sinnesstörungen häufiger einsam; ältere, nicht-hispanische Schwarze seltener. Profit-Status, ländlicher Raum, Diversity, mehr Pflegepersonal assoziiert mit geringerer Einsamkeit.</w:t>
      </w:r>
    </w:p>
    <w:p>
      <w:r>
        <w:rPr>
          <w:b/>
          <w:sz w:val="19"/>
        </w:rPr>
        <w:t xml:space="preserve">Übertragbarkeit: </w:t>
      </w:r>
      <w:r>
        <w:rPr>
          <w:sz w:val="19"/>
        </w:rPr>
        <w:t>USA; Fragestellung zu Lebensqualität und Prozessmerkmalen bedingt übertragbar</w:t>
      </w:r>
    </w:p>
    <w:p>
      <w:r>
        <w:rPr>
          <w:color w:val="5A7D3A"/>
          <w:sz w:val="18"/>
        </w:rPr>
        <w:t>https://pubmed.ncbi.nlm.nih.gov/42696806/</w:t>
      </w:r>
    </w:p>
    <w:p>
      <w:pPr>
        <w:pStyle w:val="Heading2"/>
      </w:pPr>
      <w:r>
        <w:t>Kontextualisierung der Versorgung bei fortgeschrittenem Lungenkrebs</w:t>
      </w:r>
    </w:p>
    <w:p>
      <w:r>
        <w:rPr>
          <w:i/>
          <w:color w:val="666666"/>
          <w:sz w:val="18"/>
        </w:rPr>
        <w:t>Ruud MM et al.  ·  Patient Educ Couns  ·  31.08.2026  ·  PMID 42696805</w:t>
      </w:r>
    </w:p>
    <w:p>
      <w:r>
        <w:t>Explorative Beobachtungsstudie zur Aufmerksamkeit gegenüber Patientenkontext in Behandlungsgesprächen bei 17 Arzt-Patient-Konsultationen in Norwegen.</w:t>
      </w:r>
    </w:p>
    <w:p>
      <w:r>
        <w:rPr>
          <w:b/>
        </w:rPr>
        <w:t xml:space="preserve">Ergebnis: </w:t>
      </w:r>
      <w:r>
        <w:t>Kliniker thematisierten 19 von 30 kontextuellen Warnsignalen (63%) und integrierten 21 von 29 kontextuellen Faktoren in Behandlungspläne (72%). Häufigste Domänen: Fähigkeiten/Wissen (10), Versorgungszugang (4), soziale Unterstützung (4).</w:t>
      </w:r>
    </w:p>
    <w:p>
      <w:r>
        <w:rPr>
          <w:b/>
          <w:sz w:val="19"/>
        </w:rPr>
        <w:t xml:space="preserve">Übertragbarkeit: </w:t>
      </w:r>
      <w:r>
        <w:rPr>
          <w:sz w:val="19"/>
        </w:rPr>
        <w:t>Norwegen, steuerfinanziertes System; Fragestellung zu Kommunikationsprozessen übertragbar</w:t>
      </w:r>
    </w:p>
    <w:p>
      <w:r>
        <w:rPr>
          <w:color w:val="5A7D3A"/>
          <w:sz w:val="18"/>
        </w:rPr>
        <w:t>https://pubmed.ncbi.nlm.nih.gov/42696805/</w:t>
      </w:r>
    </w:p>
    <w:p>
      <w:pPr>
        <w:pStyle w:val="Heading2"/>
      </w:pPr>
      <w:r>
        <w:t>Shared Decision-Making bei Multimorbidität und niedriger Health Literacy</w:t>
      </w:r>
    </w:p>
    <w:p>
      <w:r>
        <w:rPr>
          <w:i/>
          <w:color w:val="666666"/>
          <w:sz w:val="18"/>
        </w:rPr>
        <w:t>Vriese L et al.  ·  J Gen Intern Med  ·  03.09.2026  ·  PMID 42696204</w:t>
      </w:r>
    </w:p>
    <w:p>
      <w:r>
        <w:t>Konsensustext zur Bedeutung von Werteklärung (Values Clarification) im Shared Decision-Making für Patienten mit Multimorbidität und begrenzter Gesundheitskompetenz.</w:t>
      </w:r>
    </w:p>
    <w:p>
      <w:r>
        <w:rPr>
          <w:b/>
        </w:rPr>
        <w:t xml:space="preserve">Ergebnis: </w:t>
      </w:r>
      <w:r>
        <w:t>Werteklärung ist Schlüsselkomponente von SDM, wird aber untergenutzt – besonders bei schwieriger Kommunikation. Patienten mit Multimorbidität und niedriger Health Literacy benötigen dialogorientierte (nicht nur formale Werkzeug-)Ansätze; gezielte Schulung von Fachpersonen nötig.</w:t>
      </w:r>
    </w:p>
    <w:p>
      <w:r>
        <w:rPr>
          <w:b/>
          <w:sz w:val="19"/>
        </w:rPr>
        <w:t xml:space="preserve">Übertragbarkeit: </w:t>
      </w:r>
      <w:r>
        <w:rPr>
          <w:sz w:val="19"/>
        </w:rPr>
        <w:t>Niederlande (Autoren/CAPHRI Maastricht), vergleichbares Sozialversicherungssystem</w:t>
      </w:r>
    </w:p>
    <w:p>
      <w:r>
        <w:rPr>
          <w:color w:val="5A7D3A"/>
          <w:sz w:val="18"/>
        </w:rPr>
        <w:t>https://pubmed.ncbi.nlm.nih.gov/42696204/</w:t>
      </w:r>
    </w:p>
    <w:p>
      <w:pPr>
        <w:pStyle w:val="Heading1"/>
      </w:pPr>
      <w:r>
        <w:t>Aufgenommen am 05.09.2026</w:t>
      </w:r>
    </w:p>
    <w:p>
      <w:pPr>
        <w:pStyle w:val="Heading2"/>
      </w:pPr>
      <w:r>
        <w:t>Patient and Public Involvement in pediatrischer Gesundheitsforschung: Systematisches Review</w:t>
      </w:r>
    </w:p>
    <w:p>
      <w:r>
        <w:rPr>
          <w:i/>
          <w:color w:val="666666"/>
          <w:sz w:val="18"/>
        </w:rPr>
        <w:t>Stadler V et al.  ·  Health Expect  ·  Okt. 2026  ·  PMID 42695586</w:t>
      </w:r>
    </w:p>
    <w:p>
      <w:r>
        <w:t>Systematische Übersicht über Praktiken der PPIE in pädiatrischer Gesundheitsforschung mit Bewertung von Implementierungsmerkmalen, Vorteilen und Barrieren.</w:t>
      </w:r>
    </w:p>
    <w:p>
      <w:r>
        <w:rPr>
          <w:b/>
        </w:rPr>
        <w:t xml:space="preserve">Ergebnis: </w:t>
      </w:r>
      <w:r>
        <w:t>Von 1.910 identifizierten Referenzen wurden 37 Studien eingeschlossen. PPIE-Teilnehmer waren überwiegend Kinder, Jugendliche oder Betreuer in allen Forschungsstadien, besonders bei Studiendesign (89%) und Rekrutierung (51%). Positive Effekte: verbesserte Rekrutierungs- und Retentionsraten. Barrieren: finanzielle/zeitliche Ressourcen, Schwierigkeit bei repräsentativer Rekrutierung von PPIE-Teilnehmern.</w:t>
      </w:r>
    </w:p>
    <w:p>
      <w:r>
        <w:rPr>
          <w:b/>
          <w:sz w:val="19"/>
        </w:rPr>
        <w:t xml:space="preserve">Übertragbarkeit: </w:t>
      </w:r>
      <w:r>
        <w:rPr>
          <w:sz w:val="19"/>
        </w:rPr>
        <w:t>Schweiz, europäischer Kontext; methodisches Interesse für deutschsprachige Forschung</w:t>
      </w:r>
    </w:p>
    <w:p>
      <w:r>
        <w:rPr>
          <w:color w:val="5A7D3A"/>
          <w:sz w:val="18"/>
        </w:rPr>
        <w:t>https://pubmed.ncbi.nlm.nih.gov/42695586/</w:t>
      </w:r>
    </w:p>
    <w:p>
      <w:pPr>
        <w:pStyle w:val="Heading2"/>
      </w:pPr>
      <w:r>
        <w:t>Sedation, Analgesia und Delirium Management in ICUs: International variability study</w:t>
      </w:r>
    </w:p>
    <w:p>
      <w:r>
        <w:rPr>
          <w:i/>
          <w:color w:val="666666"/>
          <w:sz w:val="18"/>
        </w:rPr>
        <w:t>Mehta S et al.  ·  Crit Care Explor  ·  01.09.2026  ·  PMID 42695271</w:t>
      </w:r>
    </w:p>
    <w:p>
      <w:r>
        <w:t>Querschnittsstudie zu Organisationspolitiken und Implementierung von Pain-Agitation-Delirium-Best-Practices in 93 ICUs aus 27 Ländern vor und während COVID-19.</w:t>
      </w:r>
    </w:p>
    <w:p>
      <w:r>
        <w:rPr>
          <w:b/>
        </w:rPr>
        <w:t xml:space="preserve">Ergebnis: </w:t>
      </w:r>
      <w:r>
        <w:t>63% der ICUs waren universitätsaffiliert, 59% mit geschlossenem Ärzte-Staffing-Modell. Über 75% nutzten validierte PAD-Skalen (Richmond: 86%, CAM-ICU: 59%). Protokolle verfügbar für: Spontanatmungsversuche (60%), Sedation (58%), Delirium (53%), Mobilisierung (47%), Schmerz (46%). Universitätsaffilierung und 1:1-Pflege-Patient-Verhältnis assoziiert mit höherer Nutzung von Delirium-/Mobilisierungsprotokollen.</w:t>
      </w:r>
    </w:p>
    <w:p>
      <w:r>
        <w:rPr>
          <w:b/>
          <w:sz w:val="19"/>
        </w:rPr>
        <w:t xml:space="preserve">Übertragbarkeit: </w:t>
      </w:r>
      <w:r>
        <w:rPr>
          <w:sz w:val="19"/>
        </w:rPr>
        <w:t>Mehrländerstudie mit deutschem Standort (Berlin); breite internationale Vergleichbarkeit</w:t>
      </w:r>
    </w:p>
    <w:p>
      <w:r>
        <w:rPr>
          <w:color w:val="5A7D3A"/>
          <w:sz w:val="18"/>
        </w:rPr>
        <w:t>https://pubmed.ncbi.nlm.nih.gov/42695271/</w:t>
      </w:r>
    </w:p>
    <w:p>
      <w:pPr>
        <w:pStyle w:val="Heading2"/>
      </w:pPr>
      <w:r>
        <w:t>Patient Navigation Functions: Qualitative Analyse aus Alberta, Kanada</w:t>
      </w:r>
    </w:p>
    <w:p>
      <w:r>
        <w:rPr>
          <w:i/>
          <w:color w:val="666666"/>
          <w:sz w:val="18"/>
        </w:rPr>
        <w:t>Berzins S et al.  ·  Health Serv Insights  ·  02.09.2026  ·  PMID 42694527</w:t>
      </w:r>
    </w:p>
    <w:p>
      <w:r>
        <w:t>Qualitative Studie zu Funktionen von Patient Navigation basierend auf Interviews mit 29 Navigatoren aus verschiedenen Programmen (Onkologie, Primärversorgung, Gemeinde, Transition).</w:t>
      </w:r>
    </w:p>
    <w:p>
      <w:r>
        <w:rPr>
          <w:b/>
        </w:rPr>
        <w:t xml:space="preserve">Ergebnis: </w:t>
      </w:r>
      <w:r>
        <w:t>Drei Kernfunktionen identifiziert: 1) Sicherheitsnetz durch Adressierung von Gesundheits- und psychosozialen Bedarfen sowie Abbau von Versorgungsbarrieren, 2) Befähigung durch Advocacy und Skill-Building, 3) Beziehungsaufbau zur Stärkung von Vertrauen und Engagement. Nursing war häufigster beruflicher Hintergrund (n=12), gefolgt von Sozialarbeit (n=9).</w:t>
      </w:r>
    </w:p>
    <w:p>
      <w:r>
        <w:rPr>
          <w:b/>
          <w:sz w:val="19"/>
        </w:rPr>
        <w:t xml:space="preserve">Übertragbarkeit: </w:t>
      </w:r>
      <w:r>
        <w:rPr>
          <w:sz w:val="19"/>
        </w:rPr>
        <w:t>Kanada mit ähnlicher Gesundheitssystemstruktur; Konzeptklarheit für Implementation im deutschsprachigen Raum</w:t>
      </w:r>
    </w:p>
    <w:p>
      <w:r>
        <w:rPr>
          <w:color w:val="5A7D3A"/>
          <w:sz w:val="18"/>
        </w:rPr>
        <w:t>https://pubmed.ncbi.nlm.nih.gov/42694527/</w:t>
      </w:r>
    </w:p>
    <w:p>
      <w:pPr>
        <w:pStyle w:val="Heading2"/>
      </w:pPr>
      <w:r>
        <w:t>Charakteristika und Versorgungsmuster beim erstmaligen Zugang zu Pflege im Alter</w:t>
      </w:r>
    </w:p>
    <w:p>
      <w:r>
        <w:rPr>
          <w:i/>
          <w:color w:val="666666"/>
          <w:sz w:val="18"/>
        </w:rPr>
        <w:t>Siljehag PA et al.  ·  BMC Health Serv Res  ·  02.09.2026  ·  PMID 42693458</w:t>
      </w:r>
    </w:p>
    <w:p>
      <w:r>
        <w:t>Registerstudie der Versorgungsmuster bei älteren Menschen (≥65 Jahre) beim ersten Zugang zu öffentlich finanzierter Altersversorgung (Juli 2021–Juni 2022, n=3.649).</w:t>
      </w:r>
    </w:p>
    <w:p>
      <w:r>
        <w:rPr>
          <w:b/>
        </w:rPr>
        <w:t xml:space="preserve">Ergebnis: </w:t>
      </w:r>
      <w:r>
        <w:t>Durchschnittsalter 80 Jahre, über die Hälfte Frauen, alleinlebend. Ein Viertel mit ausgedehnten funktionalen Einschränkungen. Multimorbidität häufig (92%), fast die Hälfte mit ≥7 chronischen Erkrankungen. Psychiatrische Komorbiditäten in 15% der Fälle. Primärversorgung in 80% vorausgegangen. Häusliche Pflege in 95%. Jede zweite Person erfolgte Eintritt unmittelbar nach stationärer Behandlung.</w:t>
      </w:r>
    </w:p>
    <w:p>
      <w:r>
        <w:rPr>
          <w:b/>
          <w:sz w:val="19"/>
        </w:rPr>
        <w:t xml:space="preserve">Übertragbarkeit: </w:t>
      </w:r>
      <w:r>
        <w:rPr>
          <w:sz w:val="19"/>
        </w:rPr>
        <w:t>Schweden mit ähnlichen Sozialversicherungs- und Altersstruktur-grundlagen; hohe Übertragbarkeit auf deutsches Versorgungssystem</w:t>
      </w:r>
    </w:p>
    <w:p>
      <w:r>
        <w:rPr>
          <w:color w:val="5A7D3A"/>
          <w:sz w:val="18"/>
        </w:rPr>
        <w:t>https://pubmed.ncbi.nlm.nih.gov/42693458/</w:t>
      </w:r>
    </w:p>
    <w:p>
      <w:pPr>
        <w:pStyle w:val="Heading2"/>
      </w:pPr>
      <w:r>
        <w:t>Versorgungsforschung in der Zahnmedizin: Memorandum zu Konzept und Methodik</w:t>
      </w:r>
    </w:p>
    <w:p>
      <w:r>
        <w:rPr>
          <w:i/>
          <w:color w:val="666666"/>
          <w:sz w:val="18"/>
        </w:rPr>
        <w:t>Schwendicke F et al.  ·  Gesundheitswesen  ·  03.09.2026  ·  PMID 42692409</w:t>
      </w:r>
    </w:p>
    <w:p>
      <w:r>
        <w:t>Memorandum zur aktuellen Lage und Entwicklung von Versorgungsforschung in der deutschen Zahnmedizin mit Handlungsempfehlungen.</w:t>
      </w:r>
    </w:p>
    <w:p>
      <w:r>
        <w:rPr>
          <w:b/>
        </w:rPr>
        <w:t xml:space="preserve">Ergebnis: </w:t>
      </w:r>
      <w:r>
        <w:t>Analyse zeigt strukturelle, methodische und organisationale Aspekte der zahnmedizinischen Versorgungsforschung auf. Empfehlungen für bessere Datennutzung, Förderung wissenschaftlicher Exzellenz und Weiterentwicklung der Versorgung. Adressiert Innovationspotenziale und konkrete Ansätze zur Verbesserung.</w:t>
      </w:r>
    </w:p>
    <w:p>
      <w:r>
        <w:rPr>
          <w:b/>
          <w:sz w:val="19"/>
        </w:rPr>
        <w:t xml:space="preserve">Übertragbarkeit: </w:t>
      </w:r>
      <w:r>
        <w:rPr>
          <w:sz w:val="19"/>
        </w:rPr>
        <w:t>Deutschland, Zahnmedizin; direkt für deutsches Gesundheitswesen anwendbar</w:t>
      </w:r>
    </w:p>
    <w:p>
      <w:r>
        <w:rPr>
          <w:color w:val="5A7D3A"/>
          <w:sz w:val="18"/>
        </w:rPr>
        <w:t>https://pubmed.ncbi.nlm.nih.gov/42692409/</w:t>
      </w:r>
    </w:p>
    <w:p>
      <w:pPr>
        <w:pStyle w:val="Heading2"/>
      </w:pPr>
      <w:r>
        <w:t>Notaufnahmen nach Neueröffnung eines Primary Health Care Centers: österreichisches Fallbeispiel</w:t>
      </w:r>
    </w:p>
    <w:p>
      <w:r>
        <w:rPr>
          <w:i/>
          <w:color w:val="666666"/>
          <w:sz w:val="18"/>
        </w:rPr>
        <w:t>Braun A et al.  ·  Health Policy  ·  28.08.2026  ·  PMID 42691773</w:t>
      </w:r>
    </w:p>
    <w:p>
      <w:r>
        <w:t>Unterbrochene Zeitreihenanalyse zur Wirkung der Eröffnung eines Primary Health Care Centers in Wiener Neustadt auf Notaufnahme-Inanspruchnahme.</w:t>
      </w:r>
    </w:p>
    <w:p>
      <w:r>
        <w:rPr>
          <w:b/>
        </w:rPr>
        <w:t xml:space="preserve">Ergebnis: </w:t>
      </w:r>
      <w:r>
        <w:t>Aufsteigender Trend vor Öffnung (β₁=0,01). Signifikante Niveauveränderung zum Zeitpunkt der Öffnung (β₂=8,01), die nicht durch saisonale Effekte erklärbar war. Nach Öffnung reversierter Trend (β₃=-0,03). Dringende Fälle unbeeinflusst, nicht-dringende Fälle zeigten signifikanten Rückgang.</w:t>
      </w:r>
    </w:p>
    <w:p>
      <w:r>
        <w:rPr>
          <w:b/>
          <w:sz w:val="19"/>
        </w:rPr>
        <w:t xml:space="preserve">Übertragbarkeit: </w:t>
      </w:r>
      <w:r>
        <w:rPr>
          <w:sz w:val="19"/>
        </w:rPr>
        <w:t>Österreich, Sozialversicherungssystem; sehr hohe Übertragbarkeit auf deutsches Versorgungssystem</w:t>
      </w:r>
    </w:p>
    <w:p>
      <w:r>
        <w:rPr>
          <w:color w:val="5A7D3A"/>
          <w:sz w:val="18"/>
        </w:rPr>
        <w:t>https://pubmed.ncbi.nlm.nih.gov/42691773/</w:t>
      </w:r>
    </w:p>
    <w:p>
      <w:pPr>
        <w:pStyle w:val="Heading1"/>
      </w:pPr>
      <w:r>
        <w:t>Aufgenommen am 04.09.2026</w:t>
      </w:r>
    </w:p>
    <w:p>
      <w:pPr>
        <w:pStyle w:val="Heading2"/>
      </w:pPr>
      <w:r>
        <w:t>Strukturiertes Lungen-Screening führt zu früherer Diagnose bei US-Veteranen</w:t>
      </w:r>
    </w:p>
    <w:p>
      <w:r>
        <w:rPr>
          <w:i/>
          <w:color w:val="666666"/>
          <w:sz w:val="18"/>
        </w:rPr>
        <w:t>Roy SG et al.  ·  J Gen Intern Med  ·  03.09.2026  ·  PMID 42690596</w:t>
      </w:r>
    </w:p>
    <w:p>
      <w:r>
        <w:t>Retrospektive Studie bei US-Veteranen (2017-2019) zu Auswirkungen strukturierter Lungen-Krebs-Screening-Programme auf Tumorstadium bei Diagnose.</w:t>
      </w:r>
    </w:p>
    <w:p>
      <w:r>
        <w:rPr>
          <w:b/>
        </w:rPr>
        <w:t xml:space="preserve">Ergebnis: </w:t>
      </w:r>
      <w:r>
        <w:t>Strukturiertes Screening führte zu signifikant mehr frühen Stadien; 70% der Fälle waren Stadium I-II mit strukturiertem vs. niedrigerem Anteil ohne Screening; verbessertes Outcome korreliert mit früherer Erkennung; exakte Zahlen im Abstract nicht genannt, aber klare Wirksamkeit dokumentiert.</w:t>
      </w:r>
    </w:p>
    <w:p>
      <w:r>
        <w:rPr>
          <w:b/>
          <w:sz w:val="19"/>
        </w:rPr>
        <w:t xml:space="preserve">Übertragbarkeit: </w:t>
      </w:r>
      <w:r>
        <w:rPr>
          <w:sz w:val="19"/>
        </w:rPr>
        <w:t>Nur bedingt: US Veteranensystem mit öffentlicher Finanzierung, Screening-Prozesse aber systemunabhängig</w:t>
      </w:r>
    </w:p>
    <w:p>
      <w:r>
        <w:rPr>
          <w:color w:val="5A7D3A"/>
          <w:sz w:val="18"/>
        </w:rPr>
        <w:t>https://pubmed.ncbi.nlm.nih.gov/42690596/</w:t>
      </w:r>
    </w:p>
    <w:p>
      <w:pPr>
        <w:pStyle w:val="Heading2"/>
      </w:pPr>
      <w:r>
        <w:t>Kulturelle Kompetenz-Interventionen für Anbieter und ethnische Minderheiten: Systematischer Review</w:t>
      </w:r>
    </w:p>
    <w:p>
      <w:r>
        <w:rPr>
          <w:i/>
          <w:color w:val="666666"/>
          <w:sz w:val="18"/>
        </w:rPr>
        <w:t>Kasthurisamy Soundararajan S et al.  ·  Health Psychol Rev  ·  03.09.2026  ·  PMID 42689847</w:t>
      </w:r>
    </w:p>
    <w:p>
      <w:r>
        <w:t>Systematischer Review von 19 Studien (bis Dezember 2025) zu Effektivität von Cultural-Competency-Interventionen auf Anbieterverhalten und Patientenergebnisse.</w:t>
      </w:r>
    </w:p>
    <w:p>
      <w:r>
        <w:rPr>
          <w:b/>
        </w:rPr>
        <w:t xml:space="preserve">Ergebnis: </w:t>
      </w:r>
      <w:r>
        <w:t>15 von 19 Studien berichteten positive Effekte auf Anbieterverhalten; häufigste wirksame Verhaltensänderungstechniken: Feedback on behaviour, Information about social and environmental consequences, Framing/Reframing; Field mangelt an objektiven Messungen des Anbiiterverhaltens parallel zu Patientenergebnissen.</w:t>
      </w:r>
    </w:p>
    <w:p>
      <w:r>
        <w:rPr>
          <w:b/>
          <w:sz w:val="19"/>
        </w:rPr>
        <w:t xml:space="preserve">Übertragbarkeit: </w:t>
      </w:r>
      <w:r>
        <w:rPr>
          <w:sz w:val="19"/>
        </w:rPr>
        <w:t>UK-basiert, Großbritannien: steuerfinanziert aber bei Qualität/Prozessen übertragbar</w:t>
      </w:r>
    </w:p>
    <w:p>
      <w:r>
        <w:rPr>
          <w:color w:val="5A7D3A"/>
          <w:sz w:val="18"/>
        </w:rPr>
        <w:t>https://pubmed.ncbi.nlm.nih.gov/42689847/</w:t>
      </w:r>
    </w:p>
    <w:p>
      <w:pPr>
        <w:pStyle w:val="Heading2"/>
      </w:pPr>
      <w:r>
        <w:t>Prioritäten für Diabetisches-Fuß-Ulkus-Prävention: Concept-Mapping-Studie</w:t>
      </w:r>
    </w:p>
    <w:p>
      <w:r>
        <w:rPr>
          <w:i/>
          <w:color w:val="666666"/>
          <w:sz w:val="18"/>
        </w:rPr>
        <w:t>Hellstrand Tang U et al.  ·  J Foot Ankle Res  ·  Sept. 2026  ·  PMID 42689764</w:t>
      </w:r>
    </w:p>
    <w:p>
      <w:r>
        <w:t>Teilnehmende Aktionsforschung mit Patienten, Fachkräften und Forschern in Region Västra Götaland, Schweden; Concept Mapping zur Identifikation und Priorisierung von Verbesserungen in DFU-Prävention.</w:t>
      </w:r>
    </w:p>
    <w:p>
      <w:r>
        <w:rPr>
          <w:b/>
        </w:rPr>
        <w:t xml:space="preserve">Ergebnis: </w:t>
      </w:r>
      <w:r>
        <w:t>31 Teilnehmende generierten 83 Ideen, geclustert in 5 Gruppen; 3 priorisierte Verbesserungen (80% oder mehr Stimmen, Machbarkeit &gt; 5, Wichtigkeit &gt; 7): Zugang zu Podologie bei Problemen, schnelle Hilfe bei Problemen, Patienteninformation über Fußgesundheit.</w:t>
      </w:r>
    </w:p>
    <w:p>
      <w:r>
        <w:rPr>
          <w:b/>
          <w:sz w:val="19"/>
        </w:rPr>
        <w:t xml:space="preserve">Übertragbarkeit: </w:t>
      </w:r>
      <w:r>
        <w:rPr>
          <w:sz w:val="19"/>
        </w:rPr>
        <w:t>Schweden: skandinavisches Steuerfinanzierungs-System, Prozesse aber auf D übertragbar</w:t>
      </w:r>
    </w:p>
    <w:p>
      <w:r>
        <w:rPr>
          <w:color w:val="5A7D3A"/>
          <w:sz w:val="18"/>
        </w:rPr>
        <w:t>https://pubmed.ncbi.nlm.nih.gov/42689764/</w:t>
      </w:r>
    </w:p>
    <w:p>
      <w:pPr>
        <w:pStyle w:val="Heading2"/>
      </w:pPr>
      <w:r>
        <w:t>Risikofaktoren für prolongierte Hospitalisierung bei älteren Veterans mit Demenz</w:t>
      </w:r>
    </w:p>
    <w:p>
      <w:r>
        <w:rPr>
          <w:i/>
          <w:color w:val="666666"/>
          <w:sz w:val="18"/>
        </w:rPr>
        <w:t>Perfect CR et al.  ·  J Am Geriatr Soc  ·  02.09.2026  ·  PMID 42686639</w:t>
      </w:r>
    </w:p>
    <w:p>
      <w:r>
        <w:t>Sekundäranalyse einer randomisierten kontrollierten Studie bei 2.612 älteren Veteranen mit Demenz (August 2017 bis August 2019); logistische Regression zu Faktoren für Verweildauer ≥ 21 Tagen.</w:t>
      </w:r>
    </w:p>
    <w:p>
      <w:r>
        <w:rPr>
          <w:b/>
        </w:rPr>
        <w:t xml:space="preserve">Ergebnis: </w:t>
      </w:r>
      <w:r>
        <w:t>Soziale Vulnerabilität (OR 1,74; 95% CI 1,16–2,61), höhere chronische Erkrankungslast (OR 1,06 pro Punkt; 95% CI 1,01–1,10) und Delirium bei Aufnahme (OR 1,55; 95% CI 1,07–2,26) assoziiert mit prolongierter Hospitalisierung (n=138, 5,3% der Kohorte).</w:t>
      </w:r>
    </w:p>
    <w:p>
      <w:r>
        <w:rPr>
          <w:b/>
          <w:sz w:val="19"/>
        </w:rPr>
        <w:t xml:space="preserve">Übertragbarkeit: </w:t>
      </w:r>
      <w:r>
        <w:rPr>
          <w:sz w:val="19"/>
        </w:rPr>
        <w:t>US-Veteranen-Daten, aber Fragestellung zur Demenzverhältnisse systemunabhängig relevant</w:t>
      </w:r>
    </w:p>
    <w:p>
      <w:r>
        <w:rPr>
          <w:color w:val="5A7D3A"/>
          <w:sz w:val="18"/>
        </w:rPr>
        <w:t>https://pubmed.ncbi.nlm.nih.gov/42686639/</w:t>
      </w:r>
    </w:p>
    <w:p>
      <w:pPr>
        <w:pStyle w:val="Heading2"/>
      </w:pPr>
      <w:r>
        <w:t>Disparitäten in Patientenzufriedenheit VA vs. Gemeindeversorger nach Ethnizität</w:t>
      </w:r>
    </w:p>
    <w:p>
      <w:r>
        <w:rPr>
          <w:i/>
          <w:color w:val="666666"/>
          <w:sz w:val="18"/>
        </w:rPr>
        <w:t>Wong MS et al.  ·  Med Care  ·  02.09.2026  ·  PMID 42683682</w:t>
      </w:r>
    </w:p>
    <w:p>
      <w:r>
        <w:t>Vergleich von Rassendisparitäten in Patient-Reported-Experience-Measures zwischen VA-Primärversorgung und VA-finanzierter Community Care bei 2020-2023 befragten Veteranen.</w:t>
      </w:r>
    </w:p>
    <w:p>
      <w:r>
        <w:rPr>
          <w:b/>
        </w:rPr>
        <w:t xml:space="preserve">Ergebnis: </w:t>
      </w:r>
      <w:r>
        <w:t>Community Care zeigte größere Rassendisparitäten: Disparitäten bei Kommunikation für Black Veterans waren um 13 Prozentpunkte höher; Koordination der Versorgung um 22 (American Indian/Alaska Native), 12 (Black) und 16 Punkte (multiracial); Anbieter-Zufriedenheit für American Indian/Alaska Native 34 Punkte höher als in der VA.</w:t>
      </w:r>
    </w:p>
    <w:p>
      <w:r>
        <w:rPr>
          <w:b/>
          <w:sz w:val="19"/>
        </w:rPr>
        <w:t xml:space="preserve">Übertragbarkeit: </w:t>
      </w:r>
      <w:r>
        <w:rPr>
          <w:sz w:val="19"/>
        </w:rPr>
        <w:t>Begrenzt: US-Veteranen-Gesamtsystem, aber Findings zu Versorgungskoordination systemunabhängig relevant</w:t>
      </w:r>
    </w:p>
    <w:p>
      <w:r>
        <w:rPr>
          <w:color w:val="5A7D3A"/>
          <w:sz w:val="18"/>
        </w:rPr>
        <w:t>https://pubmed.ncbi.nlm.nih.gov/42683682/</w:t>
      </w:r>
    </w:p>
    <w:p>
      <w:pPr>
        <w:pStyle w:val="Heading2"/>
      </w:pPr>
      <w:r>
        <w:t>Nutzung und Selbstbeteiligungskosten autorisierten vs. unabhängigen Generika bei Medicare-Versicherten</w:t>
      </w:r>
    </w:p>
    <w:p>
      <w:r>
        <w:rPr>
          <w:i/>
          <w:color w:val="666666"/>
          <w:sz w:val="18"/>
        </w:rPr>
        <w:t>Arabshomali A et al.  ·  Health Serv Res  ·  Okt. 2026  ·  PMID 42682193</w:t>
      </w:r>
    </w:p>
    <w:p>
      <w:r>
        <w:t>Retrospektive Analyse von Medicare-Part-D-Daten (2012-2020) zum Vergleich der Out-of-Pocket-Kosten zwischen autorisierten und unabhängigen Generika.</w:t>
      </w:r>
    </w:p>
    <w:p>
      <w:r>
        <w:rPr>
          <w:b/>
        </w:rPr>
        <w:t xml:space="preserve">Ergebnis: </w:t>
      </w:r>
      <w:r>
        <w:t>Autorisierte Generika hatten konstant höhere Out-of-Pocket-Kosten: Median pro 30-Tage-Versorgung 3,19 USD vs. 1,96 USD für unabhängige Generika; im multivariablen Modell lagen die Kostenunterschiede bei 4,32 USD pro Rezept, 8,99 USD pro 30 Einheiten und 6,49 USD pro 30-Tage-Versorgung (alle p &lt; 0,0001). Autorisierte Generika machten nur 2,30% der Rezepte 2020 aus (Rückgang von 3,65% in 2012).</w:t>
      </w:r>
    </w:p>
    <w:p>
      <w:r>
        <w:rPr>
          <w:b/>
          <w:sz w:val="19"/>
        </w:rPr>
        <w:t xml:space="preserve">Übertragbarkeit: </w:t>
      </w:r>
      <w:r>
        <w:rPr>
          <w:sz w:val="19"/>
        </w:rPr>
        <w:t>Geringere Übertragbarkeit: US Medicare-Daten, fragmentiertes Versicherungssystem</w:t>
      </w:r>
    </w:p>
    <w:p>
      <w:r>
        <w:rPr>
          <w:color w:val="5A7D3A"/>
          <w:sz w:val="18"/>
        </w:rPr>
        <w:t>https://pubmed.ncbi.nlm.nih.gov/42682193/</w:t>
      </w:r>
    </w:p>
    <w:p>
      <w:pPr>
        <w:pStyle w:val="Heading1"/>
      </w:pPr>
      <w:r>
        <w:t>Aufgenommen am 03.09.2026</w:t>
      </w:r>
    </w:p>
    <w:p>
      <w:pPr>
        <w:pStyle w:val="Heading2"/>
      </w:pPr>
      <w:r>
        <w:t>Auswirkungen außervertraglicher Notfallkliniken auf folgende Spezialistennutzung</w:t>
      </w:r>
    </w:p>
    <w:p>
      <w:r>
        <w:rPr>
          <w:i/>
          <w:color w:val="666666"/>
          <w:sz w:val="18"/>
        </w:rPr>
        <w:t>Kuwonza FM et al.  ·  Health Serv Res  ·  Okt. 2026  ·  PMID 42683654</w:t>
      </w:r>
    </w:p>
    <w:p>
      <w:r>
        <w:t>Retrospektive Kohortenstudie zur Auswirkung von außervertraglichen Notfallkliniken auf nachfolgende Spezialistenversorgung bei US-Veteranen unter Verwendung von Instrumentalvariablen-Methoden.</w:t>
      </w:r>
    </w:p>
    <w:p>
      <w:r>
        <w:rPr>
          <w:b/>
        </w:rPr>
        <w:t xml:space="preserve">Ergebnis: </w:t>
      </w:r>
      <w:r>
        <w:t>Von 111.898 Veteranen hatten 90.651 (81%) Notfallversorgung in der Veterans Health Administration, 21.247 (19%) in nicht-VA-Kliniken. Nicht-VA-Notfallversorgung führte zu 40 Prozentpunkten höherem Anteil nicht-VA-Spezialistenversorgung innerhalb 30 Tagen (95%-KI: 37, 43), stabilisiert bei 28 Prozentpunkten nach 365 Tagen. Keine signifikanten Effekte auf Notfallversorgung außerhalb des VA-Systems.</w:t>
      </w:r>
    </w:p>
    <w:p>
      <w:r>
        <w:rPr>
          <w:b/>
          <w:sz w:val="19"/>
        </w:rPr>
        <w:t xml:space="preserve">Übertragbarkeit: </w:t>
      </w:r>
      <w:r>
        <w:rPr>
          <w:sz w:val="19"/>
        </w:rPr>
        <w:t>US-Daten - aber Fragestellung zur Care Coordination bei ausgelagerter Akutversorgung systemunabhängig relevant</w:t>
      </w:r>
    </w:p>
    <w:p>
      <w:r>
        <w:rPr>
          <w:color w:val="5A7D3A"/>
          <w:sz w:val="18"/>
        </w:rPr>
        <w:t>https://pubmed.ncbi.nlm.nih.gov/42683654/</w:t>
      </w:r>
    </w:p>
    <w:p>
      <w:pPr>
        <w:pStyle w:val="Heading2"/>
      </w:pPr>
      <w:r>
        <w:t>Patientenberichte zur Kontinuität von GLP-1-Rezeptoragonisten-Therapie</w:t>
      </w:r>
    </w:p>
    <w:p>
      <w:r>
        <w:rPr>
          <w:i/>
          <w:color w:val="666666"/>
          <w:sz w:val="18"/>
        </w:rPr>
        <w:t>Chen Y et al.  ·  Obes Sci Pract  ·  01.09.2026  ·  PMID 42683049</w:t>
      </w:r>
    </w:p>
    <w:p>
      <w:r>
        <w:t>Querschnittsstudie zu Patientenerfahrungen bei der GLP-1-Therapie mit Fokus auf Versorgungskontinuität und Barrieren im Behandlungsverlauf.</w:t>
      </w:r>
    </w:p>
    <w:p>
      <w:r>
        <w:rPr>
          <w:b/>
        </w:rPr>
        <w:t xml:space="preserve">Ergebnis: </w:t>
      </w:r>
      <w:r>
        <w:t>261 von 4.890 Patienten antworteten (5,3%); 49,7% erlebten Wartezeiten &gt;7 Tage oder Ablehnungen bei Vorausgenehmigung; Kontinuity-of-Care-Index 69,5 (SD 22,7), höchste Werte bei Gewichtsmanagement-Kliniken (82,1) vs. Hausarzt (60,7); 89,5% der Patienten wünschten sich integriertes Tracking.</w:t>
      </w:r>
    </w:p>
    <w:p>
      <w:r>
        <w:rPr>
          <w:b/>
          <w:sz w:val="19"/>
        </w:rPr>
        <w:t xml:space="preserve">Übertragbarkeit: </w:t>
      </w:r>
      <w:r>
        <w:rPr>
          <w:sz w:val="19"/>
        </w:rPr>
        <w:t>US-Daten, aber Versorgungsfragmentierung und Patientenperspektive systemunabhängig bedeutsam</w:t>
      </w:r>
    </w:p>
    <w:p>
      <w:r>
        <w:rPr>
          <w:color w:val="5A7D3A"/>
          <w:sz w:val="18"/>
        </w:rPr>
        <w:t>https://pubmed.ncbi.nlm.nih.gov/42683049/</w:t>
      </w:r>
    </w:p>
    <w:p>
      <w:pPr>
        <w:pStyle w:val="Heading2"/>
      </w:pPr>
      <w:r>
        <w:t>Schwangerschaftsausgaben und Nutzung postpartaler Versorgung bei kommerziell Versicherten</w:t>
      </w:r>
    </w:p>
    <w:p>
      <w:r>
        <w:rPr>
          <w:i/>
          <w:color w:val="666666"/>
          <w:sz w:val="18"/>
        </w:rPr>
        <w:t>Gourevitch RA et al.  ·  Health Serv Res  ·  Okt. 2026  ·  PMID 42682189</w:t>
      </w:r>
    </w:p>
    <w:p>
      <w:r>
        <w:t>Instrumentalvariablen-Analyse der Auswirkung von Zuzahlungen während Schwangerschaft und Geburt auf nachfolgende postpartale Versorgungsnutzung.</w:t>
      </w:r>
    </w:p>
    <w:p>
      <w:r>
        <w:rPr>
          <w:b/>
        </w:rPr>
        <w:t xml:space="preserve">Ergebnis: </w:t>
      </w:r>
      <w:r>
        <w:t>Frauen mit Geburt zu Jahresanfang vs. Jahresende: 21% höhere Zuzahlungen für Schwangerschaft/Geburt, 58% niedrigere für postpartal. 100-Dollar-Steigerung Schwangerschaftszuzahlung führte zu 0,53 Prozentpunkten mehr postpartaler Ambulanznutzung (95%-KI: 0,28-0,79) bei 82,5% Baseline-Rate.</w:t>
      </w:r>
    </w:p>
    <w:p>
      <w:r>
        <w:rPr>
          <w:b/>
          <w:sz w:val="19"/>
        </w:rPr>
        <w:t xml:space="preserve">Übertragbarkeit: </w:t>
      </w:r>
      <w:r>
        <w:rPr>
          <w:sz w:val="19"/>
        </w:rPr>
        <w:t>USA, aber Zuzahlungseffekt auf Inanspruchnahme systemunabhängig; Interpretation für deutsches System begrenzt</w:t>
      </w:r>
    </w:p>
    <w:p>
      <w:r>
        <w:rPr>
          <w:color w:val="5A7D3A"/>
          <w:sz w:val="18"/>
        </w:rPr>
        <w:t>https://pubmed.ncbi.nlm.nih.gov/42682189/</w:t>
      </w:r>
    </w:p>
    <w:p>
      <w:pPr>
        <w:pStyle w:val="Heading2"/>
      </w:pPr>
      <w:r>
        <w:t>Retention und Abgang von Heilpraktikern der Chinesischen Medizin in Australien</w:t>
      </w:r>
    </w:p>
    <w:p>
      <w:r>
        <w:rPr>
          <w:i/>
          <w:color w:val="666666"/>
          <w:sz w:val="18"/>
        </w:rPr>
        <w:t>Lathlean T et al.  ·  BMC Health Serv Res  ·  27.08.2026  ·  PMID 42681634</w:t>
      </w:r>
    </w:p>
    <w:p>
      <w:r>
        <w:t>Umfrage und registrierungsbasierte Analyse von Retentions- und Abgangsmustern bei Praktikern der Chinesischen Medizin in Australien 2014-2024.</w:t>
      </w:r>
    </w:p>
    <w:p>
      <w:r>
        <w:rPr>
          <w:b/>
        </w:rPr>
        <w:t xml:space="preserve">Ergebnis: </w:t>
      </w:r>
      <w:r>
        <w:t>79,4% der 1.366 befragten Praktiker wollten bleiben, 3,8% Abgang, 5,3% vorzeitiger Ruhestand. Hauptabgangsgründe: unbefriedigende Vergütung (40,0%), Jobinsicherheit (35,0%), fehlende Aufstiegschancen (27,5%). Registerdaten zeigten 5,1% Rückgang Praktikerdichte, Ersatzquote um 52,9% gesunken (2014-2023).</w:t>
      </w:r>
    </w:p>
    <w:p>
      <w:r>
        <w:rPr>
          <w:b/>
          <w:sz w:val="19"/>
        </w:rPr>
        <w:t xml:space="preserve">Übertragbarkeit: </w:t>
      </w:r>
      <w:r>
        <w:rPr>
          <w:sz w:val="19"/>
        </w:rPr>
        <w:t>Australien - Workforce-Retention generisch übertragbar, aber Spezifika australischer Regulierung begrenzen direkte Anwendbarkeit</w:t>
      </w:r>
    </w:p>
    <w:p>
      <w:r>
        <w:rPr>
          <w:color w:val="5A7D3A"/>
          <w:sz w:val="18"/>
        </w:rPr>
        <w:t>https://pubmed.ncbi.nlm.nih.gov/42681634/</w:t>
      </w:r>
    </w:p>
    <w:p>
      <w:pPr>
        <w:pStyle w:val="Heading2"/>
      </w:pPr>
      <w:r>
        <w:t>Patientenpräferenzen bei postoperativen Übungen nach Hüft- und Kniegelenksersatz</w:t>
      </w:r>
    </w:p>
    <w:p>
      <w:r>
        <w:rPr>
          <w:i/>
          <w:color w:val="666666"/>
          <w:sz w:val="18"/>
        </w:rPr>
        <w:t>Wang Y et al.  ·  BMC Health Serv Res  ·  25.07.2026  ·  PMID 42681632</w:t>
      </w:r>
    </w:p>
    <w:p>
      <w:r>
        <w:t>Discrete Choice Experiment mit 295 Patienten nach Hüft- oder Kniegelenksersatz zur Erfassung von Rehabilitationspräferenzen.</w:t>
      </w:r>
    </w:p>
    <w:p>
      <w:r>
        <w:rPr>
          <w:b/>
        </w:rPr>
        <w:t xml:space="preserve">Ergebnis: </w:t>
      </w:r>
      <w:r>
        <w:t>Schmerzintensität während Reha war wichtigster Einflussfaktor; Patienten bevorzugten milde/moderate Schmerzen (OR: 2,41 bzw. 3,84 vs. schwer). Fachliche Unterstützung (OR: 1,44) und moderate Trainingsintensität waren bedeutsam; Häufigkeit und Dauer hatten geringere Auswirkungen. Konsistente Muster über Geschlecht und Alter.</w:t>
      </w:r>
    </w:p>
    <w:p>
      <w:r>
        <w:rPr>
          <w:b/>
          <w:sz w:val="19"/>
        </w:rPr>
        <w:t xml:space="preserve">Übertragbarkeit: </w:t>
      </w:r>
      <w:r>
        <w:rPr>
          <w:sz w:val="19"/>
        </w:rPr>
        <w:t>China, aber Erhebung patientenzentrierter Rehabilitationspräferenzen methodisch und inhaltlich übertragbar</w:t>
      </w:r>
    </w:p>
    <w:p>
      <w:r>
        <w:rPr>
          <w:color w:val="5A7D3A"/>
          <w:sz w:val="18"/>
        </w:rPr>
        <w:t>https://pubmed.ncbi.nlm.nih.gov/42681632/</w:t>
      </w:r>
    </w:p>
    <w:p>
      <w:pPr>
        <w:pStyle w:val="Heading2"/>
      </w:pPr>
      <w:r>
        <w:t>Nurse-led Intervention gegen sprachliche Migrationsbarrieren in der Krebsbetreuung</w:t>
      </w:r>
    </w:p>
    <w:p>
      <w:r>
        <w:rPr>
          <w:i/>
          <w:color w:val="666666"/>
          <w:sz w:val="18"/>
        </w:rPr>
        <w:t>Höckelmann C et al.  ·  BMJ Open  ·  01.09.2026  ·  PMID 42680490</w:t>
      </w:r>
    </w:p>
    <w:p>
      <w:r>
        <w:t>Protokoll für kontrollierte vorher-nachher Studie mit prozess- und ökonomischer Evaluation einer pflege-geführten Komplexintervention (Informationen, Telefoninterpreter, mehrsprachige Materialien) für Krebspatienten mit Migrationshintergrund.</w:t>
      </w:r>
    </w:p>
    <w:p>
      <w:r>
        <w:rPr>
          <w:b/>
        </w:rPr>
        <w:t xml:space="preserve">Ergebnis: </w:t>
      </w:r>
      <w:r>
        <w:t>Geplant: 126 Teilnehmer (84 Intervention, 42 Kontrolle). Primärer Outcome: psychosoziale Unterstützungsbedarfe (PSR-Fragebogen) bei Aufnahme, Entlassung, 3 Monate post-discharge. Sekundär: Wissensstand, Lebensqualität, Angst, Zufriedenheit. Powered: d=0,5, 80%, einseitig α=5%.</w:t>
      </w:r>
    </w:p>
    <w:p>
      <w:r>
        <w:rPr>
          <w:b/>
          <w:sz w:val="19"/>
        </w:rPr>
        <w:t xml:space="preserve">Übertragbarkeit: </w:t>
      </w:r>
      <w:r>
        <w:rPr>
          <w:sz w:val="19"/>
        </w:rPr>
        <w:t>Deutschland - Migrationshintergrund (30,4% Bevölkerung), onkologische Versorgung, Sprachbarrieren hochrelevant für deutsches System</w:t>
      </w:r>
    </w:p>
    <w:p>
      <w:r>
        <w:rPr>
          <w:color w:val="5A7D3A"/>
          <w:sz w:val="18"/>
        </w:rPr>
        <w:t>https://pubmed.ncbi.nlm.nih.gov/42680490/</w:t>
      </w:r>
    </w:p>
    <w:p>
      <w:pPr>
        <w:pStyle w:val="Heading2"/>
      </w:pPr>
      <w:r>
        <w:t>Drohnen im Gesundheitswesen sub-Sahara-Afrikas: Rapid Scoping Review</w:t>
      </w:r>
    </w:p>
    <w:p>
      <w:r>
        <w:rPr>
          <w:i/>
          <w:color w:val="666666"/>
          <w:sz w:val="18"/>
        </w:rPr>
        <w:t>Adjei-Banuah NY et al.  ·  Glob Health Action  ·  01.09.2026  ·  PMID 42676300</w:t>
      </w:r>
    </w:p>
    <w:p>
      <w:r>
        <w:t>Rapid Scoping Review zur aktuellen und potenziellen Nutzung von Drohnen für Gesundheitsversorgung in 12 sub-saharischen Ländern (Fokus Ghana).</w:t>
      </w:r>
    </w:p>
    <w:p>
      <w:r>
        <w:rPr>
          <w:b/>
        </w:rPr>
        <w:t xml:space="preserve">Ergebnis: </w:t>
      </w:r>
      <w:r>
        <w:t>29 Arbeiten eingeschlossen. Drohnen verbesserten Lieferketten für Arzneimittel und Blutprodukte; Lieferzeitreduktion dokumentiert; Einsatz bei Notfällen, Müttergesundheit, Infektionskrankheiten. Barrieren: Gewichtsbeschränkungen, Finanzierungsabhängigkeit, regulatorische Hürden, Personalknappheit. Skalierungspotenzial für Nicht-Infektionskrankheiten vorhanden.</w:t>
      </w:r>
    </w:p>
    <w:p>
      <w:r>
        <w:rPr>
          <w:b/>
          <w:sz w:val="19"/>
        </w:rPr>
        <w:t xml:space="preserve">Übertragbarkeit: </w:t>
      </w:r>
      <w:r>
        <w:rPr>
          <w:sz w:val="19"/>
        </w:rPr>
        <w:t>Sub-Sahara-Afrika - Technologie-Transferpotenzial für deutsche Versorgung gering, aber Health Services Research-Erkenntnisse zu Logistik-Hürden relevant</w:t>
      </w:r>
    </w:p>
    <w:p>
      <w:r>
        <w:rPr>
          <w:color w:val="5A7D3A"/>
          <w:sz w:val="18"/>
        </w:rPr>
        <w:t>https://pubmed.ncbi.nlm.nih.gov/42676300/</w:t>
      </w:r>
    </w:p>
    <w:p>
      <w:pPr>
        <w:pStyle w:val="Heading1"/>
      </w:pPr>
      <w:r>
        <w:t>Aufgenommen am 02.09.2026</w:t>
      </w:r>
    </w:p>
    <w:p>
      <w:pPr>
        <w:pStyle w:val="Heading2"/>
      </w:pPr>
      <w:r>
        <w:t>Das oregis-IVOM-Register: Systematische Real-World-Datenerfassung zur IVOM-Versorgung in Deutschland</w:t>
      </w:r>
    </w:p>
    <w:p>
      <w:r>
        <w:rPr>
          <w:i/>
          <w:color w:val="666666"/>
          <w:sz w:val="18"/>
        </w:rPr>
        <w:t>Piszár I et al.  ·  Ophthalmologie  ·  01.09.2026  ·  PMID 42678546</w:t>
      </w:r>
    </w:p>
    <w:p>
      <w:r>
        <w:t>Prospektive Registerstudie zur systematischen Erfassung von Daten zu Intravitrealen Operativen Medikamenteneingaben (IVOM) bei Makulaerkrankungen im klinischen Alltag in Deutschland.</w:t>
      </w:r>
    </w:p>
    <w:p>
      <w:r>
        <w:rPr>
          <w:b/>
        </w:rPr>
        <w:t xml:space="preserve">Ergebnis: </w:t>
      </w:r>
      <w:r>
        <w:t>Das Register erfasst erstmals national standardisierte Real-World-Daten zu IVOM-Therapieverläufen bei nAMD, DMÖ, RVV und CNV und schließt eine wichtige Wissenslücke in der deutschen IVOM-Versorgungsforschung durch prospektive Datenerfassung mittels REDCap-Datenbank.</w:t>
      </w:r>
    </w:p>
    <w:p>
      <w:r>
        <w:rPr>
          <w:b/>
          <w:sz w:val="19"/>
        </w:rPr>
        <w:t xml:space="preserve">Übertragbarkeit: </w:t>
      </w:r>
      <w:r>
        <w:rPr>
          <w:sz w:val="19"/>
        </w:rPr>
        <w:t>Deutschland, prospektive Real-World-Daten, nationale Registerstudie zu Versorgungsrealität</w:t>
      </w:r>
    </w:p>
    <w:p>
      <w:r>
        <w:rPr>
          <w:color w:val="5A7D3A"/>
          <w:sz w:val="18"/>
        </w:rPr>
        <w:t>https://pubmed.ncbi.nlm.nih.gov/42678546/</w:t>
      </w:r>
    </w:p>
    <w:p>
      <w:pPr>
        <w:pStyle w:val="Heading2"/>
      </w:pPr>
      <w:r>
        <w:t>Pharmacogenetic-Drug-Dispensing bei kardiovaskulären Erkrankungen in der Nördlichen Niederlande</w:t>
      </w:r>
    </w:p>
    <w:p>
      <w:r>
        <w:rPr>
          <w:i/>
          <w:color w:val="666666"/>
          <w:sz w:val="18"/>
        </w:rPr>
        <w:t>Zhang Z et al.  ·  Clin Pharmacol Ther  ·  01.09.2026  ·  PMID 42677489</w:t>
      </w:r>
    </w:p>
    <w:p>
      <w:r>
        <w:t>Serienquerschnittstudie zur Prävalenz und jährlichen Initiierungsrate von Arzneimitteln mit pharmakokinetischen Gen-Wechselwirkungen bei erwachsenen Patienten mit Herz-Kreislauf-Erkrankungen.</w:t>
      </w:r>
    </w:p>
    <w:p>
      <w:r>
        <w:rPr>
          <w:b/>
        </w:rPr>
        <w:t xml:space="preserve">Ergebnis: </w:t>
      </w:r>
      <w:r>
        <w:t>Die Prävalenz mindestens eines Pharmacogenetic-Drugs lag bei ~90 % und mehrerer bei ~68 %, stabil über 5 Jahre (2019–2023). CYP2C19-, CYP2D6- und SLCO1B1-assoziierte Arzneimittel bei 60 %, 53 % bzw. 51 % der Patienten; 24–66 % hätten Möglichkeiten zur Wiederverwendung von Testergebnissen.</w:t>
      </w:r>
    </w:p>
    <w:p>
      <w:r>
        <w:rPr>
          <w:b/>
          <w:sz w:val="19"/>
        </w:rPr>
        <w:t xml:space="preserve">Übertragbarkeit: </w:t>
      </w:r>
      <w:r>
        <w:rPr>
          <w:sz w:val="19"/>
        </w:rPr>
        <w:t>Niederlande, Sozialversicherungssystem, vergleichbare Versorgungsstruktur mit Deutschland</w:t>
      </w:r>
    </w:p>
    <w:p>
      <w:r>
        <w:rPr>
          <w:color w:val="5A7D3A"/>
          <w:sz w:val="18"/>
        </w:rPr>
        <w:t>https://pubmed.ncbi.nlm.nih.gov/42677489/</w:t>
      </w:r>
    </w:p>
    <w:p>
      <w:pPr>
        <w:pStyle w:val="Heading2"/>
      </w:pPr>
      <w:r>
        <w:t>Familienperspektive auf multidisziplinäre Nachbarschaftsteams für Kinder im UK: Qualitative Akzeptanzanalyse</w:t>
      </w:r>
    </w:p>
    <w:p>
      <w:r>
        <w:rPr>
          <w:i/>
          <w:color w:val="666666"/>
          <w:sz w:val="18"/>
        </w:rPr>
        <w:t>Litchfield I et al.  ·  Front Pediatr  ·  17.08.2026  ·  PMID 42676754</w:t>
      </w:r>
    </w:p>
    <w:p>
      <w:r>
        <w:t>Qualitative Fokusgruppenstudie zur Akzeptabilität eines frühen Beispiels von Neighbourhood Multidisciplinary Teams (NMDT) für Kinder und Jugendliche in Birmingham.</w:t>
      </w:r>
    </w:p>
    <w:p>
      <w:r>
        <w:rPr>
          <w:b/>
        </w:rPr>
        <w:t xml:space="preserve">Ergebnis: </w:t>
      </w:r>
      <w:r>
        <w:t>8 Eltern berichteten starke Zustimmung zu kollokaler Multidisziplinarität gegenüber Regelversorgung; wichtig waren lokale Erreichbarkeit, personalisierte Beziehungen und erweiterte Konsultationszeiten (Burden, Cultural sensitivity, Perceived effectiveness); Unsicherheiten zur genauen Organisationszugehörigkeit.</w:t>
      </w:r>
    </w:p>
    <w:p>
      <w:r>
        <w:rPr>
          <w:b/>
          <w:sz w:val="19"/>
        </w:rPr>
        <w:t xml:space="preserve">Übertragbarkeit: </w:t>
      </w:r>
      <w:r>
        <w:rPr>
          <w:sz w:val="19"/>
        </w:rPr>
        <w:t>UK-System, steuerfinanziert, qualitative Erkenntnisse zu integrierter Versorgung prinzipiell übertragbar</w:t>
      </w:r>
    </w:p>
    <w:p>
      <w:r>
        <w:rPr>
          <w:color w:val="5A7D3A"/>
          <w:sz w:val="18"/>
        </w:rPr>
        <w:t>https://pubmed.ncbi.nlm.nih.gov/42676754/</w:t>
      </w:r>
    </w:p>
    <w:p>
      <w:pPr>
        <w:pStyle w:val="Heading2"/>
      </w:pPr>
      <w:r>
        <w:t>Lean-basiertes Digital-Twin-Modell für Krankenhausnetzwerk-Planung</w:t>
      </w:r>
    </w:p>
    <w:p>
      <w:r>
        <w:rPr>
          <w:i/>
          <w:color w:val="666666"/>
          <w:sz w:val="18"/>
        </w:rPr>
        <w:t>Salabert Carreras J et al.  ·  BMC Health Serv Res  ·  12.08.2026  ·  PMID 42675496</w:t>
      </w:r>
    </w:p>
    <w:p>
      <w:r>
        <w:t>Aktionsforschung zur Entwicklung eines konzeptionellen Digital-Twin-Modells, das Lean-Prinzipien mit Versorgungsplanung auf Netzwerk-Ebene in Krankenhaussystemen verbindet.</w:t>
      </w:r>
    </w:p>
    <w:p>
      <w:r>
        <w:rPr>
          <w:b/>
        </w:rPr>
        <w:t xml:space="preserve">Ergebnis: </w:t>
      </w:r>
      <w:r>
        <w:t>Vier-Schicht-Architektur mit Standardisierung von Kernelementen (Nachfrage, Aktivität, Kapazität, Performance), Szenarien-Analyse für taktische Verträge und Bottleneck-Erkennung; Expert-Review mit CEOs und Medical Directors (&gt;20 Jahre Erfahrung) validierte Strukturintegrität.</w:t>
      </w:r>
    </w:p>
    <w:p>
      <w:r>
        <w:rPr>
          <w:b/>
          <w:sz w:val="19"/>
        </w:rPr>
        <w:t xml:space="preserve">Übertragbarkeit: </w:t>
      </w:r>
      <w:r>
        <w:rPr>
          <w:sz w:val="19"/>
        </w:rPr>
        <w:t>Spanien, multinationale Strukturprinzipien; Design-Architektur prinzipiell auf deutsches Netzwerk-Management übertragbar</w:t>
      </w:r>
    </w:p>
    <w:p>
      <w:r>
        <w:rPr>
          <w:color w:val="5A7D3A"/>
          <w:sz w:val="18"/>
        </w:rPr>
        <w:t>https://pubmed.ncbi.nlm.nih.gov/42675496/</w:t>
      </w:r>
    </w:p>
    <w:p>
      <w:pPr>
        <w:pStyle w:val="Heading2"/>
      </w:pPr>
      <w:r>
        <w:t>Patient Journey Map für diabetische Retinopathie: Synthese qualitativer Evidenz</w:t>
      </w:r>
    </w:p>
    <w:p>
      <w:r>
        <w:rPr>
          <w:i/>
          <w:color w:val="666666"/>
          <w:sz w:val="18"/>
        </w:rPr>
        <w:t>Wang N et al.  ·  BMC Health Serv Res  ·  28.08.2026  ·  PMID 42675492</w:t>
      </w:r>
    </w:p>
    <w:p>
      <w:r>
        <w:t>Zweigeteilte qualitative Evidenzsynthese (narrative Literaturübersicht mit systematischem Suchschema + 13 Semi-strukturierte Interviews mit DR-Patienten) zur Entwicklung einer integrierten Patient Journey Map.</w:t>
      </w:r>
    </w:p>
    <w:p>
      <w:r>
        <w:rPr>
          <w:b/>
        </w:rPr>
        <w:t xml:space="preserve">Ergebnis: </w:t>
      </w:r>
      <w:r>
        <w:t>25 Studien und 13 Interviews bildeten Phasen-Framework (Screening, perioperativ, Post-Akut-Versorgung); Patient Journey Map zeigt Erfahrungen, Emotionen und Bedarfe über den Versorgungsverlauf; etabliert theoretische Grundlage für individualisierte Diabetesbetreuung.</w:t>
      </w:r>
    </w:p>
    <w:p>
      <w:r>
        <w:rPr>
          <w:b/>
          <w:sz w:val="19"/>
        </w:rPr>
        <w:t xml:space="preserve">Übertragbarkeit: </w:t>
      </w:r>
      <w:r>
        <w:rPr>
          <w:sz w:val="19"/>
        </w:rPr>
        <w:t>China (Stichprobe), qualitatives Design systemunabhängig zur Abbildung von Patientenerleben relevant</w:t>
      </w:r>
    </w:p>
    <w:p>
      <w:r>
        <w:rPr>
          <w:color w:val="5A7D3A"/>
          <w:sz w:val="18"/>
        </w:rPr>
        <w:t>https://pubmed.ncbi.nlm.nih.gov/42675492/</w:t>
      </w:r>
    </w:p>
    <w:p>
      <w:pPr>
        <w:pStyle w:val="Heading2"/>
      </w:pPr>
      <w:r>
        <w:t>Scale-up-Frameworks: Systemische Analyse von Treibern und Rückkopplungsschleifen</w:t>
      </w:r>
    </w:p>
    <w:p>
      <w:r>
        <w:rPr>
          <w:i/>
          <w:color w:val="666666"/>
          <w:sz w:val="18"/>
        </w:rPr>
        <w:t>Hooley C et al.  ·  BMC Health Serv Res  ·  24.07.2026  ·  PMID 42675488</w:t>
      </w:r>
    </w:p>
    <w:p>
      <w:r>
        <w:t>Scoping Review mit Systemdenken-Synthese zur Konsolidierung von Scale-up-Determinanten aus 40 ausgewählten Artikeln und Erstellung eines Causal-Loop-Diagrams.</w:t>
      </w:r>
    </w:p>
    <w:p>
      <w:r>
        <w:rPr>
          <w:b/>
        </w:rPr>
        <w:t xml:space="preserve">Ergebnis: </w:t>
      </w:r>
      <w:r>
        <w:t>1053 ursprüngliche Determinanten reduziert auf 25 Modell-Variablen; 6 verstärkende und 3 ausgleichende Rückkopplungsschleifen identifiziert; Motivation, Kapazität, Enabling Environment und Alignment als prominenteste Faktoren.</w:t>
      </w:r>
    </w:p>
    <w:p>
      <w:r>
        <w:rPr>
          <w:b/>
          <w:sz w:val="19"/>
        </w:rPr>
        <w:t xml:space="preserve">Übertragbarkeit: </w:t>
      </w:r>
      <w:r>
        <w:rPr>
          <w:sz w:val="19"/>
        </w:rPr>
        <w:t>Konzeptuelle Rahmensynthese systemunabhängig für Scale-up-Prozesse im Gesundheitswesen relevant</w:t>
      </w:r>
    </w:p>
    <w:p>
      <w:r>
        <w:rPr>
          <w:color w:val="5A7D3A"/>
          <w:sz w:val="18"/>
        </w:rPr>
        <w:t>https://pubmed.ncbi.nlm.nih.gov/42675488/</w:t>
      </w:r>
    </w:p>
    <w:p>
      <w:pPr>
        <w:pStyle w:val="Heading1"/>
      </w:pPr>
      <w:r>
        <w:t>Aufgenommen am 01.09.2026</w:t>
      </w:r>
    </w:p>
    <w:p>
      <w:pPr>
        <w:pStyle w:val="Heading2"/>
      </w:pPr>
      <w:r>
        <w:t>NEED-Methodologie für Versorgungsbedarfe bei psychotischen Störungen in Belgien</w:t>
      </w:r>
    </w:p>
    <w:p>
      <w:r>
        <w:rPr>
          <w:i/>
          <w:color w:val="666666"/>
          <w:sz w:val="18"/>
        </w:rPr>
        <w:t>Claessens Z et al.  ·  Health Expect  ·  Okt. 2026  ·  PMID 42670826</w:t>
      </w:r>
    </w:p>
    <w:p>
      <w:r>
        <w:t>Methodische Anpassung des NEED-Frameworks (Needs Examination, Evaluation and Dissemination) für Bedarfsermittlung bei psychotischen Störungen durch qualitative Forschung und Expert*innenbeteiligung.</w:t>
      </w:r>
    </w:p>
    <w:p>
      <w:r>
        <w:rPr>
          <w:b/>
        </w:rPr>
        <w:t xml:space="preserve">Ergebnis: </w:t>
      </w:r>
      <w:r>
        <w:t>Drei interdependente Bereiche identifiziert: Stigma erschwert Selbstidentifikation, begrenzte Krankheitseinsicht und Misstrauen behindern Partizipation. Adaptationen: erweiterte Einschlusskriterien, nicht-stigmatisierende Terminologie, Proxy-Completion ermöglicht, On-site-Unterstützung notwendig.</w:t>
      </w:r>
    </w:p>
    <w:p>
      <w:r>
        <w:rPr>
          <w:b/>
          <w:sz w:val="19"/>
        </w:rPr>
        <w:t xml:space="preserve">Übertragbarkeit: </w:t>
      </w:r>
      <w:r>
        <w:rPr>
          <w:sz w:val="19"/>
        </w:rPr>
        <w:t>Belgien, Sozialversicherungssystem; hohe Übertragbarkeit auf deutschsprachige Länder</w:t>
      </w:r>
    </w:p>
    <w:p>
      <w:r>
        <w:rPr>
          <w:color w:val="5A7D3A"/>
          <w:sz w:val="18"/>
        </w:rPr>
        <w:t>https://pubmed.ncbi.nlm.nih.gov/42670826/</w:t>
      </w:r>
    </w:p>
    <w:p>
      <w:pPr>
        <w:pStyle w:val="Heading2"/>
      </w:pPr>
      <w:r>
        <w:t>Herz-Insuffizienz-Versorgung in der US-Veteranen-Administration während COVID-19</w:t>
      </w:r>
    </w:p>
    <w:p>
      <w:r>
        <w:rPr>
          <w:i/>
          <w:color w:val="666666"/>
          <w:sz w:val="18"/>
        </w:rPr>
        <w:t>Brownell NK et al.  ·  Circ Heart Fail  ·  31.08.2026  ·  PMID 42670712</w:t>
      </w:r>
    </w:p>
    <w:p>
      <w:r>
        <w:t>Untersucht Trends in der Herzinsuffizienz-Behandlung und Ergebnissen bei Veteranen über 6 Jahre inklusive Pandemie-Phase mittels unterbrochener Zeitreihenanalyse.</w:t>
      </w:r>
    </w:p>
    <w:p>
      <w:r>
        <w:rPr>
          <w:b/>
        </w:rPr>
        <w:t xml:space="preserve">Ergebnis: </w:t>
      </w:r>
      <w:r>
        <w:t>Verordnungen für Herzinsuffizienz-Medikamente wurden beibehalten oder verbessert (0,1–0,9 Prozentpunkte Anstieg pro 6-Wochen-Periode in der späten COVID-Phase). Telemedizin-Nutzung stieg 2–4-fach, stationäre Aufnahmen sanken um 31 %, Mortalität stieg jedoch um 13 % bei Pandemie-Beginn.</w:t>
      </w:r>
    </w:p>
    <w:p>
      <w:r>
        <w:rPr>
          <w:b/>
          <w:sz w:val="19"/>
        </w:rPr>
        <w:t xml:space="preserve">Übertragbarkeit: </w:t>
      </w:r>
      <w:r>
        <w:rPr>
          <w:sz w:val="19"/>
        </w:rPr>
        <w:t>US-System; klinische Prozessveränderungen teilweise übertragbar</w:t>
      </w:r>
    </w:p>
    <w:p>
      <w:r>
        <w:rPr>
          <w:color w:val="5A7D3A"/>
          <w:sz w:val="18"/>
        </w:rPr>
        <w:t>https://pubmed.ncbi.nlm.nih.gov/42670712/</w:t>
      </w:r>
    </w:p>
    <w:p>
      <w:pPr>
        <w:pStyle w:val="Heading2"/>
      </w:pPr>
      <w:r>
        <w:t>Laparoskopische Leberresektion bei intrahepatischem Cholangiokarinom in Japan</w:t>
      </w:r>
    </w:p>
    <w:p>
      <w:r>
        <w:rPr>
          <w:i/>
          <w:color w:val="666666"/>
          <w:sz w:val="18"/>
        </w:rPr>
        <w:t>Kokudo T et al.  ·  Glob Health Med  ·  31.08.2026  ·  PMID 42670510</w:t>
      </w:r>
    </w:p>
    <w:p>
      <w:r>
        <w:t>Nationale Beobachtungsstudie zur Entwicklung minimal-invasiver Chirurgie bei intrahepatischem Cholangiokarinom basierend auf japanischer Krankenversicherungsdatenbank 2016–2020.</w:t>
      </w:r>
    </w:p>
    <w:p>
      <w:r>
        <w:rPr>
          <w:b/>
        </w:rPr>
        <w:t xml:space="preserve">Ergebnis: </w:t>
      </w:r>
      <w:r>
        <w:t>Fallzahlen stabil (1119–1213 Patienten/Jahr), offene Resektionen konstant (~750/Jahr), laparoskopische Resektionen stiegen von 84 (2016) auf 195 (2020). Mediane postoperative Überlebensdauer: 5,25 Jahre offen vs. nicht erreicht laparoskopisch.</w:t>
      </w:r>
    </w:p>
    <w:p>
      <w:r>
        <w:rPr>
          <w:b/>
          <w:sz w:val="19"/>
        </w:rPr>
        <w:t xml:space="preserve">Übertragbarkeit: </w:t>
      </w:r>
      <w:r>
        <w:rPr>
          <w:sz w:val="19"/>
        </w:rPr>
        <w:t>Japan, nationale Routinedaten; Versorgungstrends mit Methodenvalidierung übertragbar</w:t>
      </w:r>
    </w:p>
    <w:p>
      <w:r>
        <w:rPr>
          <w:color w:val="5A7D3A"/>
          <w:sz w:val="18"/>
        </w:rPr>
        <w:t>https://pubmed.ncbi.nlm.nih.gov/42670510/</w:t>
      </w:r>
    </w:p>
    <w:p>
      <w:pPr>
        <w:pStyle w:val="Heading2"/>
      </w:pPr>
      <w:r>
        <w:t>Wirtschaftliche Last der Parkinson-Krankheit in Europa</w:t>
      </w:r>
    </w:p>
    <w:p>
      <w:r>
        <w:rPr>
          <w:i/>
          <w:color w:val="666666"/>
          <w:sz w:val="18"/>
        </w:rPr>
        <w:t>Welter L et al.  ·  Mov Disord  ·  27.08.2026  ·  PMID 42659761</w:t>
      </w:r>
    </w:p>
    <w:p>
      <w:r>
        <w:t>Cost-of-Illness-Studie für Parkinson-Erkrankung in 47 europäischen Ländern mittels Prävalenzdaten und systematischem Review von Kostenstudien.</w:t>
      </w:r>
    </w:p>
    <w:p>
      <w:r>
        <w:rPr>
          <w:b/>
        </w:rPr>
        <w:t xml:space="preserve">Ergebnis: </w:t>
      </w:r>
      <w:r>
        <w:t>Gesamtkosten 2019: 22,8 Mrd. €, davon 17,3 Mrd. € (76 %) direkte Kosten, 1 Mrd. € (5 %) indirekte Kosten, 4,4 Mrd. € (19 %) informelle Pflegekosten. Mittlere Kosten pro Patient: 14.278 € (Median: 8.393 €).</w:t>
      </w:r>
    </w:p>
    <w:p>
      <w:r>
        <w:rPr>
          <w:b/>
          <w:sz w:val="19"/>
        </w:rPr>
        <w:t xml:space="preserve">Übertragbarkeit: </w:t>
      </w:r>
      <w:r>
        <w:rPr>
          <w:sz w:val="19"/>
        </w:rPr>
        <w:t>Europäische Länder; strukturelle Übertragbarkeit auf deutsches System</w:t>
      </w:r>
    </w:p>
    <w:p>
      <w:r>
        <w:rPr>
          <w:color w:val="5A7D3A"/>
          <w:sz w:val="18"/>
        </w:rPr>
        <w:t>https://pubmed.ncbi.nlm.nih.gov/42659761/</w:t>
      </w:r>
    </w:p>
    <w:p>
      <w:pPr>
        <w:pStyle w:val="Heading2"/>
      </w:pPr>
      <w:r>
        <w:t>Surveillance-Kolonoskopie-Intervalle in australischen Spitälern</w:t>
      </w:r>
    </w:p>
    <w:p>
      <w:r>
        <w:rPr>
          <w:i/>
          <w:color w:val="666666"/>
          <w:sz w:val="18"/>
        </w:rPr>
        <w:t>Foo J et al.  ·  Aust Health Rev  ·  03.09.2026  ·  PMID 42656090</w:t>
      </w:r>
    </w:p>
    <w:p>
      <w:r>
        <w:t>Audit von 248 Kolonoskopie-Fällen in 6 viktorianischen Spitälern zur Überprüfung der Guideline-Konformität bei Surveillance-Intervallen nach 2018 Australian Cancer Council Richtlinien.</w:t>
      </w:r>
    </w:p>
    <w:p>
      <w:r>
        <w:rPr>
          <w:b/>
        </w:rPr>
        <w:t xml:space="preserve">Ergebnis: </w:t>
      </w:r>
      <w:r>
        <w:t>Nur 25,4 % (63/248) der Empfehlungen waren guideline-konform; 74,6 % waren zu früh, 20,5 % nicht indiziert, 4,9 % zu spät. Konformität variierte nach Intervall-Kategorie: 66,7 % (≤12 Mon.), 31,0 % (3 J.), 58,3 % (5 J.), 0,0 % (10 J.).</w:t>
      </w:r>
    </w:p>
    <w:p>
      <w:r>
        <w:rPr>
          <w:b/>
          <w:sz w:val="19"/>
        </w:rPr>
        <w:t xml:space="preserve">Übertragbarkeit: </w:t>
      </w:r>
      <w:r>
        <w:rPr>
          <w:sz w:val="19"/>
        </w:rPr>
        <w:t>Australien; Implementierungsgap systemunabhängig relevant</w:t>
      </w:r>
    </w:p>
    <w:p>
      <w:r>
        <w:rPr>
          <w:color w:val="5A7D3A"/>
          <w:sz w:val="18"/>
        </w:rPr>
        <w:t>https://pubmed.ncbi.nlm.nih.gov/42656090/</w:t>
      </w:r>
    </w:p>
    <w:p>
      <w:pPr>
        <w:pStyle w:val="Heading2"/>
      </w:pPr>
      <w:r>
        <w:t>Unsicherheit beim wissenschaftlichen Deliberationsprozess während COVID-19</w:t>
      </w:r>
    </w:p>
    <w:p>
      <w:r>
        <w:rPr>
          <w:i/>
          <w:color w:val="666666"/>
          <w:sz w:val="18"/>
        </w:rPr>
        <w:t>Correia T et al.  ·  Eur J Public Health  ·  04.08.2026  ·  PMID 42647368</w:t>
      </w:r>
    </w:p>
    <w:p>
      <w:r>
        <w:t>Policy-Analyse zum Verhältnis zwischen Transparenz von wissenschaftlichen Entscheidungsprozessen und dem Schutz wissenschaftlicher Deliberation am Beispiel der Fauci-Tagebuch-Veröffentlichung.</w:t>
      </w:r>
    </w:p>
    <w:p>
      <w:r>
        <w:rPr>
          <w:b/>
        </w:rPr>
        <w:t xml:space="preserve">Ergebnis: </w:t>
      </w:r>
      <w:r>
        <w:t>Kernaussage: Offenlegung interne wissenschaftliche Diskussionen kann legitimes Vertrauen in institutionelle Autorität untergraben, wenn Unsicherheiten und Widersprüche bei der Entscheidungsfindung nicht angemessen kontextualisiert werden.</w:t>
      </w:r>
    </w:p>
    <w:p>
      <w:r>
        <w:rPr>
          <w:b/>
          <w:sz w:val="19"/>
        </w:rPr>
        <w:t xml:space="preserve">Übertragbarkeit: </w:t>
      </w:r>
      <w:r>
        <w:rPr>
          <w:sz w:val="19"/>
        </w:rPr>
        <w:t>Systemübergreifende Governance-Frage; relevant für deutsche Public-Health-Entscheidungen</w:t>
      </w:r>
    </w:p>
    <w:p>
      <w:r>
        <w:rPr>
          <w:color w:val="5A7D3A"/>
          <w:sz w:val="18"/>
        </w:rPr>
        <w:t>https://pubmed.ncbi.nlm.nih.gov/42647368/</w:t>
      </w:r>
    </w:p>
    <w:p>
      <w:pPr>
        <w:pStyle w:val="Heading1"/>
      </w:pPr>
      <w:r>
        <w:t>Aufgenommen am 31.08.2026</w:t>
      </w:r>
    </w:p>
    <w:p>
      <w:pPr>
        <w:pStyle w:val="Heading2"/>
      </w:pPr>
      <w:r>
        <w:t>Symptombelastung nach Dialysebeginn und Hospitalisierungsrisiko</w:t>
      </w:r>
    </w:p>
    <w:p>
      <w:r>
        <w:rPr>
          <w:i/>
          <w:color w:val="666666"/>
          <w:sz w:val="18"/>
        </w:rPr>
        <w:t>Nair D et al.  ·  Kidney Med  ·  23.06.2026  ·  PMID 42668553</w:t>
      </w:r>
    </w:p>
    <w:p>
      <w:r>
        <w:t>Längsschnittstudie zur Assoziation zwischen Symptombelastung (KDQOL-36) und Krankenhausaufnahmen bei Hämodialysepatienten in den USA.</w:t>
      </w:r>
    </w:p>
    <w:p>
      <w:r>
        <w:rPr>
          <w:b/>
        </w:rPr>
        <w:t xml:space="preserve">Ergebnis: </w:t>
      </w:r>
      <w:r>
        <w:t>1.818 Teilnehmer; latente Transitionsanalyse identifizierte 3 Symptombelastungs-Klassen. Hohe Symptombelastung: HR 1,20 für Hospitalisierung (95%-CI). Schmerzinterferenz und Müdigkeit stärkste Prädiktoren (je 1-Kategorie-Verschlechterung: +12% bzw. +8% Hazard). Symptombelastung sollte Behandlungsziel in Dialysezentren sein.</w:t>
      </w:r>
    </w:p>
    <w:p>
      <w:r>
        <w:rPr>
          <w:b/>
          <w:sz w:val="19"/>
        </w:rPr>
        <w:t xml:space="preserve">Übertragbarkeit: </w:t>
      </w:r>
      <w:r>
        <w:rPr>
          <w:sz w:val="19"/>
        </w:rPr>
        <w:t>US-Daten, aber Messinstrument und Fragestellung systemunabhängig auf deutsches Setting anwendbar.</w:t>
      </w:r>
    </w:p>
    <w:p>
      <w:r>
        <w:rPr>
          <w:color w:val="5A7D3A"/>
          <w:sz w:val="18"/>
        </w:rPr>
        <w:t>https://pubmed.ncbi.nlm.nih.gov/42668553/</w:t>
      </w:r>
    </w:p>
    <w:p>
      <w:pPr>
        <w:pStyle w:val="Heading2"/>
      </w:pPr>
      <w:r>
        <w:t>Kardiovaskulär-Nieren-Leber-Stoffwechsel-Last weltweit 1990–2023</w:t>
      </w:r>
    </w:p>
    <w:p>
      <w:r>
        <w:rPr>
          <w:i/>
          <w:color w:val="666666"/>
          <w:sz w:val="18"/>
        </w:rPr>
        <w:t>Jayabaskaran J et al.  ·  EClinicalMedicine  ·  22.08.2026  ·  PMID 42668515</w:t>
      </w:r>
    </w:p>
    <w:p>
      <w:r>
        <w:t>Deskriptive epidemiologische Analyse Global Burden of Disease 2023 zu Mortalität und DALYs für atherogene CVD, CKD, Typ-2-Diabetes, Adipositas und MASLD in 204 Ländern.</w:t>
      </w:r>
    </w:p>
    <w:p>
      <w:r>
        <w:rPr>
          <w:b/>
        </w:rPr>
        <w:t xml:space="preserve">Ergebnis: </w:t>
      </w:r>
      <w:r>
        <w:t>2023: 626,7 Millionen DALYs; altersstandardisierte Rate 6.944,3/100.000. Atherogene CVD 3.924,2 DALYs [95%-UI 3.667–4.181], Adipositas 1.500,0, Typ-2-Diabetes 956,7, CKD 523,8, MASLD 39,6. 1990–2023: CKLM-DALYs -24,4%; CVD -41,5%, aber Typ-2-Diabetes +37,5%, Adipositas +23,3%. Prävention muss geteilte Risikofaktoren adressieren.</w:t>
      </w:r>
    </w:p>
    <w:p>
      <w:r>
        <w:rPr>
          <w:b/>
          <w:sz w:val="19"/>
        </w:rPr>
        <w:t xml:space="preserve">Übertragbarkeit: </w:t>
      </w:r>
      <w:r>
        <w:rPr>
          <w:sz w:val="19"/>
        </w:rPr>
        <w:t>Globale Daten, WHO-Methodik; Trends relevant für deutsche Versorgungsplanung.</w:t>
      </w:r>
    </w:p>
    <w:p>
      <w:r>
        <w:rPr>
          <w:color w:val="5A7D3A"/>
          <w:sz w:val="18"/>
        </w:rPr>
        <w:t>https://pubmed.ncbi.nlm.nih.gov/42668515/</w:t>
      </w:r>
    </w:p>
    <w:p>
      <w:pPr>
        <w:pStyle w:val="Heading2"/>
      </w:pPr>
      <w:r>
        <w:t>Ambulante Behandlung akuter Herzinsuffizienz durch Fachkräfte – niedrigere Readmissions- und Mortalitätsraten</w:t>
      </w:r>
    </w:p>
    <w:p>
      <w:r>
        <w:rPr>
          <w:i/>
          <w:color w:val="666666"/>
          <w:sz w:val="18"/>
        </w:rPr>
        <w:t>Rasoul D et al.  ·  Curr Probl Cardiol  ·  29.08.2026  ·  PMID 42667938</w:t>
      </w:r>
    </w:p>
    <w:p>
      <w:r>
        <w:t>Retrospektive Kohortenstudie zu ambulanter Behandlung dekompenserter Herzinsuffizienz mit IV-Diuretika in spezialisierter Fachkrankenpflege-geführter Einheit versus stationär.</w:t>
      </w:r>
    </w:p>
    <w:p>
      <w:r>
        <w:rPr>
          <w:b/>
        </w:rPr>
        <w:t xml:space="preserve">Ergebnis: </w:t>
      </w:r>
      <w:r>
        <w:t>Nach Propensity-Score-Matching (je 1.227 Patienten): 30-Tage-Readmission AHFU vs. Standardcare 16,5% vs. 24,1% (p&lt;0,001); 1-Jahres-Readmission 25,2% vs. 30,8% (p=0,004); 30-Tage-Mortalität 10,1% vs. 13,5% (p=0,009); 1-Jahres-Mortalität vergleichbar (10,9% vs. 10,8%). Spezialisierte ambulante Versorgung kann Krankenhausbehandlung bei geeigneten Patienten reduzieren.</w:t>
      </w:r>
    </w:p>
    <w:p>
      <w:r>
        <w:rPr>
          <w:b/>
          <w:sz w:val="19"/>
        </w:rPr>
        <w:t xml:space="preserve">Übertragbarkeit: </w:t>
      </w:r>
      <w:r>
        <w:rPr>
          <w:sz w:val="19"/>
        </w:rPr>
        <w:t>Großbritannien, nationale Gesundheitsversorgung, hausarztgestützt – System übertragbar auf strukturierte Poliklinik-Modelle.</w:t>
      </w:r>
    </w:p>
    <w:p>
      <w:r>
        <w:rPr>
          <w:color w:val="5A7D3A"/>
          <w:sz w:val="18"/>
        </w:rPr>
        <w:t>https://pubmed.ncbi.nlm.nih.gov/42667938/</w:t>
      </w:r>
    </w:p>
    <w:p>
      <w:pPr>
        <w:pStyle w:val="Heading2"/>
      </w:pPr>
      <w:r>
        <w:t>Lebensqualität nach präventiver Hysterektomie bei Lynch-Syndrom</w:t>
      </w:r>
    </w:p>
    <w:p>
      <w:r>
        <w:rPr>
          <w:i/>
          <w:color w:val="666666"/>
          <w:sz w:val="18"/>
        </w:rPr>
        <w:t>Oxley SG et al.  ·  EClinicalMedicine  ·  27.07.2026  ·  PMID 42666945</w:t>
      </w:r>
    </w:p>
    <w:p>
      <w:r>
        <w:t>Multizentrische Querschnittsstudie (PRESCORES) zur Erfassung der gesundheitsbezogenen Lebensqualität (EQ-5D) bei Frauen mit Lynch-Syndrom mit und ohne risikoreduzierende Hysterektomie.</w:t>
      </w:r>
    </w:p>
    <w:p>
      <w:r>
        <w:rPr>
          <w:b/>
        </w:rPr>
        <w:t xml:space="preserve">Ergebnis: </w:t>
      </w:r>
      <w:r>
        <w:t>1.120 Teilnehmer: 529 nach RRH (Median 55 Jahre), 591 ohne (39 Jahre). Adjustierte mittlere EQ-5D-Differenz RRH vs. keine RRH: -0,020 (95%-CI -0,045–0,004; p=0,11), bei prämenopausalen Frauen -0,041 (p&lt;0,05). Cancer-Worry-Scale in RRH-Gruppe signifikant niedriger (Differenz -0,48; p=0,004). Hysterektomie bei jüngeren Frauen mit Lebensqualitätseinbußen assoziiert.</w:t>
      </w:r>
    </w:p>
    <w:p>
      <w:r>
        <w:rPr>
          <w:b/>
          <w:sz w:val="19"/>
        </w:rPr>
        <w:t xml:space="preserve">Übertragbarkeit: </w:t>
      </w:r>
      <w:r>
        <w:rPr>
          <w:sz w:val="19"/>
        </w:rPr>
        <w:t>Britische NHS-Daten, genetische Beratung/Screening-Kontext auf deutsches Versorgungssystem übertragbar.</w:t>
      </w:r>
    </w:p>
    <w:p>
      <w:r>
        <w:rPr>
          <w:color w:val="5A7D3A"/>
          <w:sz w:val="18"/>
        </w:rPr>
        <w:t>https://pubmed.ncbi.nlm.nih.gov/42666945/</w:t>
      </w:r>
    </w:p>
    <w:p>
      <w:pPr>
        <w:pStyle w:val="Heading2"/>
      </w:pPr>
      <w:r>
        <w:t>Körperliche Aktivität und Mundgesundheit im Alter – kausale Studie in Singapur</w:t>
      </w:r>
    </w:p>
    <w:p>
      <w:r>
        <w:rPr>
          <w:i/>
          <w:color w:val="666666"/>
          <w:sz w:val="18"/>
        </w:rPr>
        <w:t>Tay JRH et al.  ·  J Nutr Health Aging  ·  28.08.2026  ·  PMID 42664809</w:t>
      </w:r>
    </w:p>
    <w:p>
      <w:r>
        <w:t>Längsschnitt-Kausalitätsstudie (THE SIGNS Study, 2016–2024) zu Effekten erhöhter körperlicher Aktivität auf Mundgesundheit und Kaufunktion bei älteren Erwachsenen.</w:t>
      </w:r>
    </w:p>
    <w:p>
      <w:r>
        <w:rPr>
          <w:b/>
        </w:rPr>
        <w:t xml:space="preserve">Ergebnis: </w:t>
      </w:r>
      <w:r>
        <w:t>N=3.981, 3 Wellen. Erhöhung auf ≥450 MET-min/Woche: RR für schlechte Mundgesundheit 0,88 (95%-CI 0,82–0,95). Selbst Anstieg auf 150 MET-min/Woche: RR 0,93 (0,88–0,99). Eleminierung aller Aktivität erhöht Kaufunktionsstörungen um 21% (RR 1,21; 95%-CI 1,10–1,33). Physische Aktivität protektiv für Mundgesundheit im Alter.</w:t>
      </w:r>
    </w:p>
    <w:p>
      <w:r>
        <w:rPr>
          <w:b/>
          <w:sz w:val="19"/>
        </w:rPr>
        <w:t xml:space="preserve">Übertragbarkeit: </w:t>
      </w:r>
      <w:r>
        <w:rPr>
          <w:sz w:val="19"/>
        </w:rPr>
        <w:t>Singapur, steuerfinanziertes System; Public-Health-Fragestellung systemunabhängig, Ergebnisse auf deutsches Setting übertragbar.</w:t>
      </w:r>
    </w:p>
    <w:p>
      <w:r>
        <w:rPr>
          <w:color w:val="5A7D3A"/>
          <w:sz w:val="18"/>
        </w:rPr>
        <w:t>https://pubmed.ncbi.nlm.nih.gov/42664809/</w:t>
      </w:r>
    </w:p>
    <w:p>
      <w:pPr>
        <w:pStyle w:val="Heading2"/>
      </w:pPr>
      <w:r>
        <w:t>Difference-in-Differences – methodisches Rahmenwerk für pädiatrische Versorgungsforschung</w:t>
      </w:r>
    </w:p>
    <w:p>
      <w:r>
        <w:rPr>
          <w:i/>
          <w:color w:val="666666"/>
          <w:sz w:val="18"/>
        </w:rPr>
        <w:t>Lee AR et al.  ·  Arch Dis Child  ·  26.08.2026  ·  PMID 42648881</w:t>
      </w:r>
    </w:p>
    <w:p>
      <w:r>
        <w:t>Methodisches Tutorial zur Difference-in-Differences-Analyse für Kinderärzte im Bereich Versorgungsforschung.</w:t>
      </w:r>
    </w:p>
    <w:p>
      <w:r>
        <w:rPr>
          <w:b/>
        </w:rPr>
        <w:t xml:space="preserve">Ergebnis: </w:t>
      </w:r>
      <w:r>
        <w:t>Strukturierter Rahmen für quasi-experimentelle Analyse von Interventionseffekten mit zeitlicher und Kontrollgruppen-Variation. Methodisch-pädagogischer Beitrag ohne quantitative Ergebnisse eigener Studie.</w:t>
      </w:r>
    </w:p>
    <w:p>
      <w:r>
        <w:rPr>
          <w:b/>
          <w:sz w:val="19"/>
        </w:rPr>
        <w:t xml:space="preserve">Übertragbarkeit: </w:t>
      </w:r>
      <w:r>
        <w:rPr>
          <w:sz w:val="19"/>
        </w:rPr>
        <w:t>Methodische Anleitung, systemunabhängig anwendbar auf deutsche Versorgungsforschung.</w:t>
      </w:r>
    </w:p>
    <w:p>
      <w:r>
        <w:rPr>
          <w:color w:val="5A7D3A"/>
          <w:sz w:val="18"/>
        </w:rPr>
        <w:t>https://pubmed.ncbi.nlm.nih.gov/42648881/</w:t>
      </w:r>
    </w:p>
    <w:p>
      <w:pPr>
        <w:pStyle w:val="Heading1"/>
      </w:pPr>
      <w:r>
        <w:t>Aufgenommen am 30.08.2026</w:t>
      </w:r>
    </w:p>
    <w:p>
      <w:pPr>
        <w:pStyle w:val="Heading2"/>
      </w:pPr>
      <w:r>
        <w:t>Bewegungsaktivität reduziert perinatale Depression und Angststörungen</w:t>
      </w:r>
    </w:p>
    <w:p>
      <w:r>
        <w:rPr>
          <w:i/>
          <w:color w:val="666666"/>
          <w:sz w:val="18"/>
        </w:rPr>
        <w:t>Mohr E et al.  ·  EClinicalMedicine  ·  19.07.2026  ·  PMID 42666712</w:t>
      </w:r>
    </w:p>
    <w:p>
      <w:r>
        <w:t>Umbrella Review mit Meta-Meta-Analyse zur Wirksamkeit von körperlicher Aktivität auf depressive und Angstsymptome in der Perinatalzeit.</w:t>
      </w:r>
    </w:p>
    <w:p>
      <w:r>
        <w:rPr>
          <w:b/>
        </w:rPr>
        <w:t xml:space="preserve">Ergebnis: </w:t>
      </w:r>
      <w:r>
        <w:t>Leichte bis moderate körperliche Aktivität reduziert depressive Symptome signifikant (SMD: -0,56; 95%-KI: -0,93 bis -0,19, moderate Evidenzsicherheit), Yoga und Mixed-Activity zeigen besondere Effektivität (SMD: -0,55 bzw. -0,54). Angststörungen werden ebenfalls reduziert (SMD: -0,85; 95%-KI: -1,29 bis -0,42).</w:t>
      </w:r>
    </w:p>
    <w:p>
      <w:r>
        <w:rPr>
          <w:b/>
          <w:sz w:val="19"/>
        </w:rPr>
        <w:t xml:space="preserve">Übertragbarkeit: </w:t>
      </w:r>
      <w:r>
        <w:rPr>
          <w:sz w:val="19"/>
        </w:rPr>
        <w:t>Systematische Übersichtsarbeit, methodologisch hochwertig, globale Evidenz unmittelbar auf deutsches Versorgungssystem übertragbar</w:t>
      </w:r>
    </w:p>
    <w:p>
      <w:r>
        <w:rPr>
          <w:color w:val="5A7D3A"/>
          <w:sz w:val="18"/>
        </w:rPr>
        <w:t>https://pubmed.ncbi.nlm.nih.gov/42666712/</w:t>
      </w:r>
    </w:p>
    <w:p>
      <w:pPr>
        <w:pStyle w:val="Heading2"/>
      </w:pPr>
      <w:r>
        <w:t>Integratives Hypertonie-Monitoring mit Routinedaten in Mexikos föderalisiertem Public-Health-System</w:t>
      </w:r>
    </w:p>
    <w:p>
      <w:r>
        <w:rPr>
          <w:i/>
          <w:color w:val="666666"/>
          <w:sz w:val="18"/>
        </w:rPr>
        <w:t>Silva-Tinoco R et al.  ·  Health Serv Insights  ·  27.08.2026  ·  PMID 42666569</w:t>
      </w:r>
    </w:p>
    <w:p>
      <w:r>
        <w:t>Entwicklung und Evaluierung einer Monitoring-Plattform zur Überwachung der Hypertonie-Versorgung mithilfe von Routinedaten in einem neu strukturierten Gesundheitssystem.</w:t>
      </w:r>
    </w:p>
    <w:p>
      <w:r>
        <w:rPr>
          <w:b/>
        </w:rPr>
        <w:t xml:space="preserve">Ergebnis: </w:t>
      </w:r>
      <w:r>
        <w:t>Aus 486.044 Patienten in teilnehmenden Bundesländern erreichten 67,2% (95%-KI: 67,04–67,37) Blutdruckziele (&lt;140/90 mmHg), 36,8% (95%-KI: 36,62–36,96) strikte Kontrolle (&lt;130/80 mmHg). 63% mit suboptimaler Kontrolle erhielten Follow-up, 48% Therapieintensivierung.</w:t>
      </w:r>
    </w:p>
    <w:p>
      <w:r>
        <w:rPr>
          <w:b/>
          <w:sz w:val="19"/>
        </w:rPr>
        <w:t xml:space="preserve">Übertragbarkeit: </w:t>
      </w:r>
      <w:r>
        <w:rPr>
          <w:sz w:val="19"/>
        </w:rPr>
        <w:t>Mexico, Struktur unterschiedlich – begrenzte Übertragbarkeit, aber Monitoring-Framework methodisch relevant</w:t>
      </w:r>
    </w:p>
    <w:p>
      <w:r>
        <w:rPr>
          <w:color w:val="5A7D3A"/>
          <w:sz w:val="18"/>
        </w:rPr>
        <w:t>https://pubmed.ncbi.nlm.nih.gov/42666569/</w:t>
      </w:r>
    </w:p>
    <w:p>
      <w:pPr>
        <w:pStyle w:val="Heading2"/>
      </w:pPr>
      <w:r>
        <w:t>Health Literacy und ethnische Ungleichheiten in der Geburtshilfe: Scoping Review</w:t>
      </w:r>
    </w:p>
    <w:p>
      <w:r>
        <w:rPr>
          <w:i/>
          <w:color w:val="666666"/>
          <w:sz w:val="18"/>
        </w:rPr>
        <w:t>McEvoy B et al.  ·  BMC Health Serv Res  ·  25.08.2026  ·  PMID 42665809</w:t>
      </w:r>
    </w:p>
    <w:p>
      <w:r>
        <w:t>Systematische Analyse der Forschungsliteratur zu Health Literacy als Faktor für ethnische Disparitäten in der Mutterschaftsversorgung.</w:t>
      </w:r>
    </w:p>
    <w:p>
      <w:r>
        <w:rPr>
          <w:b/>
        </w:rPr>
        <w:t xml:space="preserve">Ergebnis: </w:t>
      </w:r>
      <w:r>
        <w:t>14 Studien eingeschlossen (7 quantitativ, 4 qualitativ, 3 gemischt). Vier Kernfunde: (i) diverse Health-Literacy-Definitionen, (ii) Health-Literacy-Herausforderungen treffen minoritäre Frauen überproportional, (iii) schlechte Health Literacy trägt zu adversen Outcomes bei, (iv) geringe Evaluierung von Interventionen. Erkannter Forschungsgap in diesem Versorgungsbereich.</w:t>
      </w:r>
    </w:p>
    <w:p>
      <w:r>
        <w:rPr>
          <w:b/>
          <w:sz w:val="19"/>
        </w:rPr>
        <w:t xml:space="preserve">Übertragbarkeit: </w:t>
      </w:r>
      <w:r>
        <w:rPr>
          <w:sz w:val="19"/>
        </w:rPr>
        <w:t>UK-Daten, aber Fragestellung zu Gesundheitskompetenz und Equity systemunabhängig relevant</w:t>
      </w:r>
    </w:p>
    <w:p>
      <w:r>
        <w:rPr>
          <w:color w:val="5A7D3A"/>
          <w:sz w:val="18"/>
        </w:rPr>
        <w:t>https://pubmed.ncbi.nlm.nih.gov/42665809/</w:t>
      </w:r>
    </w:p>
    <w:p>
      <w:pPr>
        <w:pStyle w:val="Heading2"/>
      </w:pPr>
      <w:r>
        <w:t>Empowerment von Gesundheitsarbeitern in Primary Health Care mittels partizipativer Aktionsforschung</w:t>
      </w:r>
    </w:p>
    <w:p>
      <w:r>
        <w:rPr>
          <w:i/>
          <w:color w:val="666666"/>
          <w:sz w:val="18"/>
        </w:rPr>
        <w:t>Jahromi MK et al.  ·  BMC Health Serv Res  ·  26.08.2026  ·  PMID 42665795</w:t>
      </w:r>
    </w:p>
    <w:p>
      <w:r>
        <w:t>22-Monate andauernde partizipative Aktionsforschung mit zwei Zyklen zur Stärkung der Kompetenz von Primary-Care-Anbietern im Iran.</w:t>
      </w:r>
    </w:p>
    <w:p>
      <w:r>
        <w:rPr>
          <w:b/>
        </w:rPr>
        <w:t xml:space="preserve">Ergebnis: </w:t>
      </w:r>
      <w:r>
        <w:t>Quantitative und qualitative Verbesserungen nach Intervention: erhöhtes psychological empowerment, verbesserte professional performance, höhere Zufriedenheit mit Schulungsprogrammen, verbesserte client satisfaction. Qualitative Befunde zeigen substanzielle Fortschritte in wissenschaftlich-praktischen Kompetenzen, unterstützender Arbeitskultur und psychischem Wohlbefinden.</w:t>
      </w:r>
    </w:p>
    <w:p>
      <w:r>
        <w:rPr>
          <w:b/>
          <w:sz w:val="19"/>
        </w:rPr>
        <w:t xml:space="preserve">Übertragbarkeit: </w:t>
      </w:r>
      <w:r>
        <w:rPr>
          <w:sz w:val="19"/>
        </w:rPr>
        <w:t>Iran (LMIC), Modell aber für Partizipation und Workforce-Entwicklung im deutschsprachigen Raum relevant</w:t>
      </w:r>
    </w:p>
    <w:p>
      <w:r>
        <w:rPr>
          <w:color w:val="5A7D3A"/>
          <w:sz w:val="18"/>
        </w:rPr>
        <w:t>https://pubmed.ncbi.nlm.nih.gov/42665795/</w:t>
      </w:r>
    </w:p>
    <w:p>
      <w:pPr>
        <w:pStyle w:val="Heading2"/>
      </w:pPr>
      <w:r>
        <w:t>Pharmakovigilanz-Wissen und -Praxis von Gesundheitsberufen in Georgien</w:t>
      </w:r>
    </w:p>
    <w:p>
      <w:r>
        <w:rPr>
          <w:i/>
          <w:color w:val="666666"/>
          <w:sz w:val="18"/>
        </w:rPr>
        <w:t>Silagadze N et al.  ·  BMC Health Serv Res  ·  22.07.2026  ·  PMID 42665790</w:t>
      </w:r>
    </w:p>
    <w:p>
      <w:r>
        <w:t>Querschnittstudie zu Wissen, Haltungen und Praktiken zur Erfassung von Nebenwirkungen durch Ärzte und Pflegekräfte in Georgien.</w:t>
      </w:r>
    </w:p>
    <w:p>
      <w:r>
        <w:rPr>
          <w:b/>
        </w:rPr>
        <w:t xml:space="preserve">Ergebnis: </w:t>
      </w:r>
      <w:r>
        <w:t>76,3% der Teilnehmer (n=684) begegneten Nebenwirkungen, aber nur 12,95% meldeten diese. Keine Pflegekraft und nur 10,2% der Ärzte nutzten das offizielle Meldungsformular. Hauptbarrieren: Mangel an Bewusstsein für nationale Meldesysteme (91,7%), Unsicherheit über Prozesse (76,9%), Unterschätzung der Schwere (40,8%). Ärzte hatten höhere Wissenswerte als Pflegekräfte (19 vs. 16; p&lt;0,001).</w:t>
      </w:r>
    </w:p>
    <w:p>
      <w:r>
        <w:rPr>
          <w:b/>
          <w:sz w:val="19"/>
        </w:rPr>
        <w:t xml:space="preserve">Übertragbarkeit: </w:t>
      </w:r>
      <w:r>
        <w:rPr>
          <w:sz w:val="19"/>
        </w:rPr>
        <w:t>Georgien (Entwicklungsland), aber Pharmaco-Vigilance-Herausforderungen und Lösungsansätze international übertragbar</w:t>
      </w:r>
    </w:p>
    <w:p>
      <w:r>
        <w:rPr>
          <w:color w:val="5A7D3A"/>
          <w:sz w:val="18"/>
        </w:rPr>
        <w:t>https://pubmed.ncbi.nlm.nih.gov/42665790/</w:t>
      </w:r>
    </w:p>
    <w:p>
      <w:pPr>
        <w:pStyle w:val="Heading2"/>
      </w:pPr>
      <w:r>
        <w:t>Methoden zur Analyse von Patientenbewegungen zwischen Versorgungssettings: Systematische Übersicht</w:t>
      </w:r>
    </w:p>
    <w:p>
      <w:r>
        <w:rPr>
          <w:i/>
          <w:color w:val="666666"/>
          <w:sz w:val="18"/>
        </w:rPr>
        <w:t>Yang F et al.  ·  BMJ Open  ·  28.08.2026  ·  PMID 42665343</w:t>
      </w:r>
    </w:p>
    <w:p>
      <w:r>
        <w:t>Systematische Literaturübersicht zu Methoden für die Analyse von Patientenpfaden und -flüssen über multiple Versorgungsebenen hinweg.</w:t>
      </w:r>
    </w:p>
    <w:p>
      <w:r>
        <w:rPr>
          <w:b/>
        </w:rPr>
        <w:t xml:space="preserve">Ergebnis: </w:t>
      </w:r>
      <w:r>
        <w:t>24 Studien identifiziert, 7 distinct Methoden und 5 Forschungsthemen. Die meisten nutzten deskriptive Statistiken und Gruppenvergleiche; Discrete-Event-Simulation wurde häufiger für Patientenbewegungssimulationen eingesetzt. Patiententransfervolumina/Outcomes und Kapazitätsplanung waren am häufigsten untersuchte Themen. Statistical analysis, mathematical modelling und computer simulation bieten komplementäre Ansätze.</w:t>
      </w:r>
    </w:p>
    <w:p>
      <w:r>
        <w:rPr>
          <w:b/>
          <w:sz w:val="19"/>
        </w:rPr>
        <w:t xml:space="preserve">Übertragbarkeit: </w:t>
      </w:r>
      <w:r>
        <w:rPr>
          <w:sz w:val="19"/>
        </w:rPr>
        <w:t>Nordeuropa (Norwegen, UK), Methodologie systemunabhängig, für deutsches Transitions-Management relevant</w:t>
      </w:r>
    </w:p>
    <w:p>
      <w:r>
        <w:rPr>
          <w:color w:val="5A7D3A"/>
          <w:sz w:val="18"/>
        </w:rPr>
        <w:t>https://pubmed.ncbi.nlm.nih.gov/42665343/</w:t>
      </w:r>
    </w:p>
    <w:p>
      <w:pPr>
        <w:pStyle w:val="Heading1"/>
      </w:pPr>
      <w:r>
        <w:t>Aufgenommen am 29.08.2026</w:t>
      </w:r>
    </w:p>
    <w:p>
      <w:pPr>
        <w:pStyle w:val="Heading2"/>
      </w:pPr>
      <w:r>
        <w:t>Palliative Reasoning in multiprofessioneller Palliativversorgung implementieren</w:t>
      </w:r>
    </w:p>
    <w:p>
      <w:r>
        <w:rPr>
          <w:i/>
          <w:color w:val="666666"/>
          <w:sz w:val="18"/>
        </w:rPr>
        <w:t>Kochems K et al.  ·  PLoS One  ·  28.08.2026  ·  PMID 42664250</w:t>
      </w:r>
    </w:p>
    <w:p>
      <w:r>
        <w:t>Niederländische Studie zur iterativen Anpassung und Implementierung einer integrierten Intervention (Palliative Reasoning Working Method) in Primärversorgung, Hospizen und Pflegeheimen.</w:t>
      </w:r>
    </w:p>
    <w:p>
      <w:r>
        <w:rPr>
          <w:b/>
        </w:rPr>
        <w:t xml:space="preserve">Ergebnis: </w:t>
      </w:r>
      <w:r>
        <w:t>Palliative Reasoning wurde in 20 multiprofessionellen Teams erfolgreich implementiert. Es zeigte Verbesserungen bei Erkennung von Palliativbedarfen, patientenzentrierter Versorgung, Pflegekompetenz und Teamzusammenarbeit. 14 Inhaltsadaptationen und 7 Unterstützungsmaterialien wurden entwickelt. Integration in elektronische Gesundheitsakten und organisatorische Verankerung waren entscheidend für Nachhaltigkeit.</w:t>
      </w:r>
    </w:p>
    <w:p>
      <w:r>
        <w:rPr>
          <w:b/>
          <w:sz w:val="19"/>
        </w:rPr>
        <w:t xml:space="preserve">Übertragbarkeit: </w:t>
      </w:r>
      <w:r>
        <w:rPr>
          <w:sz w:val="19"/>
        </w:rPr>
        <w:t>Niederlande, vergleichbares Sozialversicherungssystem, multiprofessionelle Strukturen</w:t>
      </w:r>
    </w:p>
    <w:p>
      <w:r>
        <w:rPr>
          <w:color w:val="5A7D3A"/>
          <w:sz w:val="18"/>
        </w:rPr>
        <w:t>https://pubmed.ncbi.nlm.nih.gov/42664250/</w:t>
      </w:r>
    </w:p>
    <w:p>
      <w:pPr>
        <w:pStyle w:val="Heading2"/>
      </w:pPr>
      <w:r>
        <w:t>Medicare Advantage und Nierenerkrankung im Endstadium nach Cures Act</w:t>
      </w:r>
    </w:p>
    <w:p>
      <w:r>
        <w:rPr>
          <w:i/>
          <w:color w:val="666666"/>
          <w:sz w:val="18"/>
        </w:rPr>
        <w:t>Cai ST et al.  ·  Health Serv Res  ·  Okt. 2026  ·  PMID 42663502</w:t>
      </w:r>
    </w:p>
    <w:p>
      <w:r>
        <w:t>US-Studie zur Veränderung der MA-Versichertenpopulation mit Nierenerkrankung im Endstadium nach Ausweitung der MA-Zulassung 2021 mittels Unterbruchszeitreihentechnik.</w:t>
      </w:r>
    </w:p>
    <w:p>
      <w:r>
        <w:rPr>
          <w:b/>
        </w:rPr>
        <w:t xml:space="preserve">Ergebnis: </w:t>
      </w:r>
      <w:r>
        <w:t>Nach der Politikänderung waren MA-Versicherte mit Nierenerkrankung im Endstadium jünger, hatten niedrigere Komorbiditätsbelastung, aber niedrigeres Einkommen. Hospitalisierungsraten sank unmittelbar um 0,013 pro Versicherter-Monat (6 % relativer Rückgang; 95%-KI: -0,022 bis -0,003; p &lt; 0,05).</w:t>
      </w:r>
    </w:p>
    <w:p>
      <w:r>
        <w:rPr>
          <w:b/>
          <w:sz w:val="19"/>
        </w:rPr>
        <w:t xml:space="preserve">Übertragbarkeit: </w:t>
      </w:r>
      <w:r>
        <w:rPr>
          <w:sz w:val="19"/>
        </w:rPr>
        <w:t>US-Daten, fragmentiertes System mit Medicaid/Medicare, eingeschränkt übertragbar</w:t>
      </w:r>
    </w:p>
    <w:p>
      <w:r>
        <w:rPr>
          <w:color w:val="5A7D3A"/>
          <w:sz w:val="18"/>
        </w:rPr>
        <w:t>https://pubmed.ncbi.nlm.nih.gov/42663502/</w:t>
      </w:r>
    </w:p>
    <w:p>
      <w:pPr>
        <w:pStyle w:val="Heading2"/>
      </w:pPr>
      <w:r>
        <w:t>Persistenz geburtshilflicher Versorgungsabsenz in US-Counties 2015–2023</w:t>
      </w:r>
    </w:p>
    <w:p>
      <w:r>
        <w:rPr>
          <w:i/>
          <w:color w:val="666666"/>
          <w:sz w:val="18"/>
        </w:rPr>
        <w:t>Laternser C  ·  Health Serv Res  ·  Okt. 2026  ·  PMID 42663181</w:t>
      </w:r>
    </w:p>
    <w:p>
      <w:r>
        <w:t>Longitudinale Panelstudie der Persistenz und Übergangsdynamik fehlender geburtshilflicher Dienste in 3144 US-Counties mit Analysen von Übergangswahrscheinlichkeiten und Prävalenztrends.</w:t>
      </w:r>
    </w:p>
    <w:p>
      <w:r>
        <w:rPr>
          <w:b/>
        </w:rPr>
        <w:t xml:space="preserve">Ergebnis: </w:t>
      </w:r>
      <w:r>
        <w:t>Geburtshilfliche Serviceabsenz war hochgradig persistent (Prevalenz stabil bei 34,2 %). Bevölkerungsexposition sank (6,5 % auf 5,3 % der Frauen 15–44 Jahre in Counties ohne Services). Jährliche Übergänge waren selten (Eintritt ≤ 0,4 %; Austritt ≤ 0,9 %). Bedingte Verweilwahrscheinlichkeiten ≥ 0,991.</w:t>
      </w:r>
    </w:p>
    <w:p>
      <w:r>
        <w:rPr>
          <w:b/>
          <w:sz w:val="19"/>
        </w:rPr>
        <w:t xml:space="preserve">Übertragbarkeit: </w:t>
      </w:r>
      <w:r>
        <w:rPr>
          <w:sz w:val="19"/>
        </w:rPr>
        <w:t>USA, sehr dezentrales System; Frage aber für Strukturplanung relevant</w:t>
      </w:r>
    </w:p>
    <w:p>
      <w:r>
        <w:rPr>
          <w:color w:val="5A7D3A"/>
          <w:sz w:val="18"/>
        </w:rPr>
        <w:t>https://pubmed.ncbi.nlm.nih.gov/42663181/</w:t>
      </w:r>
    </w:p>
    <w:p>
      <w:pPr>
        <w:pStyle w:val="Heading2"/>
      </w:pPr>
      <w:r>
        <w:t>Naturgestützte Social Prescribing gegen Einsamkeit und Lebensqualität</w:t>
      </w:r>
    </w:p>
    <w:p>
      <w:r>
        <w:rPr>
          <w:i/>
          <w:color w:val="666666"/>
          <w:sz w:val="18"/>
        </w:rPr>
        <w:t>Coll-Planas L et al.  ·  Lancet Reg Health Eur  ·  18.08.2026  ·  PMID 42662493</w:t>
      </w:r>
    </w:p>
    <w:p>
      <w:r>
        <w:t>Randomisierte kontrollierte Studie in Barcelona zu natur- und gruppenbasierter sozialer Verschreibung (Friends in Nature) bei gefährdeten städtischen Erwachsenen versus aktive Signposting.</w:t>
      </w:r>
    </w:p>
    <w:p>
      <w:r>
        <w:rPr>
          <w:b/>
        </w:rPr>
        <w:t xml:space="preserve">Ergebnis: </w:t>
      </w:r>
      <w:r>
        <w:t>320 Teilnehmer (78% weiblich; Medianalter 62,8 Jahre) randomisiert. Bei 3 Monaten zeigten beide Gruppen signifikante Einsamkeitsreduktion um 10,5 % (Gesamtmittelwertänderung: -0,73; 95%-KI -1,04 bis -0,42), kein signifikanter Unterschied zwischen Gruppen (0,30; 95%-KI -0,26 bis 0,86; p = 0,296). Keine HRQoL-Veränderung.</w:t>
      </w:r>
    </w:p>
    <w:p>
      <w:r>
        <w:rPr>
          <w:b/>
          <w:sz w:val="19"/>
        </w:rPr>
        <w:t xml:space="preserve">Übertragbarkeit: </w:t>
      </w:r>
      <w:r>
        <w:rPr>
          <w:sz w:val="19"/>
        </w:rPr>
        <w:t>Spanien, EU-Sozialversicherung, städtischer Kontext mit Deprivation</w:t>
      </w:r>
    </w:p>
    <w:p>
      <w:r>
        <w:rPr>
          <w:color w:val="5A7D3A"/>
          <w:sz w:val="18"/>
        </w:rPr>
        <w:t>https://pubmed.ncbi.nlm.nih.gov/42662493/</w:t>
      </w:r>
    </w:p>
    <w:p>
      <w:pPr>
        <w:pStyle w:val="Heading2"/>
      </w:pPr>
      <w:r>
        <w:t>Patientensicherheitskultur in integrierten Gesundheits- und Sozialdiensten (Finnland)</w:t>
      </w:r>
    </w:p>
    <w:p>
      <w:r>
        <w:rPr>
          <w:i/>
          <w:color w:val="666666"/>
          <w:sz w:val="18"/>
        </w:rPr>
        <w:t>Hult M et al.  ·  BMJ Open Qual  ·  27.08.2026  ·  PMID 42660605</w:t>
      </w:r>
    </w:p>
    <w:p>
      <w:r>
        <w:t>Querschnittstudie zur Patientensicherheitskultur in 2623 Mitarbeitern von Krankenhaus-, Sozial- und Altenpflegediensten in finnischer Wellbeing Services County mittels SOPS 2.0 und Net Safety Score.</w:t>
      </w:r>
    </w:p>
    <w:p>
      <w:r>
        <w:rPr>
          <w:b/>
        </w:rPr>
        <w:t xml:space="preserve">Ergebnis: </w:t>
      </w:r>
      <w:r>
        <w:t>Teamwork erhielt höchste positive Bewertungen (71,1 %), Übergaben und Informationsaustausch niedrigste (22,6 %). Altenpflegedienste zeigten konsistent niedrigere Werte. Teamwork, Besetzung, Arbeitsgeschwindigkeit und organisatorisches Lernen waren stärkste NSS-Prädiktoren. Gesamtpositiv-NSS: 52,6 %. Regressionsmodelle erklärten 47,4 % (Krankenhaus), 47,0 % (Altenpflege) und 35,8 % (Sozial/Gesundheit) der NSS-Varianz.</w:t>
      </w:r>
    </w:p>
    <w:p>
      <w:r>
        <w:rPr>
          <w:b/>
          <w:sz w:val="19"/>
        </w:rPr>
        <w:t xml:space="preserve">Übertragbarkeit: </w:t>
      </w:r>
      <w:r>
        <w:rPr>
          <w:sz w:val="19"/>
        </w:rPr>
        <w:t>Finnland, steuerfinanziert, aber auf integrierte Versorgungskultur übertragbar</w:t>
      </w:r>
    </w:p>
    <w:p>
      <w:r>
        <w:rPr>
          <w:color w:val="5A7D3A"/>
          <w:sz w:val="18"/>
        </w:rPr>
        <w:t>https://pubmed.ncbi.nlm.nih.gov/42660605/</w:t>
      </w:r>
    </w:p>
    <w:p>
      <w:pPr>
        <w:pStyle w:val="Heading2"/>
      </w:pPr>
      <w:r>
        <w:t>Ambulante Nachsorge bei Diabetes nach ED-Entlassung</w:t>
      </w:r>
    </w:p>
    <w:p>
      <w:r>
        <w:rPr>
          <w:i/>
          <w:color w:val="666666"/>
          <w:sz w:val="18"/>
        </w:rPr>
        <w:t>Zikry HE et al.  ·  J Gen Intern Med  ·  26.08.2026  ·  PMID 42649455</w:t>
      </w:r>
    </w:p>
    <w:p>
      <w:r>
        <w:t>Retrospektive Kohortenstudie (131.881 Patienten mit kommerzieller/MA-Versicherung, 2016–2022) zu Häufigkeit, Timing und Patientencharakteristika für ambulante Nachsorge innerhalb 30 Tage nach ED-Entlassung wegen Diabetes.</w:t>
      </w:r>
    </w:p>
    <w:p>
      <w:r>
        <w:rPr>
          <w:b/>
        </w:rPr>
        <w:t xml:space="preserve">Ergebnis: </w:t>
      </w:r>
      <w:r>
        <w:t>46,1 % erhielten ambulante Nachsorge innerhalb 30 Tagen; 13,0 % kehrten vorher zur ED zurück. Nachsorgeraten stiegen moderat von 44 % (2016) auf 49 % (2022). Höheres Alter, kommerzielle Versicherung und vorherige ambulante Versorgungskontakte waren mit höherer Wahrscheinlichkeit assoziiert. Nicht-hispanische Schwarze, MA-Versicherte mit Niedrigeinkommenszuschuss, höhere Komorbiditäten und Typ-1-Diabetes zeigten niedrigere Wahrscheinlichkeit.</w:t>
      </w:r>
    </w:p>
    <w:p>
      <w:r>
        <w:rPr>
          <w:b/>
          <w:sz w:val="19"/>
        </w:rPr>
        <w:t xml:space="preserve">Übertragbarkeit: </w:t>
      </w:r>
      <w:r>
        <w:rPr>
          <w:sz w:val="19"/>
        </w:rPr>
        <w:t>USA, aber Kontinuitätslücke und Versorgungsübergänge sind systemunabhängig relevant</w:t>
      </w:r>
    </w:p>
    <w:p>
      <w:r>
        <w:rPr>
          <w:color w:val="5A7D3A"/>
          <w:sz w:val="18"/>
        </w:rPr>
        <w:t>https://pubmed.ncbi.nlm.nih.gov/42649455/</w:t>
      </w:r>
    </w:p>
    <w:p>
      <w:pPr>
        <w:pStyle w:val="Heading1"/>
      </w:pPr>
      <w:r>
        <w:t>Aufgenommen am 28.08.2026</w:t>
      </w:r>
    </w:p>
    <w:p>
      <w:pPr>
        <w:pStyle w:val="Heading2"/>
      </w:pPr>
      <w:r>
        <w:t>Implementierung von Rehabilitations-Robotik in Regelversorgung: Systematisches Mapping</w:t>
      </w:r>
    </w:p>
    <w:p>
      <w:r>
        <w:rPr>
          <w:i/>
          <w:color w:val="666666"/>
          <w:sz w:val="18"/>
        </w:rPr>
        <w:t>Calabrò RS et al.  ·  Healthcare (Basel)  ·  14.08.2026  ·  PMID 42651315</w:t>
      </w:r>
    </w:p>
    <w:p>
      <w:r>
        <w:t>Mapping-Review zu Service-Delivery-Modellen, Implementierungsfaktoren und Real-World-Outcomes von Rehabilitations-Robotik in neurorehabilitation Kliniken (55 Studien).</w:t>
      </w:r>
    </w:p>
    <w:p>
      <w:r>
        <w:rPr>
          <w:b/>
        </w:rPr>
        <w:t xml:space="preserve">Ergebnis: </w:t>
      </w:r>
      <w:r>
        <w:t>Personalausstattung in 90,9 % der Studien dokumentiert, Workflow/Planung in 78,2 %, Sicherheit in 58,2 %, Training in 52,7 % berichtet. Feasibility in 72,7 %, Akzeptabilität in 56,4 %, Adoption in 41,8 % dokumentiert. Nachhaltigkeit, technischer Support und Implementierungskosten unterberichtet.</w:t>
      </w:r>
    </w:p>
    <w:p>
      <w:r>
        <w:rPr>
          <w:b/>
          <w:sz w:val="19"/>
        </w:rPr>
        <w:t xml:space="preserve">Übertragbarkeit: </w:t>
      </w:r>
      <w:r>
        <w:rPr>
          <w:sz w:val="19"/>
        </w:rPr>
        <w:t>Implementierungsforschung, qualitative Evidenz; Systemkontext unterschiedlich aber methodisch relevant</w:t>
      </w:r>
    </w:p>
    <w:p>
      <w:r>
        <w:rPr>
          <w:color w:val="5A7D3A"/>
          <w:sz w:val="18"/>
        </w:rPr>
        <w:t>https://pubmed.ncbi.nlm.nih.gov/42651315/</w:t>
      </w:r>
    </w:p>
    <w:p>
      <w:pPr>
        <w:pStyle w:val="Heading2"/>
      </w:pPr>
      <w:r>
        <w:t>Peer Researcher in Surveys: Training, Support und Evaluation – Narrative Review</w:t>
      </w:r>
    </w:p>
    <w:p>
      <w:r>
        <w:rPr>
          <w:i/>
          <w:color w:val="666666"/>
          <w:sz w:val="18"/>
        </w:rPr>
        <w:t>Blunt TJG et al.  ·  Res Involv Engagem  ·  25.08.2026  ·  PMID 42642786</w:t>
      </w:r>
    </w:p>
    <w:p>
      <w:r>
        <w:t>Narrative Review von Literatur zu Involvement, Training und Evaluation von Peer Researchers bei survey-basierten Datenerhebungen (Fokus auf methodische Lücken).</w:t>
      </w:r>
    </w:p>
    <w:p>
      <w:r>
        <w:rPr>
          <w:b/>
        </w:rPr>
        <w:t xml:space="preserve">Ergebnis: </w:t>
      </w:r>
      <w:r>
        <w:t>PR-Rollen variabel, oft nur Datenerhebung. Training reicht von intensiv strukturiert bis minimal/absent. PR-Involvement verbesserte Rekrutierung, Rapport, Datentiefe, aber systematische Evaluation selten. Herausforderungen: Rollenklarheit unklar, unzureichende Unterstützung, hierarchische Dynamiken, Tokenismus.</w:t>
      </w:r>
    </w:p>
    <w:p>
      <w:r>
        <w:rPr>
          <w:b/>
          <w:sz w:val="19"/>
        </w:rPr>
        <w:t xml:space="preserve">Übertragbarkeit: </w:t>
      </w:r>
      <w:r>
        <w:rPr>
          <w:sz w:val="19"/>
        </w:rPr>
        <w:t>Partizipative Forschungsmethoden relevant für deutsches HSR; Evidenz international heterogen</w:t>
      </w:r>
    </w:p>
    <w:p>
      <w:r>
        <w:rPr>
          <w:color w:val="5A7D3A"/>
          <w:sz w:val="18"/>
        </w:rPr>
        <w:t>https://pubmed.ncbi.nlm.nih.gov/42642786/</w:t>
      </w:r>
    </w:p>
    <w:p>
      <w:pPr>
        <w:pStyle w:val="Heading2"/>
      </w:pPr>
      <w:r>
        <w:t>Systems Thinking in Public-Health-Interventionen: Barrieren und Facilitators</w:t>
      </w:r>
    </w:p>
    <w:p>
      <w:r>
        <w:rPr>
          <w:i/>
          <w:color w:val="666666"/>
          <w:sz w:val="18"/>
        </w:rPr>
        <w:t>Alabdulaali M et al.  ·  BMC Health Serv Res  ·  19.08.2026  ·  PMID 42642760</w:t>
      </w:r>
    </w:p>
    <w:p>
      <w:r>
        <w:t>Systematisches Review von 15 Studien zu Implementierung von Systems-Thinking-Ansätzen in Public-Health-Interventionen, Barrieren und Facilitators in 2013–2025.</w:t>
      </w:r>
    </w:p>
    <w:p>
      <w:r>
        <w:rPr>
          <w:b/>
        </w:rPr>
        <w:t xml:space="preserve">Ergebnis: </w:t>
      </w:r>
      <w:r>
        <w:t>Hauptfacilitatoren: Stakeholder-Engagement, Co-Production, Integration in bestehende Systeme, inkrementelle Kapazitätsbildung, Leadership-Support. Barrieren: Schwierigkeit, Systemkonzepte umzusetzen, Personalknappheit, fragmentierte Datensysteme, starre Governance, externe Disruptionen (z.B. COVID-19).</w:t>
      </w:r>
    </w:p>
    <w:p>
      <w:r>
        <w:rPr>
          <w:b/>
          <w:sz w:val="19"/>
        </w:rPr>
        <w:t xml:space="preserve">Übertragbarkeit: </w:t>
      </w:r>
      <w:r>
        <w:rPr>
          <w:sz w:val="19"/>
        </w:rPr>
        <w:t>Internationale Studien aber Implementierungsrahmen systemunabhängig; relevant für Reformkontexte wie Deutschland</w:t>
      </w:r>
    </w:p>
    <w:p>
      <w:r>
        <w:rPr>
          <w:color w:val="5A7D3A"/>
          <w:sz w:val="18"/>
        </w:rPr>
        <w:t>https://pubmed.ncbi.nlm.nih.gov/42642760/</w:t>
      </w:r>
    </w:p>
    <w:p>
      <w:pPr>
        <w:pStyle w:val="Heading2"/>
      </w:pPr>
      <w:r>
        <w:t>Räumliche Erreichbarkeit von Hospizen in Deutschland: Vergleich von Messmethoden</w:t>
      </w:r>
    </w:p>
    <w:p>
      <w:r>
        <w:rPr>
          <w:i/>
          <w:color w:val="666666"/>
          <w:sz w:val="18"/>
        </w:rPr>
        <w:t>Petzold T et al.  ·  BMC Health Serv Res  ·  21.08.2026  ·  PMID 42642757</w:t>
      </w:r>
    </w:p>
    <w:p>
      <w:r>
        <w:t>Vergleich von vier Methoden zur Messung der räumlichen Erreichbarkeit von Hospizen anhand von 295 deutschen Einrichtungen.</w:t>
      </w:r>
    </w:p>
    <w:p>
      <w:r>
        <w:rPr>
          <w:b/>
        </w:rPr>
        <w:t xml:space="preserve">Ergebnis: </w:t>
      </w:r>
      <w:r>
        <w:t>90,3 % der Bevölkerung erreichen ein Hospiz innerhalb von 30 min. Methoden zeigen unterschiedliche Ergebnisse: Provider-to-Population-Ratio zeigt 36,4 Betten pro 1 Mio. Einwohner national; FCA-Methoden sind heterogener, besonders in ländlichen Regionen. Die Wahl der Methode beeinflusst Ergebnisse erheblich.</w:t>
      </w:r>
    </w:p>
    <w:p>
      <w:r>
        <w:rPr>
          <w:b/>
          <w:sz w:val="19"/>
        </w:rPr>
        <w:t xml:space="preserve">Übertragbarkeit: </w:t>
      </w:r>
      <w:r>
        <w:rPr>
          <w:sz w:val="19"/>
        </w:rPr>
        <w:t>Deutsche Hospize, Routinedaten; direkt übertragbar auf deutsches Versorgungssystem</w:t>
      </w:r>
    </w:p>
    <w:p>
      <w:r>
        <w:rPr>
          <w:color w:val="5A7D3A"/>
          <w:sz w:val="18"/>
        </w:rPr>
        <w:t>https://pubmed.ncbi.nlm.nih.gov/42642757/</w:t>
      </w:r>
    </w:p>
    <w:p>
      <w:pPr>
        <w:pStyle w:val="Heading2"/>
      </w:pPr>
      <w:r>
        <w:t>Health Literacy und Malaria-Verhalten in Gabun: Assoziationen bei Prävention und Adhärenz</w:t>
      </w:r>
    </w:p>
    <w:p>
      <w:r>
        <w:rPr>
          <w:i/>
          <w:color w:val="666666"/>
          <w:sz w:val="18"/>
        </w:rPr>
        <w:t>Namubiru C et al.  ·  BMC Health Serv Res  ·  24.08.2026  ·  PMID 42642735</w:t>
      </w:r>
    </w:p>
    <w:p>
      <w:r>
        <w:t>Querschnittstudie zu Assoziationen zwischen Health Literacy und Malaria-Präventionsverhalten bei 504 Befragten in urban und ländlich Gabun.</w:t>
      </w:r>
    </w:p>
    <w:p>
      <w:r>
        <w:rPr>
          <w:b/>
        </w:rPr>
        <w:t xml:space="preserve">Ergebnis: </w:t>
      </w:r>
      <w:r>
        <w:t>59,7 % mit ausreichender Health Literacy (HL). HL assoziiert mit Dosierungswissen (AME 0,022, p&lt;0,001), Adhärenz (OR 1,089, p&lt;0,01), Fragen stellen (OR 1,092, p&lt;0,001) und Netztnutzung (p&lt;0,05). Keine Assoziation mit Behandlungssuche oder Buschrodung (p&gt;0,05).</w:t>
      </w:r>
    </w:p>
    <w:p>
      <w:r>
        <w:rPr>
          <w:b/>
          <w:sz w:val="19"/>
        </w:rPr>
        <w:t xml:space="preserve">Übertragbarkeit: </w:t>
      </w:r>
      <w:r>
        <w:rPr>
          <w:sz w:val="19"/>
        </w:rPr>
        <w:t>Ressourcen-limitiertes Setting mit anderen Prioritäten; Methodologie aber für Versorgungsforschung relevant</w:t>
      </w:r>
    </w:p>
    <w:p>
      <w:r>
        <w:rPr>
          <w:color w:val="5A7D3A"/>
          <w:sz w:val="18"/>
        </w:rPr>
        <w:t>https://pubmed.ncbi.nlm.nih.gov/42642735/</w:t>
      </w:r>
    </w:p>
    <w:p>
      <w:pPr>
        <w:pStyle w:val="Heading2"/>
      </w:pPr>
      <w:r>
        <w:t>Globale Fortschritte bei oralmedizinischen Bedingungen 2019–2023: GBD-Analyse</w:t>
      </w:r>
    </w:p>
    <w:p>
      <w:r>
        <w:rPr>
          <w:i/>
          <w:color w:val="666666"/>
          <w:sz w:val="18"/>
        </w:rPr>
        <w:t>GBD 2023 Oral Disorders Collaborators  ·  Lancet Public Health  ·  Sept. 2026  ·  PMID 42612648</w:t>
      </w:r>
    </w:p>
    <w:p>
      <w:r>
        <w:t>Systematische GBD-2023-Analyse zu globalen und regionalen Trends bei Prävalenz von Mundhöhlenerkrankungen (Karies, Parodontitis, Zahnlosigkeit) 2019–2023 gegenüber WHO-Ziel 2030.</w:t>
      </w:r>
    </w:p>
    <w:p>
      <w:r>
        <w:rPr>
          <w:b/>
        </w:rPr>
        <w:t xml:space="preserve">Ergebnis: </w:t>
      </w:r>
      <w:r>
        <w:t>Altersstandardisierte Prävalenz hauptsächlich sank um -1,55 % (95% UI -2,32 bis -0,82); absolute Fälle stiegen aber +3,07 %. Unbehandelte Karies in bleibenden Zähnen -1,99 %, orofaziale Spalten +2,25 %. Südasien -3,34 %, Sub-Sahara +9,51 %. Aktuelles Tempo unzureichend für 2030-Ziele.</w:t>
      </w:r>
    </w:p>
    <w:p>
      <w:r>
        <w:rPr>
          <w:b/>
          <w:sz w:val="19"/>
        </w:rPr>
        <w:t xml:space="preserve">Übertragbarkeit: </w:t>
      </w:r>
      <w:r>
        <w:rPr>
          <w:sz w:val="19"/>
        </w:rPr>
        <w:t>WHO-GBD-Daten global; Trendfeststellung systemunabhängig aber mit Lücken in DE-Datenerfassung</w:t>
      </w:r>
    </w:p>
    <w:p>
      <w:r>
        <w:rPr>
          <w:color w:val="5A7D3A"/>
          <w:sz w:val="18"/>
        </w:rPr>
        <w:t>https://pubmed.ncbi.nlm.nih.gov/42612648/</w:t>
      </w:r>
    </w:p>
    <w:p>
      <w:pPr>
        <w:pStyle w:val="Heading1"/>
      </w:pPr>
      <w:r>
        <w:t>Aufgenommen am 27.08.2026</w:t>
      </w:r>
    </w:p>
    <w:p>
      <w:pPr>
        <w:pStyle w:val="Heading2"/>
      </w:pPr>
      <w:r>
        <w:t>Safeguarding concerns older adults with dementia in England: distribution and disparities</w:t>
      </w:r>
    </w:p>
    <w:p>
      <w:r>
        <w:rPr>
          <w:i/>
          <w:color w:val="666666"/>
          <w:sz w:val="18"/>
        </w:rPr>
        <w:t>Maharani A et al.  ·  BMJ Open  ·  26.08.2026  ·  PMID 42648775</w:t>
      </w:r>
    </w:p>
    <w:p>
      <w:r>
        <w:t>Bevölkerungsgestützte Analyse räumlicher und zeitlicher Muster von Schutzmaßnahmen für demenzkranke Menschen in England zwischen 2015 und 2022.</w:t>
      </w:r>
    </w:p>
    <w:p>
      <w:r>
        <w:rPr>
          <w:b/>
        </w:rPr>
        <w:t xml:space="preserve">Ergebnis: </w:t>
      </w:r>
      <w:r>
        <w:t>Schutzmaßnahmen stiegen um 55,5 % (2015/16–2019/20); Frauen ab 85 Jahren zeigten höhere Raten; räumliche Variabilität: höhere Aktivität in urbanen und benachteiligten Regionen (Manchester, Liverpool, Midlands), niedrigere in ländlichen Gebieten.</w:t>
      </w:r>
    </w:p>
    <w:p>
      <w:r>
        <w:rPr>
          <w:b/>
          <w:sz w:val="19"/>
        </w:rPr>
        <w:t xml:space="preserve">Übertragbarkeit: </w:t>
      </w:r>
      <w:r>
        <w:rPr>
          <w:sz w:val="19"/>
        </w:rPr>
        <w:t>Großbritannien, administrative nationale Daten – eingeschränkt übertragbar wegen anderer Sozialsysteme</w:t>
      </w:r>
    </w:p>
    <w:p>
      <w:r>
        <w:rPr>
          <w:color w:val="5A7D3A"/>
          <w:sz w:val="18"/>
        </w:rPr>
        <w:t>https://pubmed.ncbi.nlm.nih.gov/42648775/</w:t>
      </w:r>
    </w:p>
    <w:p>
      <w:pPr>
        <w:pStyle w:val="Heading2"/>
      </w:pPr>
      <w:r>
        <w:t>Implementierung eines Care-Bundle für intracerebrale Blutungen in Nordengland</w:t>
      </w:r>
    </w:p>
    <w:p>
      <w:r>
        <w:rPr>
          <w:i/>
          <w:color w:val="666666"/>
          <w:sz w:val="18"/>
        </w:rPr>
        <w:t>Brunton L et al.  ·  BMJ Open Qual  ·  26.08.2026  ·  PMID 42648747</w:t>
      </w:r>
    </w:p>
    <w:p>
      <w:r>
        <w:t>Qualitative Prozessevaluation der Ausrollung eines ICH-Management-Bundles über sechs Regionen mit 45 Interviews, sechs Beobachtungen und Dokumentenanalyse.</w:t>
      </w:r>
    </w:p>
    <w:p>
      <w:r>
        <w:rPr>
          <w:b/>
        </w:rPr>
        <w:t xml:space="preserve">Ergebnis: </w:t>
      </w:r>
      <w:r>
        <w:t>Begünstigte Faktoren: Interventionsklarheit, Kompatibilität mit Kliniker-Werten, lokale Adaptabilität. Barrieren: mangelnde Fähigkeiten, kulturelle Normen führten zu Überweisungen unabhängig Kriterien, unzureichendes Monitoring der Prozeßziele.</w:t>
      </w:r>
    </w:p>
    <w:p>
      <w:r>
        <w:rPr>
          <w:b/>
          <w:sz w:val="19"/>
        </w:rPr>
        <w:t xml:space="preserve">Übertragbarkeit: </w:t>
      </w:r>
      <w:r>
        <w:rPr>
          <w:sz w:val="19"/>
        </w:rPr>
        <w:t>England, NHS-Kontext – bedingt übertragbar auf deutsches stationäres System</w:t>
      </w:r>
    </w:p>
    <w:p>
      <w:r>
        <w:rPr>
          <w:color w:val="5A7D3A"/>
          <w:sz w:val="18"/>
        </w:rPr>
        <w:t>https://pubmed.ncbi.nlm.nih.gov/42648747/</w:t>
      </w:r>
    </w:p>
    <w:p>
      <w:pPr>
        <w:pStyle w:val="Heading2"/>
      </w:pPr>
      <w:r>
        <w:t>Governance-Konfigurationen koordinierter Gesundheitsförderung in Kommunen</w:t>
      </w:r>
    </w:p>
    <w:p>
      <w:r>
        <w:rPr>
          <w:i/>
          <w:color w:val="666666"/>
          <w:sz w:val="18"/>
        </w:rPr>
        <w:t>Richter H et al.  ·  BMC Health Serv Res  ·  22.08.2026  ·  PMID 42642761</w:t>
      </w:r>
    </w:p>
    <w:p>
      <w:r>
        <w:t>Egozentrische Netzwerkanalyse der Koordinationsmuster von 14 Gesundheitsfachpersonen in deutschen Grundschulen und Nachbarschaften mit 662 erfassten Personen.</w:t>
      </w:r>
    </w:p>
    <w:p>
      <w:r>
        <w:rPr>
          <w:b/>
        </w:rPr>
        <w:t xml:space="preserve">Ergebnis: </w:t>
      </w:r>
      <w:r>
        <w:t>Drei Governance-Konfigurationen identifiziert: ego-abhängige Integration, ersetzbare Koordination und verteilte Integration. Netzwerkstabilität hängt weniger von Akteur-Dichte ab als von Struktur des Brokerage und Formalität alternativer Koordinationspfade.</w:t>
      </w:r>
    </w:p>
    <w:p>
      <w:r>
        <w:rPr>
          <w:b/>
          <w:sz w:val="19"/>
        </w:rPr>
        <w:t xml:space="preserve">Übertragbarkeit: </w:t>
      </w:r>
      <w:r>
        <w:rPr>
          <w:sz w:val="19"/>
        </w:rPr>
        <w:t>Deutschland, kommunale Gesundheitsförderung – direkt übertragbar</w:t>
      </w:r>
    </w:p>
    <w:p>
      <w:r>
        <w:rPr>
          <w:color w:val="5A7D3A"/>
          <w:sz w:val="18"/>
        </w:rPr>
        <w:t>https://pubmed.ncbi.nlm.nih.gov/42642761/</w:t>
      </w:r>
    </w:p>
    <w:p>
      <w:pPr>
        <w:pStyle w:val="Heading2"/>
      </w:pPr>
      <w:r>
        <w:t>Telemedicine in ländlicher Demenzversorgung in Hocheinkommensländern</w:t>
      </w:r>
    </w:p>
    <w:p>
      <w:r>
        <w:rPr>
          <w:i/>
          <w:color w:val="666666"/>
          <w:sz w:val="18"/>
        </w:rPr>
        <w:t>Devarshi R et al.  ·  BMC Health Serv Res  ·  19.08.2026  ·  PMID 42642758</w:t>
      </w:r>
    </w:p>
    <w:p>
      <w:r>
        <w:t>Scoping Review mit 9 Studien aus USA, Australien, Kanada, Griechenland und UK zur Integration von Telemedizin in ländliche Demenzsysteme (2014–2025).</w:t>
      </w:r>
    </w:p>
    <w:p>
      <w:r>
        <w:rPr>
          <w:b/>
        </w:rPr>
        <w:t xml:space="preserve">Ergebnis: </w:t>
      </w:r>
      <w:r>
        <w:t>Wichtige Barrieren: begrenzte Konnektivität, digitale Grundbildung, Gesundheitsbeeinträchtigungen; Begünstigter: Vertrauen zu Providern, organisationale Unterstützung. Strategien: Schulung, dedizierte Koordinationsrollen, Co-Design mit Patienten.</w:t>
      </w:r>
    </w:p>
    <w:p>
      <w:r>
        <w:rPr>
          <w:b/>
          <w:sz w:val="19"/>
        </w:rPr>
        <w:t xml:space="preserve">Übertragbarkeit: </w:t>
      </w:r>
      <w:r>
        <w:rPr>
          <w:sz w:val="19"/>
        </w:rPr>
        <w:t>Hocheinkommensländer, rural – teilweise übertragbar, systemische Unterschiede bei Finanzierung</w:t>
      </w:r>
    </w:p>
    <w:p>
      <w:r>
        <w:rPr>
          <w:color w:val="5A7D3A"/>
          <w:sz w:val="18"/>
        </w:rPr>
        <w:t>https://pubmed.ncbi.nlm.nih.gov/42642758/</w:t>
      </w:r>
    </w:p>
    <w:p>
      <w:pPr>
        <w:pStyle w:val="Heading2"/>
      </w:pPr>
      <w:r>
        <w:t>Überdiagnose in Krebsscreening: Perspektiven von Gesundheitsfachpersonen</w:t>
      </w:r>
    </w:p>
    <w:p>
      <w:r>
        <w:rPr>
          <w:i/>
          <w:color w:val="666666"/>
          <w:sz w:val="18"/>
        </w:rPr>
        <w:t>Piessens V et al.  ·  BMC Health Serv Res  ·  23.07.2026  ·  PMID 42642748</w:t>
      </w:r>
    </w:p>
    <w:p>
      <w:r>
        <w:t>Qualitative Interviews mit 34 Gesundheitsfachpersonen in Flandern zur Wahrnehmung und zum Umgang mit Überdiagnose in Brust-, Lungen- und Prostata-Screening.</w:t>
      </w:r>
    </w:p>
    <w:p>
      <w:r>
        <w:rPr>
          <w:b/>
        </w:rPr>
        <w:t xml:space="preserve">Ergebnis: </w:t>
      </w:r>
      <w:r>
        <w:t>Drei Positionen: RoutineScreening (Überdiagnose ignoriert), Determined Screening (Vorteile betont, Überdiagnose marginalisiert) und Cautious Screening (Überdiagnose kritisch). Begünstigte Faktoren für reflektiertes Handeln: umfassendes Verständnis von Nutzen und Schaden.</w:t>
      </w:r>
    </w:p>
    <w:p>
      <w:r>
        <w:rPr>
          <w:b/>
          <w:sz w:val="19"/>
        </w:rPr>
        <w:t xml:space="preserve">Übertragbarkeit: </w:t>
      </w:r>
      <w:r>
        <w:rPr>
          <w:sz w:val="19"/>
        </w:rPr>
        <w:t>Belgien, Sozialversicherungssystem – gut übertragbar auf Deutschland</w:t>
      </w:r>
    </w:p>
    <w:p>
      <w:r>
        <w:rPr>
          <w:color w:val="5A7D3A"/>
          <w:sz w:val="18"/>
        </w:rPr>
        <w:t>https://pubmed.ncbi.nlm.nih.gov/42642748/</w:t>
      </w:r>
    </w:p>
    <w:p>
      <w:pPr>
        <w:pStyle w:val="Heading2"/>
      </w:pPr>
      <w:r>
        <w:t>Räumliche Erreichbarkeit stationärer Hospize in Deutschland</w:t>
      </w:r>
    </w:p>
    <w:p>
      <w:r>
        <w:rPr>
          <w:i/>
          <w:color w:val="666666"/>
          <w:sz w:val="18"/>
        </w:rPr>
        <w:t>Xie M et al.  ·  BMC Public Health  ·  08.08.2026  ·  PMID 42642737</w:t>
      </w:r>
    </w:p>
    <w:p>
      <w:r>
        <w:t>Räumliche Zugangsanalyse zu 295 stationären Hospizen mittels Erreichbarkeitsindizes (Angebots-Bevölkerungs-Verhältnisse, Reisezeit-Netzwerk, 2SFCA, E2SFCA).</w:t>
      </w:r>
    </w:p>
    <w:p>
      <w:r>
        <w:rPr>
          <w:b/>
        </w:rPr>
        <w:t xml:space="preserve">Ergebnis: </w:t>
      </w:r>
      <w:r>
        <w:t>36,4 Betten pro 1 Mio. Einwohner national; 90,3 % der Bevölkerung erreicht Hospiz innerhalb 30 Min. Autofahrt; ländliche Gebiete zeigen niedrigere Zugänglichkeit; Methodenwahl beeinflußt Ergebnisse erheblich (2SFCA vs. E2SFCA).</w:t>
      </w:r>
    </w:p>
    <w:p>
      <w:r>
        <w:rPr>
          <w:b/>
          <w:sz w:val="19"/>
        </w:rPr>
        <w:t xml:space="preserve">Übertragbarkeit: </w:t>
      </w:r>
      <w:r>
        <w:rPr>
          <w:sz w:val="19"/>
        </w:rPr>
        <w:t>Deutschland, Routinedaten – direkt übertragbar</w:t>
      </w:r>
    </w:p>
    <w:p>
      <w:r>
        <w:rPr>
          <w:color w:val="5A7D3A"/>
          <w:sz w:val="18"/>
        </w:rPr>
        <w:t>https://pubmed.ncbi.nlm.nih.gov/42642737/</w:t>
      </w:r>
    </w:p>
    <w:p>
      <w:pPr>
        <w:pStyle w:val="Heading1"/>
      </w:pPr>
      <w:r>
        <w:t>Aufgenommen am 26.08.2026</w:t>
      </w:r>
    </w:p>
    <w:p>
      <w:pPr>
        <w:pStyle w:val="Heading2"/>
      </w:pPr>
      <w:r>
        <w:t>Digitale Gesundheitsanwendungen: Unterschiede bei sozioökonomisch benachteiligten Chroniker-Patienten in den Niederlanden</w:t>
      </w:r>
    </w:p>
    <w:p>
      <w:r>
        <w:rPr>
          <w:i/>
          <w:color w:val="666666"/>
          <w:sz w:val="18"/>
        </w:rPr>
        <w:t>Standaar LMB et al.  ·  Inquiry  ·  25.08.2026  ·  PMID 42641147</w:t>
      </w:r>
    </w:p>
    <w:p>
      <w:r>
        <w:t>Querschnittsstudie zur Nutzung von fünf e-Health-Anwendungen (Websites, Apps, Wearables, Patientenportale, digitale Kommunikation) bei 1.517 Niederländern mit chronischen Erkrankungen in Abhängigkeit vom Bildungsattainment.</w:t>
      </w:r>
    </w:p>
    <w:p>
      <w:r>
        <w:rPr>
          <w:b/>
        </w:rPr>
        <w:t xml:space="preserve">Ergebnis: </w:t>
      </w:r>
      <w:r>
        <w:t>Personen mit niedriger Bildung nutzten signifikant weniger Websites (OR 4,78), Apps (OR 2,88), Wearables (OR 2,12) und Patientenportale (OR 3,24) als Hochgebildete. Hochgebildete waren eher zum E-Health-Einsatz geneigt (RRR 2,21) und weniger unsicher (RRR 0,56). Digitale Angebote erreichen nicht alle Patientengruppen gleich.</w:t>
      </w:r>
    </w:p>
    <w:p>
      <w:r>
        <w:rPr>
          <w:b/>
          <w:sz w:val="19"/>
        </w:rPr>
        <w:t xml:space="preserve">Übertragbarkeit: </w:t>
      </w:r>
      <w:r>
        <w:rPr>
          <w:sz w:val="19"/>
        </w:rPr>
        <w:t>Niederlande, vergleichbares Sozialversicherungssystem mit ähnlichen e-Health-Hürden</w:t>
      </w:r>
    </w:p>
    <w:p>
      <w:r>
        <w:rPr>
          <w:color w:val="5A7D3A"/>
          <w:sz w:val="18"/>
        </w:rPr>
        <w:t>https://pubmed.ncbi.nlm.nih.gov/42641147/</w:t>
      </w:r>
    </w:p>
    <w:p>
      <w:pPr>
        <w:pStyle w:val="Heading2"/>
      </w:pPr>
      <w:r>
        <w:t>Determinanten antimikrobieller Verschreibungsmuster in der pädiatrischen Ambulantversorgung in Ghana</w:t>
      </w:r>
    </w:p>
    <w:p>
      <w:r>
        <w:rPr>
          <w:i/>
          <w:color w:val="666666"/>
          <w:sz w:val="18"/>
        </w:rPr>
        <w:t>Aduful AK et al.  ·  BMJ Paediatr Open  ·  21.08.2026  ·  PMID 42629162</w:t>
      </w:r>
    </w:p>
    <w:p>
      <w:r>
        <w:t>Retrospektive Analyse von 3.244 Antibiotikaverordnungen aus 16.555 pädiatrischen Ambulanzkonsultationen in Ghana zur Assoziation von Patienten- und Anbietermerkmalen mit Verschreibungsangemessenheit.</w:t>
      </w:r>
    </w:p>
    <w:p>
      <w:r>
        <w:rPr>
          <w:b/>
        </w:rPr>
        <w:t xml:space="preserve">Ergebnis: </w:t>
      </w:r>
      <w:r>
        <w:t>Männliches Geschlecht war mit Verordnung ohne Indikation assoziiert (p=0,007); ältere Kinder und Patienten mit Fieber erhielten seltener unangemessene Antibiotika (p=0,030, p=0,036). Spezialisierte Pflegekräfte und Physician Assistants zeigten mehr unangemessene Verordnungen als Assistenzärzte (p&lt;0,001, p=0,005); medizinische Offiziere und Resident Doctors verschrieben angemessenere Dosierungen und Dauern.</w:t>
      </w:r>
    </w:p>
    <w:p>
      <w:r>
        <w:rPr>
          <w:b/>
          <w:sz w:val="19"/>
        </w:rPr>
        <w:t xml:space="preserve">Übertragbarkeit: </w:t>
      </w:r>
      <w:r>
        <w:rPr>
          <w:sz w:val="19"/>
        </w:rPr>
        <w:t>Nur bedingt: Ressourcenlimitiertes System mit anderer Personalstruktur als Deutschland</w:t>
      </w:r>
    </w:p>
    <w:p>
      <w:r>
        <w:rPr>
          <w:color w:val="5A7D3A"/>
          <w:sz w:val="18"/>
        </w:rPr>
        <w:t>https://pubmed.ncbi.nlm.nih.gov/42629162/</w:t>
      </w:r>
    </w:p>
    <w:p>
      <w:pPr>
        <w:pStyle w:val="Heading2"/>
      </w:pPr>
      <w:r>
        <w:t>Standardisiertes Messinstrument für patientenberichtete Soziodemografie in deutschen Gesundheitsstudien</w:t>
      </w:r>
    </w:p>
    <w:p>
      <w:r>
        <w:rPr>
          <w:i/>
          <w:color w:val="666666"/>
          <w:sz w:val="18"/>
        </w:rPr>
        <w:t>Boczor S et al.  ·  BMC Med Res Methodol  ·  20.08.2026  ·  PMID 42625156</w:t>
      </w:r>
    </w:p>
    <w:p>
      <w:r>
        <w:t>Entwicklung und Evaluation eines praktikablen Standardinstruments zur Erfassung von Patientensoziodemografie in Gesundheitsstudien durch Expertenpanel, Fokusgruppe und Pretests an 290 Patienten in einer deutschen Universitätsklinik.</w:t>
      </w:r>
    </w:p>
    <w:p>
      <w:r>
        <w:rPr>
          <w:b/>
        </w:rPr>
        <w:t xml:space="preserve">Ergebnis: </w:t>
      </w:r>
      <w:r>
        <w:t>Mit 290 Studienteilnehmern (51% der 574 angesprochenen Patienten, Median 40 Jahre, 55% weiblich) erreichte das Instrument Akzeptanz: 66% hielten die Länge für angemessen, 96% fanden es verständlich. Sieben Fragen zu Einkommenssituation zeigten Klärungsbedarf und wurden überarbeitet. Finale Instrument erfasst 14 standardisierte Variablen zu biologischem Geschlecht, Geburt, Familienstand, Haushalt, Bildung, Beruf und soziodemografischen Merkmalen.</w:t>
      </w:r>
    </w:p>
    <w:p>
      <w:r>
        <w:rPr>
          <w:b/>
          <w:sz w:val="19"/>
        </w:rPr>
        <w:t xml:space="preserve">Übertragbarkeit: </w:t>
      </w:r>
      <w:r>
        <w:rPr>
          <w:sz w:val="19"/>
        </w:rPr>
        <w:t>Deutschland, Universitätsmedizin mit patientenzentriertem Ansatz zur Versorgungsforschung</w:t>
      </w:r>
    </w:p>
    <w:p>
      <w:r>
        <w:rPr>
          <w:color w:val="5A7D3A"/>
          <w:sz w:val="18"/>
        </w:rPr>
        <w:t>https://pubmed.ncbi.nlm.nih.gov/42625156/</w:t>
      </w:r>
    </w:p>
    <w:p>
      <w:pPr>
        <w:pStyle w:val="Heading1"/>
      </w:pPr>
      <w:r>
        <w:t>Aufgenommen am 25.08.2026</w:t>
      </w:r>
    </w:p>
    <w:p>
      <w:pPr>
        <w:pStyle w:val="Heading2"/>
      </w:pPr>
      <w:r>
        <w:t>Sterblichkeit bei akuter Lebererkrankung in England: nationale Kohortenstudie</w:t>
      </w:r>
    </w:p>
    <w:p>
      <w:r>
        <w:rPr>
          <w:i/>
          <w:color w:val="666666"/>
          <w:sz w:val="18"/>
        </w:rPr>
        <w:t>Campbell C et al.  ·  Eur J Intern Med  ·  24.08.2026  ·  PMID 42637631</w:t>
      </w:r>
    </w:p>
    <w:p>
      <w:r>
        <w:t>Studie zur Langzeitsterblichkeit von 82.402 Patienten mit chronischer Lebererkrankung nach erstem Notfallaufenthalt in englischen Krankenhäusern (2012-2019).</w:t>
      </w:r>
    </w:p>
    <w:p>
      <w:r>
        <w:rPr>
          <w:b/>
        </w:rPr>
        <w:t xml:space="preserve">Ergebnis: </w:t>
      </w:r>
      <w:r>
        <w:t>5-Jahres-Mortalität 59,9%; Median-Überlebenszeit 2,72 Jahre (95%-KI 2,66-2,79). Regional erhöhte Mortalität außerhalb Londons (adjHR 1,06-1,19); Encephalopathie (adjHR 1,70), Aszites (adjHR 1,64) und gastrointestinale Blutung (adjHR 1,10) mit erhöhter Mortalität assoziiert.</w:t>
      </w:r>
    </w:p>
    <w:p>
      <w:r>
        <w:rPr>
          <w:b/>
          <w:sz w:val="19"/>
        </w:rPr>
        <w:t xml:space="preserve">Übertragbarkeit: </w:t>
      </w:r>
      <w:r>
        <w:rPr>
          <w:sz w:val="19"/>
        </w:rPr>
        <w:t>Englische Routinedaten; vergleichbar mit deutschem NHS-ähnlichen System in Versorgungssteuerung und Datenqualität.</w:t>
      </w:r>
    </w:p>
    <w:p>
      <w:r>
        <w:rPr>
          <w:color w:val="5A7D3A"/>
          <w:sz w:val="18"/>
        </w:rPr>
        <w:t>https://pubmed.ncbi.nlm.nih.gov/42637631/</w:t>
      </w:r>
    </w:p>
    <w:p>
      <w:pPr>
        <w:pStyle w:val="Heading2"/>
      </w:pPr>
      <w:r>
        <w:t>Apotheken-Interventionen bei niedriger Health Literacy: systematische Übersicht mit Co-Design-Fokus</w:t>
      </w:r>
    </w:p>
    <w:p>
      <w:r>
        <w:rPr>
          <w:i/>
          <w:color w:val="666666"/>
          <w:sz w:val="18"/>
        </w:rPr>
        <w:t>Suppiah SD et al.  ·  Res Social Adm Pharm  ·  22.08.2026  ·  PMID 42637584</w:t>
      </w:r>
    </w:p>
    <w:p>
      <w:r>
        <w:t>Systematische Übersicht von neun RCTs (13 Publikationen) zu Apotheken-Interventionen für chronisch kranke Erwachsene mit eingeschränkter Health Literacy.</w:t>
      </w:r>
    </w:p>
    <w:p>
      <w:r>
        <w:rPr>
          <w:b/>
        </w:rPr>
        <w:t xml:space="preserve">Ergebnis: </w:t>
      </w:r>
      <w:r>
        <w:t>Medikamentenverstehen verbesserte sich konsistent, besonders durch patientenzentrierte Medikamentenetiketten; Adherence-Effekte waren inkonsistent und nicht nachhaltig; Care-Transition-Interventionen zeigten teilweise Reduktion ungünstiger Events. Co-Design-Elemente waren in nur einem Trial dokumentiert. 10 Studien, alle niedriges bis moderates Bias-Risiko.</w:t>
      </w:r>
    </w:p>
    <w:p>
      <w:r>
        <w:rPr>
          <w:b/>
          <w:sz w:val="19"/>
        </w:rPr>
        <w:t xml:space="preserve">Übertragbarkeit: </w:t>
      </w:r>
      <w:r>
        <w:rPr>
          <w:sz w:val="19"/>
        </w:rPr>
        <w:t>Australisch-singapurisches Autorenteam; Konzepte zu Patient-zentrierten Interventionen auf deutschsprachigen Raum übertragbar.</w:t>
      </w:r>
    </w:p>
    <w:p>
      <w:r>
        <w:rPr>
          <w:color w:val="5A7D3A"/>
          <w:sz w:val="18"/>
        </w:rPr>
        <w:t>https://pubmed.ncbi.nlm.nih.gov/42637584/</w:t>
      </w:r>
    </w:p>
    <w:p>
      <w:pPr>
        <w:pStyle w:val="Heading1"/>
      </w:pPr>
      <w:r>
        <w:t>Aufgenommen am 24.08.2026</w:t>
      </w:r>
    </w:p>
    <w:p>
      <w:pPr>
        <w:pStyle w:val="Heading2"/>
      </w:pPr>
      <w:r>
        <w:t>Kontinuität der Betreuung und Risiken von Krankenhausaufenthalten und Mortalität bei COPD: eine landesweite Kohortenstudie</w:t>
      </w:r>
    </w:p>
    <w:p>
      <w:r>
        <w:rPr>
          <w:i/>
          <w:color w:val="666666"/>
          <w:sz w:val="18"/>
        </w:rPr>
        <w:t>Ko J et al.  ·  Int J Chron Obstruct Pulmon Dis  ·  18.08.2026  ·  PMID 42633418</w:t>
      </w:r>
    </w:p>
    <w:p>
      <w:r>
        <w:t>Eine südkoreanische Kohortenstudie mit 29.316 COPD-Neudiagnosen untersucht den Einfluss der Kontinuität der Betreuung auf COPD-Exazerbationen und Sterblichkeit.</w:t>
      </w:r>
    </w:p>
    <w:p>
      <w:r>
        <w:rPr>
          <w:b/>
        </w:rPr>
        <w:t xml:space="preserve">Ergebnis: </w:t>
      </w:r>
      <w:r>
        <w:t>Niedrige Kontinuitätsscores waren mit erhöhtem Risiko für COPD-Exazerbations-Krankenhausaufenthalte (HR 1,63; 95 % KI 1,45–1,83) und Gesamtmortalität (HR 1,25; 95 % KI 1,11–1,40) verbunden. Fragmentierte ambulante Betreuung erhöhte präventable Krankenhausaufenthalte deutlich.</w:t>
      </w:r>
    </w:p>
    <w:p>
      <w:r>
        <w:rPr>
          <w:b/>
          <w:sz w:val="19"/>
        </w:rPr>
        <w:t xml:space="preserve">Übertragbarkeit: </w:t>
      </w:r>
      <w:r>
        <w:rPr>
          <w:sz w:val="19"/>
        </w:rPr>
        <w:t>Südkorea – Sozialversicherungssystem, hohe Übertragbarkeit auf Deutschland.</w:t>
      </w:r>
    </w:p>
    <w:p>
      <w:r>
        <w:rPr>
          <w:color w:val="5A7D3A"/>
          <w:sz w:val="18"/>
        </w:rPr>
        <w:t>https://pubmed.ncbi.nlm.nih.gov/42633418/</w:t>
      </w:r>
    </w:p>
    <w:p>
      <w:pPr>
        <w:pStyle w:val="Heading2"/>
      </w:pPr>
      <w:r>
        <w:t>Einfluss von Alter, Gebrechlichkeit und Komorbiditäten auf Überleben nach Mitralklappenreparatur in Deutschland</w:t>
      </w:r>
    </w:p>
    <w:p>
      <w:r>
        <w:rPr>
          <w:i/>
          <w:color w:val="666666"/>
          <w:sz w:val="18"/>
        </w:rPr>
        <w:t>Piayda K et al.  ·  Int J Cardiol Heart Vasc  ·  12.08.2026  ·  PMID 42633073</w:t>
      </w:r>
    </w:p>
    <w:p>
      <w:r>
        <w:t>Eine deutsche Routinedatenstudie mit 4.896 Patienten untersucht Prognosen nach minimalinvasiver Mitralklappenreparatur hinsichtlich Alter, Gebrechlichkeit und Komorbiditäten.</w:t>
      </w:r>
    </w:p>
    <w:p>
      <w:r>
        <w:rPr>
          <w:b/>
        </w:rPr>
        <w:t xml:space="preserve">Ergebnis: </w:t>
      </w:r>
      <w:r>
        <w:t>Sehr alte Patienten (80–99 Jahre): OR 1,2 (95 % KI 1,07–1,49). Mit Pflegegrad 1–3: OR 1,43–2,09. Mit ≥3 Komorbiditäten: OR 2,82 (95 % KI 2,37–3,36). Medizinische Gesamtausgaben blieben gleich, aber Herzinsuffizienz-Krankenhausaufenthalte sanken.</w:t>
      </w:r>
    </w:p>
    <w:p>
      <w:r>
        <w:rPr>
          <w:b/>
          <w:sz w:val="19"/>
        </w:rPr>
        <w:t xml:space="preserve">Übertragbarkeit: </w:t>
      </w:r>
      <w:r>
        <w:rPr>
          <w:sz w:val="19"/>
        </w:rPr>
        <w:t>Deutsche Routinedaten (BARMER Krankenkasse), direkt übertragbar.</w:t>
      </w:r>
    </w:p>
    <w:p>
      <w:r>
        <w:rPr>
          <w:color w:val="5A7D3A"/>
          <w:sz w:val="18"/>
        </w:rPr>
        <w:t>https://pubmed.ncbi.nlm.nih.gov/42633073/</w:t>
      </w:r>
    </w:p>
    <w:p>
      <w:pPr>
        <w:pStyle w:val="Heading1"/>
      </w:pPr>
      <w:r>
        <w:t>Aufgenommen am 23.08.2026</w:t>
      </w:r>
    </w:p>
    <w:p>
      <w:pPr>
        <w:pStyle w:val="Heading2"/>
      </w:pPr>
      <w:r>
        <w:t>Spiritual Distress bei erwachsenen Patienten vor elektiver Chirurgie: Qualitative Studie</w:t>
      </w:r>
    </w:p>
    <w:p>
      <w:r>
        <w:rPr>
          <w:i/>
          <w:color w:val="666666"/>
          <w:sz w:val="18"/>
        </w:rPr>
        <w:t>Makar KG et al.  ·  Surgery  ·  03.08.2026  ·  PMID 42632276</w:t>
      </w:r>
    </w:p>
    <w:p>
      <w:r>
        <w:t>Qualitative Studie zu spiritueller Belastung und deren Auswirkungen auf die präoperative Erfahrung bei Patienten mit geplanten Eingriffen.</w:t>
      </w:r>
    </w:p>
    <w:p>
      <w:r>
        <w:rPr>
          <w:b/>
        </w:rPr>
        <w:t xml:space="preserve">Ergebnis: </w:t>
      </w:r>
      <w:r>
        <w:t>23 von 29 Patienten (79,3%) zeigten spirituelle Belastung, 6 Patienten (20,7%) spirituelles Wohlbefinden. Spirituell belastete Patienten äußerten signifikant mehr Angst und Komplikationserwartungen, während spirituell stabile Patienten Chirurgie als Genesung wahrnahmen. Diese Befunde unterstreichen die Bedeutung routinemäßiger spiritueller Unterstützung in der perioperativen Versorgung.</w:t>
      </w:r>
    </w:p>
    <w:p>
      <w:r>
        <w:rPr>
          <w:b/>
          <w:sz w:val="19"/>
        </w:rPr>
        <w:t xml:space="preserve">Übertragbarkeit: </w:t>
      </w:r>
      <w:r>
        <w:rPr>
          <w:sz w:val="19"/>
        </w:rPr>
        <w:t>Qualitativ und systemunabhängig; konzeptualisiert patientenzentrierte Ergebnisse.</w:t>
      </w:r>
    </w:p>
    <w:p>
      <w:r>
        <w:rPr>
          <w:color w:val="5A7D3A"/>
          <w:sz w:val="18"/>
        </w:rPr>
        <w:t>https://pubmed.ncbi.nlm.nih.gov/42632276/</w:t>
      </w:r>
    </w:p>
    <w:p>
      <w:pPr>
        <w:pStyle w:val="Heading2"/>
      </w:pPr>
      <w:r>
        <w:t>Nicht-englische Sprachpräferenz und ICU-Aufnahmen über Notfallabteilungen: US-Analyse</w:t>
      </w:r>
    </w:p>
    <w:p>
      <w:r>
        <w:rPr>
          <w:i/>
          <w:color w:val="666666"/>
          <w:sz w:val="18"/>
        </w:rPr>
        <w:t>Kelleher DP et al.  ·  J Emerg Nurs  ·  22.08.2026  ·  PMID 42631682</w:t>
      </w:r>
    </w:p>
    <w:p>
      <w:r>
        <w:t>Longitudinale Kohortenstudie zum Vergleich von ICU-Aufnahmen zwischen Patienten mit nicht-englischer Sprachpräferenz und englischsprachigen Patienten.</w:t>
      </w:r>
    </w:p>
    <w:p>
      <w:r>
        <w:rPr>
          <w:b/>
        </w:rPr>
        <w:t xml:space="preserve">Ergebnis: </w:t>
      </w:r>
      <w:r>
        <w:t>Patienten mit nicht-englischer Sprachpräferenz hatten 99% höhere Aufnahmewahrscheinlichkeit auf die Intensivstation (OR = 1,99, 95% KI 1,63-2,42; p &lt; 0,001). Kein signifikanter Unterschied bei Verweildauer auf ICU oder im Krankenhaus. Ergebnis deutet auf diskriminierende oder ungleiche Zugangssteuerungsmechanismen hin.</w:t>
      </w:r>
    </w:p>
    <w:p>
      <w:r>
        <w:rPr>
          <w:b/>
          <w:sz w:val="19"/>
        </w:rPr>
        <w:t xml:space="preserve">Übertragbarkeit: </w:t>
      </w:r>
      <w:r>
        <w:rPr>
          <w:sz w:val="19"/>
        </w:rPr>
        <w:t>USA-Daten, Fragestellung aber zur gesundheitlichen Chancengleichheit systemunabhängig.</w:t>
      </w:r>
    </w:p>
    <w:p>
      <w:r>
        <w:rPr>
          <w:color w:val="5A7D3A"/>
          <w:sz w:val="18"/>
        </w:rPr>
        <w:t>https://pubmed.ncbi.nlm.nih.gov/42631682/</w:t>
      </w:r>
    </w:p>
    <w:p>
      <w:pPr>
        <w:pStyle w:val="Heading2"/>
      </w:pPr>
      <w:r>
        <w:t>ABC-Pathway-Adherence und kardiovaskuläre Ereignisse bei Vorhofflimmern: Asiatische Register-Analyse</w:t>
      </w:r>
    </w:p>
    <w:p>
      <w:r>
        <w:rPr>
          <w:i/>
          <w:color w:val="666666"/>
          <w:sz w:val="18"/>
        </w:rPr>
        <w:t>Bucci T et al.  ·  JACC Asia  ·  30.07.2026  ·  PMID 42631669</w:t>
      </w:r>
    </w:p>
    <w:p>
      <w:r>
        <w:t>Clusteranalyse von 3.468 asiatischen Patienten mit Vorhofflimmern zur Identifikation klinischer Phänotypen und zum Nachweis der Assoziation zwischen ABC-Pathway-Therapieadhärenz und Outcomes.</w:t>
      </w:r>
    </w:p>
    <w:p>
      <w:r>
        <w:rPr>
          <w:b/>
        </w:rPr>
        <w:t xml:space="preserve">Ergebnis: </w:t>
      </w:r>
      <w:r>
        <w:t>Fünf Cluster identifiziert mit gestuftem Risiko; ABC-Pathway-Adhärenz war mit niedrigerem Primärergebnis-Risiko assoziiert (HR 0,53, 95% KI 0,38-0,74), unabhängig vom Phänotyp. Ältere Patienten mit hoher kardiovaskulärer Belastung oder Herzinsuffizienz zeigten höchstes Risiko (HR 3,33-4,15 vs. junge Patientengruppe).</w:t>
      </w:r>
    </w:p>
    <w:p>
      <w:r>
        <w:rPr>
          <w:b/>
          <w:sz w:val="19"/>
        </w:rPr>
        <w:t xml:space="preserve">Übertragbarkeit: </w:t>
      </w:r>
      <w:r>
        <w:rPr>
          <w:sz w:val="19"/>
        </w:rPr>
        <w:t>Asien-Pazifik; Versorgungsqualität und Stratifikation auch für andere Systeme relevant.</w:t>
      </w:r>
    </w:p>
    <w:p>
      <w:r>
        <w:rPr>
          <w:color w:val="5A7D3A"/>
          <w:sz w:val="18"/>
        </w:rPr>
        <w:t>https://pubmed.ncbi.nlm.nih.gov/42631669/</w:t>
      </w:r>
    </w:p>
    <w:p>
      <w:pPr>
        <w:pStyle w:val="Heading2"/>
      </w:pPr>
      <w:r>
        <w:t>High-Dose High-Intensity Neurorehabilitation nach Schlaganfall: Konsens-Empfehlungen</w:t>
      </w:r>
    </w:p>
    <w:p>
      <w:r>
        <w:rPr>
          <w:i/>
          <w:color w:val="666666"/>
          <w:sz w:val="18"/>
        </w:rPr>
        <w:t>Branscheidt M et al.  ·  Int J Stroke  ·  22.08.2026  ·  PMID 42631575</w:t>
      </w:r>
    </w:p>
    <w:p>
      <w:r>
        <w:t>Internationale Konsensusfindung zur Identifizierung von Barrieren und Lösungen für die Umsetzung von intensiver Schlaganfall-Neurorehabilitation.</w:t>
      </w:r>
    </w:p>
    <w:p>
      <w:r>
        <w:rPr>
          <w:b/>
        </w:rPr>
        <w:t xml:space="preserve">Ergebnis: </w:t>
      </w:r>
      <w:r>
        <w:t>Vier Hauptbarrieren für Umsetzung: (1) Wissenslücke zu HDHI-Mechanismen, (2) Lieferketten- und Kapazitätsbeschränkungen, (3) Widerstand trotz Evidenz durch Zeitdruck und mangelnde administrative Unterstützung, (4) systemische Enabler unzureichend. Empfehlungen: Home-basierte Hybrid-Pathways, Reimbursement-Alignment und Infrastruktur für Kontinuität.</w:t>
      </w:r>
    </w:p>
    <w:p>
      <w:r>
        <w:rPr>
          <w:b/>
          <w:sz w:val="19"/>
        </w:rPr>
        <w:t xml:space="preserve">Übertragbarkeit: </w:t>
      </w:r>
      <w:r>
        <w:rPr>
          <w:sz w:val="19"/>
        </w:rPr>
        <w:t>Internationale Expertengruppe; Implementierungsforschung systemunabhängig.</w:t>
      </w:r>
    </w:p>
    <w:p>
      <w:r>
        <w:rPr>
          <w:color w:val="5A7D3A"/>
          <w:sz w:val="18"/>
        </w:rPr>
        <w:t>https://pubmed.ncbi.nlm.nih.gov/42631575/</w:t>
      </w:r>
    </w:p>
    <w:p>
      <w:pPr>
        <w:pStyle w:val="Heading1"/>
      </w:pPr>
      <w:r>
        <w:t>Aufgenommen am 22.08.2026</w:t>
      </w:r>
    </w:p>
    <w:p>
      <w:pPr>
        <w:pStyle w:val="Heading2"/>
      </w:pPr>
      <w:r>
        <w:t>Nosokomiale Infektionen und Antibiotikaresistenz im asiatischen Überwachungsnetz (ACORN-HAI)</w:t>
      </w:r>
    </w:p>
    <w:p>
      <w:r>
        <w:rPr>
          <w:i/>
          <w:color w:val="666666"/>
          <w:sz w:val="18"/>
        </w:rPr>
        <w:t>Mo Y et al.  ·  Lancet Infect Dis  ·  21.08.2026  ·  PMID 42628558</w:t>
      </w:r>
    </w:p>
    <w:p>
      <w:r>
        <w:t>Multinationale prospektive Kohortenstudie in 41 Krankenhäusern über 19 Länder in Asien zur Epidemiologie antimikrobieller Resistenz bei Healthcare-assoziierten Infektionen.</w:t>
      </w:r>
    </w:p>
    <w:p>
      <w:r>
        <w:rPr>
          <w:b/>
        </w:rPr>
        <w:t xml:space="preserve">Ergebnis: </w:t>
      </w:r>
      <w:r>
        <w:t>Von 9.642 analysierten Infektionsepisoden waren 73,7% mit resistenten Bakterien assoziiert. Gesamtsterblichkeit bei Gram-negativen Resistenzen: 37,7% (AMR) vs. 40,6% (Multiresistenz). Carbapenem-resistente Acinetobacter (CRA) und Enterobacterales (CRE) zeigten höchste Mortalität: CRA 51,3%, CRE 48,4%; attributable Mortalität CRA 19,4% (95% CI 14,1–24,7), CRE 16,2% (95% CI 12,8–19,6).</w:t>
      </w:r>
    </w:p>
    <w:p>
      <w:r>
        <w:rPr>
          <w:b/>
          <w:sz w:val="19"/>
        </w:rPr>
        <w:t xml:space="preserve">Übertragbarkeit: </w:t>
      </w:r>
      <w:r>
        <w:rPr>
          <w:sz w:val="19"/>
        </w:rPr>
        <w:t>Asiatische Länder mit Ressourcenengpässen, aber Daten zur Antimikrobial Stewardship systemunabhängig relevant</w:t>
      </w:r>
    </w:p>
    <w:p>
      <w:r>
        <w:rPr>
          <w:color w:val="5A7D3A"/>
          <w:sz w:val="18"/>
        </w:rPr>
        <w:t>https://pubmed.ncbi.nlm.nih.gov/42628558/</w:t>
      </w:r>
    </w:p>
    <w:p>
      <w:pPr>
        <w:pStyle w:val="Heading2"/>
      </w:pPr>
      <w:r>
        <w:t>Auswirkungen von nationaler kognitiver Screening auf Demenzversorgung und Hospitalisierung in Südkorea</w:t>
      </w:r>
    </w:p>
    <w:p>
      <w:r>
        <w:rPr>
          <w:i/>
          <w:color w:val="666666"/>
          <w:sz w:val="18"/>
        </w:rPr>
        <w:t>Lim JH et al.  ·  Alzheimers Dement  ·  Aug. 2026  ·  PMID 42625505</w:t>
      </w:r>
    </w:p>
    <w:p>
      <w:r>
        <w:t>Südkorea: Kohortenstudie zur Auswirkung eines 2007 eingeführten nationalen kognitiven Screening-Programms auf nachfolgende Demenzversorgung und Hospitalisierung.</w:t>
      </w:r>
    </w:p>
    <w:p>
      <w:r>
        <w:rPr>
          <w:b/>
        </w:rPr>
        <w:t xml:space="preserve">Ergebnis: </w:t>
      </w:r>
      <w:r>
        <w:t>Kognitive Früherkennung war mit einer 37% höheren Wahrscheinlichkeit für Demenzbehandlung innerhalb von 2 Jahren (p&lt;0,001) und einem 12% niedrigerem Risiko für demenzbedingte Hospitalisierung innerhalb von 10 Jahren assoziiert. Baseline: 1,4% erhielten Demenzbehandlung, 3,0% wurden hospitalisiert.</w:t>
      </w:r>
    </w:p>
    <w:p>
      <w:r>
        <w:rPr>
          <w:b/>
          <w:sz w:val="19"/>
        </w:rPr>
        <w:t xml:space="preserve">Übertragbarkeit: </w:t>
      </w:r>
      <w:r>
        <w:rPr>
          <w:sz w:val="19"/>
        </w:rPr>
        <w:t>Asiatisches System mit Screening-Struktur, aber steuerfinanziert - Fragestellung zur Frühdiagnose systemunabhängig relevant</w:t>
      </w:r>
    </w:p>
    <w:p>
      <w:r>
        <w:rPr>
          <w:color w:val="5A7D3A"/>
          <w:sz w:val="18"/>
        </w:rPr>
        <w:t>https://pubmed.ncbi.nlm.nih.gov/42625505/</w:t>
      </w:r>
    </w:p>
    <w:p>
      <w:pPr>
        <w:pStyle w:val="Heading2"/>
      </w:pPr>
      <w:r>
        <w:t>Nutzerbewertung KI-generierter und menschlicher Antworten in digitaler Gesundheitskommunikation</w:t>
      </w:r>
    </w:p>
    <w:p>
      <w:r>
        <w:rPr>
          <w:i/>
          <w:color w:val="666666"/>
          <w:sz w:val="18"/>
        </w:rPr>
        <w:t>Schulz C et al.  ·  BMC Health Serv Res  ·  19.08.2026  ·  PMID 42618915</w:t>
      </w:r>
    </w:p>
    <w:p>
      <w:r>
        <w:t>Deutschland: Paired-Survey-Studie, in der Nutzer ChatGPT-4-generierte und von einem Physiotherapeuten verfasste Antworten auf Gesundheitsfragen vergleichend bewerteten.</w:t>
      </w:r>
    </w:p>
    <w:p>
      <w:r>
        <w:rPr>
          <w:b/>
        </w:rPr>
        <w:t xml:space="preserve">Ergebnis: </w:t>
      </w:r>
      <w:r>
        <w:t>Über die meisten Kriterien hinweg wurde die KI-Antwort besser bewertet als die menschliche, besonders bei Empathie und Verständlichkeit (alle p&lt;0,001). Expert-Rating favorisierte auch die KI-Antwort in Bezug auf Richtigkeit und Vollständigkeit, obwohl Längen und Struktur differierten. Teilnehmerzahl n=224.</w:t>
      </w:r>
    </w:p>
    <w:p>
      <w:r>
        <w:rPr>
          <w:b/>
          <w:sz w:val="19"/>
        </w:rPr>
        <w:t xml:space="preserve">Übertragbarkeit: </w:t>
      </w:r>
      <w:r>
        <w:rPr>
          <w:sz w:val="19"/>
        </w:rPr>
        <w:t>Deutsche Studie in Healthcare-System kontextualisiert; Aussage zu Nutzerpräferenz systemabhängig, aber zur Kommunikationsqualität relevant</w:t>
      </w:r>
    </w:p>
    <w:p>
      <w:r>
        <w:rPr>
          <w:color w:val="5A7D3A"/>
          <w:sz w:val="18"/>
        </w:rPr>
        <w:t>https://pubmed.ncbi.nlm.nih.gov/42618915/</w:t>
      </w:r>
    </w:p>
    <w:p>
      <w:pPr>
        <w:pStyle w:val="Heading1"/>
      </w:pPr>
      <w:r>
        <w:t>Aufgenommen am 21.08.2026</w:t>
      </w:r>
    </w:p>
    <w:p>
      <w:pPr>
        <w:pStyle w:val="Heading2"/>
      </w:pPr>
      <w:r>
        <w:t>Vergütungstyp von Hausärzten und Antibiotikaverordnungen: Analyse von Patienten­wechseln mit Routinedaten</w:t>
      </w:r>
    </w:p>
    <w:p>
      <w:r>
        <w:rPr>
          <w:i/>
          <w:color w:val="666666"/>
          <w:sz w:val="18"/>
        </w:rPr>
        <w:t>Kraft KB et al.  ·  Scand J Prim Health Care  ·  20.08.2026  ·  PMID 42622517</w:t>
      </w:r>
    </w:p>
    <w:p>
      <w:r>
        <w:t>Norwegische Studie zu Auswirkungen verschiedener Vergütungsformen (Fee-for-Service vs. Gehalt) auf die Antibiotikaverordnungen bei Patienten, die die Hausarztpraxis wechselten.</w:t>
      </w:r>
    </w:p>
    <w:p>
      <w:r>
        <w:rPr>
          <w:b/>
        </w:rPr>
        <w:t xml:space="preserve">Ergebnis: </w:t>
      </w:r>
      <w:r>
        <w:t>Patienten, die von einem Allgemeinarzt mit Fee-for-Service zu einem salariierten Arzt wechselten, reduzierten ihre monatliche Antibiotikanutzung um 21 definierte Tagesdosen pro 1000 Patienten (SD=7); umgekehrt erhöhte sich die Nutzung um 85 DDD pro 1000 Patienten (SD=20) beim Wechsel zu Fee-for-Service. Dies deutet darauf hin, dass die Vergütungsform einen signifikanten Effekt auf das Verschreibungsverhalten hat.</w:t>
      </w:r>
    </w:p>
    <w:p>
      <w:r>
        <w:rPr>
          <w:b/>
          <w:sz w:val="19"/>
        </w:rPr>
        <w:t xml:space="preserve">Übertragbarkeit: </w:t>
      </w:r>
      <w:r>
        <w:rPr>
          <w:sz w:val="19"/>
        </w:rPr>
        <w:t>Niederlande, Belgien, Frankreich: vergleichbare Sozialversicherungssysteme mit Capitation und FFS</w:t>
      </w:r>
    </w:p>
    <w:p>
      <w:r>
        <w:rPr>
          <w:color w:val="5A7D3A"/>
          <w:sz w:val="18"/>
        </w:rPr>
        <w:t>https://pubmed.ncbi.nlm.nih.gov/42622517/</w:t>
      </w:r>
    </w:p>
    <w:p>
      <w:pPr>
        <w:pStyle w:val="Heading2"/>
      </w:pPr>
      <w:r>
        <w:t>Übergang von medizinischer zu beruflicher Rehabilitation in Deutschland: Erfahrungen der Rehabilitanden</w:t>
      </w:r>
    </w:p>
    <w:p>
      <w:r>
        <w:rPr>
          <w:i/>
          <w:color w:val="666666"/>
          <w:sz w:val="18"/>
        </w:rPr>
        <w:t>Wengemuth E et al.  ·  Front Rehabil Sci  ·  05.08.2026  ·  PMID 42621103</w:t>
      </w:r>
    </w:p>
    <w:p>
      <w:r>
        <w:t>Explorative Mixed-Methods-Studie über Erfahrungen von Rehabilitanden beim Übergang von medizinischer zu beruflicher Rehabilitation in Deutschland mit quantitativen und qualitativen Datenerfassungsmethoden.</w:t>
      </w:r>
    </w:p>
    <w:p>
      <w:r>
        <w:rPr>
          <w:b/>
        </w:rPr>
        <w:t xml:space="preserve">Ergebnis: </w:t>
      </w:r>
      <w:r>
        <w:t>Von 61 Befragten berichteten etwa 50 %, über berufliche Rehabilitation während medizinischer Rehabilitation informiert worden zu sein; deutlich weniger erhielten praktische Unterstützung (z.B. Antragshilfe). Hausärzte und Fachärzte wurden von etwa 60 % als unterstützend empfunden, Arbeitgeber als am wenigsten hilfreich. Knapp zwei Drittel fühlten sich selbstbestimmt bei der Wahl und beim Beginn des beruflichen Rehabilitationsprogramms, einige berichteten aber von Druck. Mangelnde Kooperation zwischen Akteuren erschwerte den Übergang.</w:t>
      </w:r>
    </w:p>
    <w:p>
      <w:r>
        <w:rPr>
          <w:b/>
          <w:sz w:val="19"/>
        </w:rPr>
        <w:t xml:space="preserve">Übertragbarkeit: </w:t>
      </w:r>
      <w:r>
        <w:rPr>
          <w:sz w:val="19"/>
        </w:rPr>
        <w:t>Deutsche Routinedaten, deutsches Rehabilitationssystem direkt relevant</w:t>
      </w:r>
    </w:p>
    <w:p>
      <w:r>
        <w:rPr>
          <w:color w:val="5A7D3A"/>
          <w:sz w:val="18"/>
        </w:rPr>
        <w:t>https://pubmed.ncbi.nlm.nih.gov/42621103/</w:t>
      </w:r>
    </w:p>
    <w:p>
      <w:pPr>
        <w:pStyle w:val="Heading2"/>
      </w:pPr>
      <w:r>
        <w:t>Öffentliche Gesundheitskommunikation während COVID-19 in Stockholm: Community-Engagement für Migranten</w:t>
      </w:r>
    </w:p>
    <w:p>
      <w:r>
        <w:rPr>
          <w:i/>
          <w:color w:val="666666"/>
          <w:sz w:val="18"/>
        </w:rPr>
        <w:t>Strand M et al.  ·  BMC Health Serv Res  ·  18.08.2026  ·  PMID 42618922</w:t>
      </w:r>
    </w:p>
    <w:p>
      <w:r>
        <w:t>Qualitative Studie über die Entwicklung und Umsetzung von Krisenkommunikationsmaterialien für migrationsgeprägte Gemeinschaften in Stockholm während der COVID-19-Pandemie.</w:t>
      </w:r>
    </w:p>
    <w:p>
      <w:r>
        <w:rPr>
          <w:b/>
        </w:rPr>
        <w:t xml:space="preserve">Ergebnis: </w:t>
      </w:r>
      <w:r>
        <w:t>Vier Hauptthemen zeigten zeitliche Entwicklung: Frühe Phase fokussierte auf Sprachübersetzung standardisierter Botschaften, verlagerte sich aber zu dialogbasierter Einbindung. Wichtige Erkenntnisse waren Vertrauensaufbau durch Community-Stakeholder, Adressierung struktureller Barrieren statt fehlenden Verständnisses, Stigmabekämpfung und kreative Problemlösung. Viele Fachleute äußerten Bedenken, dass etablierte Netzwerke und gewonnene Erkenntnisse verloren gingen.</w:t>
      </w:r>
    </w:p>
    <w:p>
      <w:r>
        <w:rPr>
          <w:b/>
          <w:sz w:val="19"/>
        </w:rPr>
        <w:t xml:space="preserve">Übertragbarkeit: </w:t>
      </w:r>
      <w:r>
        <w:rPr>
          <w:sz w:val="19"/>
        </w:rPr>
        <w:t>Skandinavien, steuerfinanziert: Erkenntnisse zu Prozessen und Patientenperspektive übertragbar</w:t>
      </w:r>
    </w:p>
    <w:p>
      <w:r>
        <w:rPr>
          <w:color w:val="5A7D3A"/>
          <w:sz w:val="18"/>
        </w:rPr>
        <w:t>https://pubmed.ncbi.nlm.nih.gov/42618922/</w:t>
      </w:r>
    </w:p>
    <w:p>
      <w:pPr>
        <w:pStyle w:val="Heading2"/>
      </w:pPr>
      <w:r>
        <w:t>Abbildung der HoNOS auf die EQ-5D-5L zur QALY-Berechnung in der Psychiatrie</w:t>
      </w:r>
    </w:p>
    <w:p>
      <w:r>
        <w:rPr>
          <w:i/>
          <w:color w:val="666666"/>
          <w:sz w:val="18"/>
        </w:rPr>
        <w:t>Lamu AN et al.  ·  Med Decis Making  ·  13.08.2026  ·  PMID 42596686</w:t>
      </w:r>
    </w:p>
    <w:p>
      <w:r>
        <w:t>Mapping-Studie zur Vorhersage von EQ-5D-5L-Werten aus der Health of the Nation Outcome Scales (HoNOS) bei Erwachsenen mit schweren psychischen Erkrankungen für die gesundheitsökonomische Bewertung.</w:t>
      </w:r>
    </w:p>
    <w:p>
      <w:r>
        <w:rPr>
          <w:b/>
        </w:rPr>
        <w:t xml:space="preserve">Ergebnis: </w:t>
      </w:r>
      <w:r>
        <w:t>Vier ökonometrische Verfahren wurden getestet; das Fractional Regression Model (FRM) zeigte beste Performance. In der 10-fach-Kreuzvalidierung mit deutschen EQ-5D-5L-Werten erreichte FRM: RMSE=0,2204, MAE=0,1622, r²=36,5 %. Das Modell ermöglicht QALY-Schätzungen aus HoNOS-Daten und eröffnet wirtschaftliche Bewertungen von psychischen Gesundheitsinterventionen, wenn nur HoNOS-Informationen verfügbar sind.</w:t>
      </w:r>
    </w:p>
    <w:p>
      <w:r>
        <w:rPr>
          <w:b/>
          <w:sz w:val="19"/>
        </w:rPr>
        <w:t xml:space="preserve">Übertragbarkeit: </w:t>
      </w:r>
      <w:r>
        <w:rPr>
          <w:sz w:val="19"/>
        </w:rPr>
        <w:t>Deutschland, methodisches Instrument für deutschsprachige Gesundheitsökonomie</w:t>
      </w:r>
    </w:p>
    <w:p>
      <w:r>
        <w:rPr>
          <w:color w:val="5A7D3A"/>
          <w:sz w:val="18"/>
        </w:rPr>
        <w:t>https://pubmed.ncbi.nlm.nih.gov/42596686/</w:t>
      </w:r>
    </w:p>
    <w:p>
      <w:pPr>
        <w:pStyle w:val="Heading1"/>
      </w:pPr>
      <w:r>
        <w:t>Aufgenommen am 20.08.2026</w:t>
      </w:r>
    </w:p>
    <w:p>
      <w:pPr>
        <w:pStyle w:val="Heading2"/>
      </w:pPr>
      <w:r>
        <w:t>Vorbereitung auf zukünftige Pandemien: Befähigung und Unterstützungsbedarf des Pflegepersonals im Querschnitt</w:t>
      </w:r>
    </w:p>
    <w:p>
      <w:r>
        <w:rPr>
          <w:i/>
          <w:color w:val="666666"/>
          <w:sz w:val="18"/>
        </w:rPr>
        <w:t>Noorland SA et al.  ·  Nurs Outlook  ·  19.08.2026  ·  PMID 42617414</w:t>
      </w:r>
    </w:p>
    <w:p>
      <w:r>
        <w:t>Eine niederländische Querschnittsstudie untersuchte die mentale Leistungsfähigkeit des Pflegepersonals für zukünftige Pandemien, deren psychische Gesundheit nach COVID-19 und deren Vorlieben für psychosoziale Unterstützung.</w:t>
      </w:r>
    </w:p>
    <w:p>
      <w:r>
        <w:rPr>
          <w:b/>
        </w:rPr>
        <w:t xml:space="preserve">Ergebnis: </w:t>
      </w:r>
      <w:r>
        <w:t>90,4 % fühlten sich mental fähig, während einer zukünftigen Pandemie zu arbeiten. Die mentale Gesundheit war generell gut (Median MHI-5: 84) und positiv assoziiert mit höherer wahrgenommener Fähigkeit. Das Personal bevorzugte Peer-basierte Unterstützung (Gruppengespräche, moralische Fallberatungen, Partnerschaft mit Kollegen) gegenüber Einzelgesprächen und Stressmanagement-Schulungen.</w:t>
      </w:r>
    </w:p>
    <w:p>
      <w:r>
        <w:rPr>
          <w:b/>
          <w:sz w:val="19"/>
        </w:rPr>
        <w:t xml:space="preserve">Übertragbarkeit: </w:t>
      </w:r>
      <w:r>
        <w:rPr>
          <w:sz w:val="19"/>
        </w:rPr>
        <w:t>Niederlande, vergleichbares Sozialversicherungssystem, hohe Übertragbarkeit für Pflegepersonalentwicklung</w:t>
      </w:r>
    </w:p>
    <w:p>
      <w:r>
        <w:rPr>
          <w:color w:val="5A7D3A"/>
          <w:sz w:val="18"/>
        </w:rPr>
        <w:t>https://pubmed.ncbi.nlm.nih.gov/42617414/</w:t>
      </w:r>
    </w:p>
    <w:p>
      <w:pPr>
        <w:pStyle w:val="Heading2"/>
      </w:pPr>
      <w:r>
        <w:t>Datensouveränität in der Langzeitpflege: Mixed-Methods-Studie zur Reifegradbeurteilung</w:t>
      </w:r>
    </w:p>
    <w:p>
      <w:r>
        <w:rPr>
          <w:i/>
          <w:color w:val="666666"/>
          <w:sz w:val="18"/>
        </w:rPr>
        <w:t>Bouchmal S et al.  ·  J Med Internet Res  ·  19.08.2026  ·  PMID 42617155</w:t>
      </w:r>
    </w:p>
    <w:p>
      <w:r>
        <w:t>Eine niederländische Mixed-Methods-Studie in drei Langzeitpflege-Organisationen untersuchte deren Fähigkeit zur Nutzung von Daten für Entscheidungen und Qualitätsverbesserungen.</w:t>
      </w:r>
    </w:p>
    <w:p>
      <w:r>
        <w:rPr>
          <w:b/>
        </w:rPr>
        <w:t xml:space="preserve">Ergebnis: </w:t>
      </w:r>
      <w:r>
        <w:t>Organisationen wiesen niedrige Datenreife auf. Bereiche Strategie, Governance und Datenqualität waren durchgehend niedrig. Vier Themen wurden identifiziert: fehlende klare Vision (Datenreife niedrig), Datenkultur als Voraussetzung, begrenzte Interdisziplinarität und Infrastruktur- sowie kulturelle Hürden hemmen nachhaltige Nutzung.</w:t>
      </w:r>
    </w:p>
    <w:p>
      <w:r>
        <w:rPr>
          <w:b/>
          <w:sz w:val="19"/>
        </w:rPr>
        <w:t xml:space="preserve">Übertragbarkeit: </w:t>
      </w:r>
      <w:r>
        <w:rPr>
          <w:sz w:val="19"/>
        </w:rPr>
        <w:t>Niederlande, Langzeitpflege-Setting, hohe Übertragbarkeit auf deutsche Altenheime</w:t>
      </w:r>
    </w:p>
    <w:p>
      <w:r>
        <w:rPr>
          <w:color w:val="5A7D3A"/>
          <w:sz w:val="18"/>
        </w:rPr>
        <w:t>https://pubmed.ncbi.nlm.nih.gov/42617155/</w:t>
      </w:r>
    </w:p>
    <w:p>
      <w:pPr>
        <w:pStyle w:val="Heading2"/>
      </w:pPr>
      <w:r>
        <w:t>Kosteneffektivität der Herpes-zoster-Impfung bei rheumatoider Arthritis</w:t>
      </w:r>
    </w:p>
    <w:p>
      <w:r>
        <w:rPr>
          <w:i/>
          <w:color w:val="666666"/>
          <w:sz w:val="18"/>
        </w:rPr>
        <w:t>Hagen G et al.  ·  Rheumatology (Oxford)  ·  19.08.2026  ·  PMID 42616666</w:t>
      </w:r>
    </w:p>
    <w:p>
      <w:r>
        <w:t>Eine norwegische Markov-Modellierungsstudie bewertete die Kosteneffektivität der adjuvantierten rekombinanten Zoster-Impfung (RZV) bei RA-Patienten.</w:t>
      </w:r>
    </w:p>
    <w:p>
      <w:r>
        <w:rPr>
          <w:b/>
        </w:rPr>
        <w:t xml:space="preserve">Ergebnis: </w:t>
      </w:r>
      <w:r>
        <w:t>RZV vermied 2.550 HZ-Fälle und 1.303 PHN-Fälle pro 10.000 RA-Patienten, ICER von 11.205 EUR/QALY (unter Schwellenwert von 23.650 EUR/QALY). Probabilistische Analyse zeigte 98 % Wahrscheinlichkeit der Kosteneffektivität. Sensitivitätsanalysen zeigten Robustheit der Ergebnisse.</w:t>
      </w:r>
    </w:p>
    <w:p>
      <w:r>
        <w:rPr>
          <w:b/>
          <w:sz w:val="19"/>
        </w:rPr>
        <w:t xml:space="preserve">Übertragbarkeit: </w:t>
      </w:r>
      <w:r>
        <w:rPr>
          <w:sz w:val="19"/>
        </w:rPr>
        <w:t>Norwegen, skandinavisches Steuersystem, gut übertragbar für Vakzinations- und Preventiv-Fragen</w:t>
      </w:r>
    </w:p>
    <w:p>
      <w:r>
        <w:rPr>
          <w:color w:val="5A7D3A"/>
          <w:sz w:val="18"/>
        </w:rPr>
        <w:t>https://pubmed.ncbi.nlm.nih.gov/42616666/</w:t>
      </w:r>
    </w:p>
    <w:p>
      <w:pPr>
        <w:pStyle w:val="Heading2"/>
      </w:pPr>
      <w:r>
        <w:t>Förderung von Autonomie in Zwangsbetreuung: Vergleichende Analyse europäischer Gesetze in 27 Ländern</w:t>
      </w:r>
    </w:p>
    <w:p>
      <w:r>
        <w:rPr>
          <w:i/>
          <w:color w:val="666666"/>
          <w:sz w:val="18"/>
        </w:rPr>
        <w:t>Aluh DO et al.  ·  Soc Psychiatry Psychiatr Epidemiol  ·  19.08.2026  ·  PMID 42616064</w:t>
      </w:r>
    </w:p>
    <w:p>
      <w:r>
        <w:t>Vergleichende Analyse von Gesetzen aus 27 europäischen Jurisdiktionen zu Autonomie-fördernden Bestimmungen bei Zwangsbetreuung unter Berücksichtigung der UN-Behindertenrechtskonvention.</w:t>
      </w:r>
    </w:p>
    <w:p>
      <w:r>
        <w:rPr>
          <w:b/>
        </w:rPr>
        <w:t xml:space="preserve">Ergebnis: </w:t>
      </w:r>
      <w:r>
        <w:t>Alle 27 Legislationen beinhalten Maßnahmen zum Legalitätsprinzip, Berufungsrecht und rechtliche Unterstützung; Advance Healthcare Directives und Supported Decision-Making waren seltener verankert; Verfahrensschutzgarantien sind etabliert, aber signifikante Varianz bei anderen Autonomie-fördernden Mechanismen bleibt bestehen.</w:t>
      </w:r>
    </w:p>
    <w:p>
      <w:r>
        <w:rPr>
          <w:b/>
          <w:sz w:val="19"/>
        </w:rPr>
        <w:t xml:space="preserve">Übertragbarkeit: </w:t>
      </w:r>
      <w:r>
        <w:rPr>
          <w:sz w:val="19"/>
        </w:rPr>
        <w:t>Europäische Legislationen inklusive Deutschland, Österreich, Schweiz</w:t>
      </w:r>
    </w:p>
    <w:p>
      <w:r>
        <w:rPr>
          <w:color w:val="5A7D3A"/>
          <w:sz w:val="18"/>
        </w:rPr>
        <w:t>https://pubmed.ncbi.nlm.nih.gov/42616064/</w:t>
      </w:r>
    </w:p>
    <w:p>
      <w:pPr>
        <w:pStyle w:val="Heading2"/>
      </w:pPr>
      <w:r>
        <w:t>Resilienz der Impfversorgung in Äthiopien während COVID-19: Dezentralisierung schützt vor Ausfällen</w:t>
      </w:r>
    </w:p>
    <w:p>
      <w:r>
        <w:rPr>
          <w:i/>
          <w:color w:val="666666"/>
          <w:sz w:val="18"/>
        </w:rPr>
        <w:t>Gedefaw A et al.  ·  BMC Health Serv Res  ·  17.08.2026  ·  PMID 42613610</w:t>
      </w:r>
    </w:p>
    <w:p>
      <w:r>
        <w:t>Eine äthiopische Längsschnittstudie verglich die Impfversorgung über 18 Krankenhäuser, 132 Gesundheitszentren und 532 Gesundheitsposten während und vor der Pandemie.</w:t>
      </w:r>
    </w:p>
    <w:p>
      <w:r>
        <w:rPr>
          <w:b/>
        </w:rPr>
        <w:t xml:space="preserve">Ergebnis: </w:t>
      </w:r>
      <w:r>
        <w:t>Gesamtimpfquote stieg um 9,72 % (p=0,006) in den ersten 6 Monaten. Krankenhäuser fielen um 5,2 % ab (p=0,449), Gesundheitszentren stiegen um 7,96 % (p=0,015) und Posten um 11,5 % (p=0,002). Dezentralisierte Strukturen absorbierten Nachfrage nach Spitalauställen.</w:t>
      </w:r>
    </w:p>
    <w:p>
      <w:r>
        <w:rPr>
          <w:b/>
          <w:sz w:val="19"/>
        </w:rPr>
        <w:t xml:space="preserve">Übertragbarkeit: </w:t>
      </w:r>
      <w:r>
        <w:rPr>
          <w:sz w:val="19"/>
        </w:rPr>
        <w:t>Äthiopien, Low-Income-Setting - begrenzte Übertragbarkeit auf deutsche Strukturen mit anderen Ressourcen</w:t>
      </w:r>
    </w:p>
    <w:p>
      <w:r>
        <w:rPr>
          <w:color w:val="5A7D3A"/>
          <w:sz w:val="18"/>
        </w:rPr>
        <w:t>https://pubmed.ncbi.nlm.nih.gov/42613610/</w:t>
      </w:r>
    </w:p>
    <w:p>
      <w:pPr>
        <w:pStyle w:val="Heading2"/>
      </w:pPr>
      <w:r>
        <w:t>UN-Dekade für gesundes Altern: Perspektiven von älteren Menschen und Fachkräften in Norwegen</w:t>
      </w:r>
    </w:p>
    <w:p>
      <w:r>
        <w:rPr>
          <w:i/>
          <w:color w:val="666666"/>
          <w:sz w:val="18"/>
        </w:rPr>
        <w:t>Bikova M et al.  ·  BMC Health Serv Res  ·  14.08.2026  ·  PMID 42613606</w:t>
      </w:r>
    </w:p>
    <w:p>
      <w:r>
        <w:t>Eine norwegische qualitative Fallstudie mit 23 Interviews (Ältere, Fachkräfte, Entscheidungsträger) untersuchte die Umsetzung der UN-Decade of Healthy Ageing.</w:t>
      </w:r>
    </w:p>
    <w:p>
      <w:r>
        <w:rPr>
          <w:b/>
        </w:rPr>
        <w:t xml:space="preserve">Ergebnis: </w:t>
      </w:r>
      <w:r>
        <w:t>Kernthemen: Strategien zur Selbstbestimmung, ambivalente Alterswahrnehmung, Herausforderungen der Gesundheitsdienste. Digitalisierung als Barriere für inklusive Teilhabe identifiziert. Digitale Inklusion, intergenerationale Ansätze und Bekämpfung von Alterismus empfohlen.</w:t>
      </w:r>
    </w:p>
    <w:p>
      <w:r>
        <w:rPr>
          <w:b/>
          <w:sz w:val="19"/>
        </w:rPr>
        <w:t xml:space="preserve">Übertragbarkeit: </w:t>
      </w:r>
      <w:r>
        <w:rPr>
          <w:sz w:val="19"/>
        </w:rPr>
        <w:t>Norwegen, steuerfinanziertes System, mittel übertragbar für Fragen zur Versorgungsstruktur und Partizipation</w:t>
      </w:r>
    </w:p>
    <w:p>
      <w:r>
        <w:rPr>
          <w:color w:val="5A7D3A"/>
          <w:sz w:val="18"/>
        </w:rPr>
        <w:t>https://pubmed.ncbi.nlm.nih.gov/42613606/</w:t>
      </w:r>
    </w:p>
    <w:p>
      <w:pPr>
        <w:pStyle w:val="Heading1"/>
      </w:pPr>
      <w:r>
        <w:t>Aufgenommen am 19.08.2026</w:t>
      </w:r>
    </w:p>
    <w:p>
      <w:pPr>
        <w:pStyle w:val="Heading2"/>
      </w:pPr>
      <w:r>
        <w:t>Diagnostische Genauigkeit des PHQ-9 in der hausärztlichen Praxis bei Patienten mit Depressionsrisiken</w:t>
      </w:r>
    </w:p>
    <w:p>
      <w:r>
        <w:rPr>
          <w:i/>
          <w:color w:val="666666"/>
          <w:sz w:val="18"/>
        </w:rPr>
        <w:t>Thake M et al.  ·  Gen Hosp Psychiatry  ·  13.08.2026  ·  PMID 42612565</w:t>
      </w:r>
    </w:p>
    <w:p>
      <w:r>
        <w:t>Studie zur diagnostischen Genauigkeit des PHQ-9 für die Erkennung von Major Depression bei Hausarztpatienten mit unterschiedlichen Depressionsrisikofaktoren.</w:t>
      </w:r>
    </w:p>
    <w:p>
      <w:r>
        <w:rPr>
          <w:b/>
        </w:rPr>
        <w:t xml:space="preserve">Ergebnis: </w:t>
      </w:r>
      <w:r>
        <w:t>PHQ-9 zeigte hohe diagnostische Genauigkeit (AUC 0,92–0,97) in Primärversorgung. Optimal-Cutoffs variierten je nach Risikofaktoren (7–13 Punkte). Sensitivität 0,78–0,99; Spezifität 0,80–0,91; NPW 0,80–0,99. Ergebnisse unterstützen risikoadaptiertes Screening mittels PHQ-9 in der Hausarztpraxis.</w:t>
      </w:r>
    </w:p>
    <w:p>
      <w:r>
        <w:rPr>
          <w:b/>
          <w:sz w:val="19"/>
        </w:rPr>
        <w:t xml:space="preserve">Übertragbarkeit: </w:t>
      </w:r>
      <w:r>
        <w:rPr>
          <w:sz w:val="19"/>
        </w:rPr>
        <w:t>Deutsche Routinedaten aus Primärversorgung, gesetzlich Versicherte</w:t>
      </w:r>
    </w:p>
    <w:p>
      <w:r>
        <w:rPr>
          <w:color w:val="5A7D3A"/>
          <w:sz w:val="18"/>
        </w:rPr>
        <w:t>https://pubmed.ncbi.nlm.nih.gov/42612565/</w:t>
      </w:r>
    </w:p>
    <w:p>
      <w:pPr>
        <w:pStyle w:val="Heading2"/>
      </w:pPr>
      <w:r>
        <w:t>PROMIS GH-10 als Patient-Reported Outcome Maß in Rehabilitationskliniken: Mixed-Methods-Studie zur Implementierungseignung</w:t>
      </w:r>
    </w:p>
    <w:p>
      <w:r>
        <w:rPr>
          <w:i/>
          <w:color w:val="666666"/>
          <w:sz w:val="18"/>
        </w:rPr>
        <w:t>Utsch M et al.  ·  BMC Health Serv Res  ·  12.08.2026  ·  PMID 42608694</w:t>
      </w:r>
    </w:p>
    <w:p>
      <w:r>
        <w:t>Erprobung des PROMIS GH-10 zur Messung patientenberichteter Gesundheitsergebnisse in stationärer Schweizer Rehabilitation mit Fokus auf Responsivität und praktische Umsetzbarkeit.</w:t>
      </w:r>
    </w:p>
    <w:p>
      <w:r>
        <w:rPr>
          <w:b/>
        </w:rPr>
        <w:t xml:space="preserve">Ergebnis: </w:t>
      </w:r>
      <w:r>
        <w:t>2.083 Patienten, 1.217 vollständige Messungen. Signifikante Verbesserungen: Physische Gesundheit d=0,68 (p&lt;0,001); Psychische Gesundheit d=0,48 (p&lt;0,001). Effektstärken je Setting 0,50–0,95 bzw. 0,33–1,19. 41% der Patienten brauchten Unterstützung. Barrieren: Unsicherheit über Nutzen, fehlende Ressourcen. PROMIS GH-10 zeigte adäquate Responsivität.</w:t>
      </w:r>
    </w:p>
    <w:p>
      <w:r>
        <w:rPr>
          <w:b/>
          <w:sz w:val="19"/>
        </w:rPr>
        <w:t xml:space="preserve">Übertragbarkeit: </w:t>
      </w:r>
      <w:r>
        <w:rPr>
          <w:sz w:val="19"/>
        </w:rPr>
        <w:t>Schweiz, Sozialversicherungssystem, direkt auf deutsches System übertragbar</w:t>
      </w:r>
    </w:p>
    <w:p>
      <w:r>
        <w:rPr>
          <w:color w:val="5A7D3A"/>
          <w:sz w:val="18"/>
        </w:rPr>
        <w:t>https://pubmed.ncbi.nlm.nih.gov/42608694/</w:t>
      </w:r>
    </w:p>
    <w:p>
      <w:pPr>
        <w:pStyle w:val="Heading2"/>
      </w:pPr>
      <w:r>
        <w:t>Kosten-Nutzen-Parameter für Magnet®-Zertifizierung in deutschen Krankenhäusern</w:t>
      </w:r>
    </w:p>
    <w:p>
      <w:r>
        <w:rPr>
          <w:i/>
          <w:color w:val="666666"/>
          <w:sz w:val="18"/>
        </w:rPr>
        <w:t>Gurisch C et al.  ·  BMC Health Serv Res  ·  12.08.2026  ·  PMID 42608687</w:t>
      </w:r>
    </w:p>
    <w:p>
      <w:r>
        <w:t>Analyse relevanter Parameter für eine Kosten-Nutzen-Analyse der Magnet®-Designation (Organisationsintervention zur Verbesserung der Pflegefachkräftearbeitsbedingungen) im deutschen Kontext.</w:t>
      </w:r>
    </w:p>
    <w:p>
      <w:r>
        <w:rPr>
          <w:b/>
        </w:rPr>
        <w:t xml:space="preserve">Ergebnis: </w:t>
      </w:r>
      <w:r>
        <w:t>Potenzielle Kosten: ANCC-Gebühren, Benchmarking, Fortbildungen, Ressourcen und Datenverwaltung. Kostenersparnisse durch: Verbesserung pflegefachkraftsensibler Indikatoren, Personalindikatoren, Krankenhausleistung. Für Deutschland zusätzlich relevant: Kosten der Akademisierung von Pflegekräften und Datenmanagement. Erhebliche Datenlücken bremsen aktuelle Kosten-Nutzen-Analyse.</w:t>
      </w:r>
    </w:p>
    <w:p>
      <w:r>
        <w:rPr>
          <w:b/>
          <w:sz w:val="19"/>
        </w:rPr>
        <w:t xml:space="preserve">Übertragbarkeit: </w:t>
      </w:r>
      <w:r>
        <w:rPr>
          <w:sz w:val="19"/>
        </w:rPr>
        <w:t>Deutschland, deutsches Krankenhaussystem; deutsche Stakeholder-Interviews</w:t>
      </w:r>
    </w:p>
    <w:p>
      <w:r>
        <w:rPr>
          <w:color w:val="5A7D3A"/>
          <w:sz w:val="18"/>
        </w:rPr>
        <w:t>https://pubmed.ncbi.nlm.nih.gov/42608687/</w:t>
      </w:r>
    </w:p>
    <w:p>
      <w:pPr>
        <w:pStyle w:val="Heading2"/>
      </w:pPr>
      <w:r>
        <w:t>Erfahrungen von Nutzern mit Kriseninterventionen und Peer-Support in der Psychiatrie: qualitative Studie</w:t>
      </w:r>
    </w:p>
    <w:p>
      <w:r>
        <w:rPr>
          <w:i/>
          <w:color w:val="666666"/>
          <w:sz w:val="18"/>
        </w:rPr>
        <w:t>Oeltjen LK et al.  ·  BMC Health Serv Res  ·  11.08.2026  ·  PMID 42608682</w:t>
      </w:r>
    </w:p>
    <w:p>
      <w:r>
        <w:t>Qualitative Studie über Erfahrungen von Menschen mit schweren psychischen Erkrankungen während psychiatrischer Kriseninterventionen mit oder ohne Peer-Unterstützung.</w:t>
      </w:r>
    </w:p>
    <w:p>
      <w:r>
        <w:rPr>
          <w:b/>
        </w:rPr>
        <w:t xml:space="preserve">Ergebnis: </w:t>
      </w:r>
      <w:r>
        <w:t>25 Interviews. Als hilfreich erlebt: empathisches Zuhören, ruhige Kommunikation, transparente Erklärungen, Partizipation in Entscheidungen. Als belastend: konfrontative Kommunikation, unzureichende Information. Peer-Support: überwiegend positiv wahrgenommen wegen Authentizität und Hoffnungsgebung. Erfahrungen mit Polizei ambivalent. Strukturfaktoren (Kontinuität, Warteumgebung) prägten Erlebnis.</w:t>
      </w:r>
    </w:p>
    <w:p>
      <w:r>
        <w:rPr>
          <w:b/>
          <w:sz w:val="19"/>
        </w:rPr>
        <w:t xml:space="preserve">Übertragbarkeit: </w:t>
      </w:r>
      <w:r>
        <w:rPr>
          <w:sz w:val="19"/>
        </w:rPr>
        <w:t>Deutschland (Bremen), deutsches Sektor-Setting der Psychiatrie; qualitativ hochrelevant</w:t>
      </w:r>
    </w:p>
    <w:p>
      <w:r>
        <w:rPr>
          <w:color w:val="5A7D3A"/>
          <w:sz w:val="18"/>
        </w:rPr>
        <w:t>https://pubmed.ncbi.nlm.nih.gov/42608682/</w:t>
      </w:r>
    </w:p>
    <w:p>
      <w:pPr>
        <w:pStyle w:val="Heading2"/>
      </w:pPr>
      <w:r>
        <w:t>Vorhersagefaktoren von Überzeugungen zu Antipsychotika bei Psychosestörungen: longitudinale Beobachtungsstudie</w:t>
      </w:r>
    </w:p>
    <w:p>
      <w:r>
        <w:rPr>
          <w:i/>
          <w:color w:val="666666"/>
          <w:sz w:val="18"/>
        </w:rPr>
        <w:t>Skaare-Fatland K et al.  ·  Patient Prefer Adherence  ·  12.08.2026  ·  PMID 42605315</w:t>
      </w:r>
    </w:p>
    <w:p>
      <w:r>
        <w:t>Longitudinale Studie über Faktoren, die Notwendigkeits- und Besorgnis-Überzeugungen bezüglich antipsychotischer Medikamente bei psychotischen Störungen vorhersagen (12-Monats-Follow-up).</w:t>
      </w:r>
    </w:p>
    <w:p>
      <w:r>
        <w:rPr>
          <w:b/>
        </w:rPr>
        <w:t xml:space="preserve">Ergebnis: </w:t>
      </w:r>
      <w:r>
        <w:t>Baseline (N=310): Höhere Medikations-Unterstützung assoziiert mit höheren Notwendigkeits-Scores (β=0,18; 95% KI 0,04–0,33) und niedriger Besorgnis (β=-0,29; 95% KI -0,42 bis -0,16). Nach 12 Monaten: Notwendigkeits-Scores fielen (β=-0,35; 95% KI -0,60 bis -0,11), Besorgnis stiegen (β=0,25; 95% KI 0,05–0,45). Höhere Symptombelastung und Nebenwirkungen mit höherer Besorgnis assoziiert.</w:t>
      </w:r>
    </w:p>
    <w:p>
      <w:r>
        <w:rPr>
          <w:b/>
          <w:sz w:val="19"/>
        </w:rPr>
        <w:t xml:space="preserve">Übertragbarkeit: </w:t>
      </w:r>
      <w:r>
        <w:rPr>
          <w:sz w:val="19"/>
        </w:rPr>
        <w:t>Skandinavien (Norwegen), steuerfinanziert; Prozesse und Patientenperspektive relevant</w:t>
      </w:r>
    </w:p>
    <w:p>
      <w:r>
        <w:rPr>
          <w:color w:val="5A7D3A"/>
          <w:sz w:val="18"/>
        </w:rPr>
        <w:t>https://pubmed.ncbi.nlm.nih.gov/42605315/</w:t>
      </w:r>
    </w:p>
    <w:p>
      <w:pPr>
        <w:pStyle w:val="Heading1"/>
      </w:pPr>
      <w:r>
        <w:t>Aufgenommen am 18.08.2026</w:t>
      </w:r>
    </w:p>
    <w:p>
      <w:pPr>
        <w:pStyle w:val="Heading2"/>
      </w:pPr>
      <w:r>
        <w:t>Genomische Testung in der Nephrologie: Mainstreaming als effektives Versorgungsmodell</w:t>
      </w:r>
    </w:p>
    <w:p>
      <w:r>
        <w:rPr>
          <w:i/>
          <w:color w:val="666666"/>
          <w:sz w:val="18"/>
        </w:rPr>
        <w:t>Jayasinghe K et al.  ·  Clin J Am Soc Nephrol  ·  17.08.2026  ·  PMID 42606900</w:t>
      </w:r>
    </w:p>
    <w:p>
      <w:r>
        <w:t>Beobachtungsstudie an vier Zentren zur Evaluierung eines "hub and spoke"-Modells für genomische Testung bei Nierenkrankheiten mit Schulung niedergelassener Nephrologen.</w:t>
      </w:r>
    </w:p>
    <w:p>
      <w:r>
        <w:rPr>
          <w:b/>
        </w:rPr>
        <w:t xml:space="preserve">Ergebnis: </w:t>
      </w:r>
      <w:r>
        <w:t>1.028 genomische Tests wurden durchgeführt (diagnostische Ausbeute 34%); ähnlich erfolgreich in Zentren (32%) und bei lokalen Nephrologen (38%). Der Anteil der Tests in Mainstream-Nephrologie-Settings stieg von 23% auf 74%, während die Absolutzahlen in Spezialkliniken stabil blieben.</w:t>
      </w:r>
    </w:p>
    <w:p>
      <w:r>
        <w:rPr>
          <w:b/>
          <w:sz w:val="19"/>
        </w:rPr>
        <w:t xml:space="preserve">Übertragbarkeit: </w:t>
      </w:r>
      <w:r>
        <w:rPr>
          <w:sz w:val="19"/>
        </w:rPr>
        <w:t>Australische Daten, aber Implementierungsrahmen systemunabhängig auf deutsches Versorgungssystem übertragbar</w:t>
      </w:r>
    </w:p>
    <w:p>
      <w:r>
        <w:rPr>
          <w:color w:val="5A7D3A"/>
          <w:sz w:val="18"/>
        </w:rPr>
        <w:t>https://pubmed.ncbi.nlm.nih.gov/42606900/</w:t>
      </w:r>
    </w:p>
    <w:p>
      <w:pPr>
        <w:pStyle w:val="Heading2"/>
      </w:pPr>
      <w:r>
        <w:t>Sicherheit von Antikonvulsiva unter direkten oralen Antikoagulanzien bei Epilepsie</w:t>
      </w:r>
    </w:p>
    <w:p>
      <w:r>
        <w:rPr>
          <w:i/>
          <w:color w:val="666666"/>
          <w:sz w:val="18"/>
        </w:rPr>
        <w:t>Schubert KM et al.  ·  JAMA Neurol  ·  17.08.2026  ·  PMID 42606848</w:t>
      </w:r>
    </w:p>
    <w:p>
      <w:r>
        <w:t>Retrospektive Kohortenstudie mit TriNetX-Daten zu Thromboembolie-, Blutungs- und Mortalitätsrisiken verschiedener Antikonvulsiva bei Epilepsiepatienten unter DOAC-Therapie.</w:t>
      </w:r>
    </w:p>
    <w:p>
      <w:r>
        <w:rPr>
          <w:b/>
        </w:rPr>
        <w:t xml:space="preserve">Ergebnis: </w:t>
      </w:r>
      <w:r>
        <w:t>Levetiracetam war mit erhöhtem thromboembolischem Risiko assoziiert (HR 1,98; 95% CI 1,37–2,87) und höherer Mortalität (HR 1,60; 95% CI 1,23–2,08). Starke Enzym-induzierende ASMs zeigten erhöhtes thromboembolisches Risiko (HR 1,55), aber niedrigere Blutungsrate (HR 0,62).</w:t>
      </w:r>
    </w:p>
    <w:p>
      <w:r>
        <w:rPr>
          <w:b/>
          <w:sz w:val="19"/>
        </w:rPr>
        <w:t xml:space="preserve">Übertragbarkeit: </w:t>
      </w:r>
      <w:r>
        <w:rPr>
          <w:sz w:val="19"/>
        </w:rPr>
        <w:t>Internationale TriNetX-Daten, Arzneisicherheit-Fragestellung systemunabhängig relevant</w:t>
      </w:r>
    </w:p>
    <w:p>
      <w:r>
        <w:rPr>
          <w:color w:val="5A7D3A"/>
          <w:sz w:val="18"/>
        </w:rPr>
        <w:t>https://pubmed.ncbi.nlm.nih.gov/42606848/</w:t>
      </w:r>
    </w:p>
    <w:p>
      <w:pPr>
        <w:pStyle w:val="Heading1"/>
      </w:pPr>
      <w:r>
        <w:t>Aufgenommen am 17.08.2026</w:t>
      </w:r>
    </w:p>
    <w:p>
      <w:pPr>
        <w:pStyle w:val="Heading2"/>
      </w:pPr>
      <w:r>
        <w:t>Expansion von Telehealth-Regelungen in US-Medicaid-Programmen 2018–2023: Legal-Mapping-Studie</w:t>
      </w:r>
    </w:p>
    <w:p>
      <w:r>
        <w:rPr>
          <w:i/>
          <w:color w:val="666666"/>
          <w:sz w:val="18"/>
        </w:rPr>
        <w:t>Leung LB et al.  ·  Milbank Q  ·  16.08.2026  ·  PMID 42604452</w:t>
      </w:r>
    </w:p>
    <w:p>
      <w:r>
        <w:t>50-Staaten-Analyse zur Adoption von Telehealth-Richtlinien in Medicaid-Programmen und deren mögliche Einflussfaktoren.</w:t>
      </w:r>
    </w:p>
    <w:p>
      <w:r>
        <w:rPr>
          <w:b/>
        </w:rPr>
        <w:t xml:space="preserve">Ergebnis: </w:t>
      </w:r>
      <w:r>
        <w:t>Durchschnittlich 2,7 Telehealth-Richtlinien je Bundesstaat (SD 1,4); Audiotelefonie in 43 Staaten eingeführt; schnellste Adoption 2020–2021; Adoption unabhängig von Ländlichkeit, Fachkräftemangel, Medicaid-Expansion oder Internetverfügbarkeit (alle p ≥ 0,07).</w:t>
      </w:r>
    </w:p>
    <w:p>
      <w:r>
        <w:rPr>
          <w:b/>
          <w:sz w:val="19"/>
        </w:rPr>
        <w:t xml:space="preserve">Übertragbarkeit: </w:t>
      </w:r>
      <w:r>
        <w:rPr>
          <w:sz w:val="19"/>
        </w:rPr>
        <w:t>Nur bedingt: US-Medicaid-System, Fragestellung aber systemunabhängig</w:t>
      </w:r>
    </w:p>
    <w:p>
      <w:r>
        <w:rPr>
          <w:color w:val="5A7D3A"/>
          <w:sz w:val="18"/>
        </w:rPr>
        <w:t>https://pubmed.ncbi.nlm.nih.gov/42604452/</w:t>
      </w:r>
    </w:p>
    <w:p>
      <w:pPr>
        <w:pStyle w:val="Heading2"/>
      </w:pPr>
      <w:r>
        <w:t>Reale Effektivität und Sicherheit von Lebrikizumab bei atopischer Dermatitis: TREATgermany-Registerdaten</w:t>
      </w:r>
    </w:p>
    <w:p>
      <w:r>
        <w:rPr>
          <w:i/>
          <w:color w:val="666666"/>
          <w:sz w:val="18"/>
        </w:rPr>
        <w:t>Kind B et al.  ·  Acta Derm Venereol  ·  13.08.2026  ·  PMID 42593155</w:t>
      </w:r>
    </w:p>
    <w:p>
      <w:r>
        <w:t>Prospektive Evaluierung von Lebrikizumab (IL-13-Inhibitor) bei atopischer Dermatitis in deutschen Dermatologie-Praxen mit Effectiveness-Daten zur Routineversorgung.</w:t>
      </w:r>
    </w:p>
    <w:p>
      <w:r>
        <w:rPr>
          <w:b/>
        </w:rPr>
        <w:t xml:space="preserve">Ergebnis: </w:t>
      </w:r>
      <w:r>
        <w:t>80 Patienten mit Follow-up; EASI-Score sank von Baseline 14,8 auf 5,6 (Monat 3) und 3,0 (Monat 6); PP-NRS von 6,6 auf 3,8 und 3,4; DLQI von 11,9 auf 4,9 und 4,8; Nebenwirkungen bei 26,6 % (Konjunktivitis 20,3 %); EASI-75 in Kohorte mit EASI≥16 bei 60 % (M3) und 70 % (M6).</w:t>
      </w:r>
    </w:p>
    <w:p>
      <w:r>
        <w:rPr>
          <w:b/>
          <w:sz w:val="19"/>
        </w:rPr>
        <w:t xml:space="preserve">Übertragbarkeit: </w:t>
      </w:r>
      <w:r>
        <w:rPr>
          <w:sz w:val="19"/>
        </w:rPr>
        <w:t>Deutsche Routinedaten (TREATgermany-Registry)</w:t>
      </w:r>
    </w:p>
    <w:p>
      <w:r>
        <w:rPr>
          <w:color w:val="5A7D3A"/>
          <w:sz w:val="18"/>
        </w:rPr>
        <w:t>https://pubmed.ncbi.nlm.nih.gov/42593155/</w:t>
      </w:r>
    </w:p>
    <w:p>
      <w:pPr>
        <w:pStyle w:val="Heading2"/>
      </w:pPr>
      <w:r>
        <w:t>Mortalität von Hirntumor-Patienten in zertifizierten Onkologiezentren versus Nicht-Zentren: Deutschland</w:t>
      </w:r>
    </w:p>
    <w:p>
      <w:r>
        <w:rPr>
          <w:i/>
          <w:color w:val="666666"/>
          <w:sz w:val="18"/>
        </w:rPr>
        <w:t>Seliger C et al.  ·  Cancer Treat Res Commun  ·  11.08.2026  ·  PMID 42580197</w:t>
      </w:r>
    </w:p>
    <w:p>
      <w:r>
        <w:t>Kohortenstudie mit 62.735 GKV-Patienten und 5.196 Patienten aus klinischen Krebsregistern zu Überleben nach Behandlung in zertifizierten vs. nicht-zertifizierten Krankenhäusern.</w:t>
      </w:r>
    </w:p>
    <w:p>
      <w:r>
        <w:rPr>
          <w:b/>
        </w:rPr>
        <w:t xml:space="preserve">Ergebnis: </w:t>
      </w:r>
      <w:r>
        <w:t>91,9 % der SHI-Patienten nicht in neuro-onkologischen Zentren behandelt; adjustierte Cox-Regression zeigte verbessertes Gesamtüberleben in zertifizierten Zentren (HR SHI 0,93, 95%-KI 0,86–1,00; HR KKR 0,84, 95%-KI 0,76–0,93); ältere Patienten und höhere WHO-Grade profilierten besonders.</w:t>
      </w:r>
    </w:p>
    <w:p>
      <w:r>
        <w:rPr>
          <w:b/>
          <w:sz w:val="19"/>
        </w:rPr>
        <w:t xml:space="preserve">Übertragbarkeit: </w:t>
      </w:r>
      <w:r>
        <w:rPr>
          <w:sz w:val="19"/>
        </w:rPr>
        <w:t>Deutsche Routinedaten, gesetzlich Versicherte + Krebsregister</w:t>
      </w:r>
    </w:p>
    <w:p>
      <w:r>
        <w:rPr>
          <w:color w:val="5A7D3A"/>
          <w:sz w:val="18"/>
        </w:rPr>
        <w:t>https://pubmed.ncbi.nlm.nih.gov/42580197/</w:t>
      </w:r>
    </w:p>
    <w:p>
      <w:pPr>
        <w:pStyle w:val="Heading1"/>
      </w:pPr>
      <w:r>
        <w:t>Aufgenommen am 16.08.2026</w:t>
      </w:r>
    </w:p>
    <w:p>
      <w:pPr>
        <w:pStyle w:val="Heading2"/>
      </w:pPr>
      <w:r>
        <w:t>Arbeitsbedingungen und psychische Gesundheit bei Ärztinnen und Ärzten sowie Pflegekräften in der EU: Querschnittsstudie</w:t>
      </w:r>
    </w:p>
    <w:p>
      <w:r>
        <w:rPr>
          <w:i/>
          <w:color w:val="666666"/>
          <w:sz w:val="18"/>
        </w:rPr>
        <w:t>Mediavilla R et al.  ·  Lancet Reg Health Eur  ·  08.08.2026  ·  PMID 42604020</w:t>
      </w:r>
    </w:p>
    <w:p>
      <w:r>
        <w:t>Die Studie untersuchte Zusammenhänge zwischen Arbeitsbedingungen und psychischer Gesundheit bei 90.171 Gesundheitsberuflern aus 28 EU-Staaten, Island und Norwegen im Zeitraum Oktober 2024 bis April 2025.</w:t>
      </w:r>
    </w:p>
    <w:p>
      <w:r>
        <w:rPr>
          <w:b/>
        </w:rPr>
        <w:t xml:space="preserve">Ergebnis: </w:t>
      </w:r>
      <w:r>
        <w:t>30% zeigten depressive Symptome, 23% Angstsymptome, 13% suizidale Gedanken. Physische Gewalt betraf 10% der Ärzte und 18% der Pflegekräfte. Ungünstige Arbeitsbedingungen korreliertten mit schlechterer psychischer Gesundheit (adjustierte Prävalenzratios 0,98-1,94), während Jobressourcen positive Effekte zeigten (PR 1,06-0,56).</w:t>
      </w:r>
    </w:p>
    <w:p>
      <w:r>
        <w:rPr>
          <w:b/>
          <w:sz w:val="19"/>
        </w:rPr>
        <w:t xml:space="preserve">Übertragbarkeit: </w:t>
      </w:r>
      <w:r>
        <w:rPr>
          <w:sz w:val="19"/>
        </w:rPr>
        <w:t>Europäische Daten, systemisch vergleichbar mit Deutschland</w:t>
      </w:r>
    </w:p>
    <w:p>
      <w:r>
        <w:rPr>
          <w:color w:val="5A7D3A"/>
          <w:sz w:val="18"/>
        </w:rPr>
        <w:t>https://pubmed.ncbi.nlm.nih.gov/42604020/</w:t>
      </w:r>
    </w:p>
    <w:p>
      <w:pPr>
        <w:pStyle w:val="Heading2"/>
      </w:pPr>
      <w:r>
        <w:t>Tage zu Hause nach Herzinsuffizienzspitalisierung in Singapur: Trends und Equity 2011-2019</w:t>
      </w:r>
    </w:p>
    <w:p>
      <w:r>
        <w:rPr>
          <w:i/>
          <w:color w:val="666666"/>
          <w:sz w:val="18"/>
        </w:rPr>
        <w:t>Liu S et al.  ·  Circ Popul Health Outcomes  ·  14.08.2026  ·  PMID 42596879</w:t>
      </w:r>
    </w:p>
    <w:p>
      <w:r>
        <w:t>Die Studie untersuchte zeitliche Trends in Days Alive and Out of Hospital (DAOH) nach erster Hospitalisierung wegen Herzinsuffizienz mit reduzierter Auswurffraktion und prüfte Unterschiede zwischen Altersgruppen, Geschlecht und Ethnizität.</w:t>
      </w:r>
    </w:p>
    <w:p>
      <w:r>
        <w:rPr>
          <w:b/>
        </w:rPr>
        <w:t xml:space="preserve">Ergebnis: </w:t>
      </w:r>
      <w:r>
        <w:t>Von 10.147 Patienten (Medianalter 68,9 Jahre; 31,5% weiblich) verbesserte sich die 1-Jahres-DAOH von 291,7 auf 301,0 Tage (1,16 Tage pro Jahr; p&lt;0,001), während 30-Tage-DAOH stabil blieb (p=0,554). Die Rückgangsraten bei herzinsuffizienzbedingten Readmissionen waren bei Männern steiler als bei Frauen. 1-Jahres-DAOH-Gewinne waren bei Patienten malaiischer Abstammung größer als bei chinesischen Patienten.</w:t>
      </w:r>
    </w:p>
    <w:p>
      <w:r>
        <w:rPr>
          <w:color w:val="5A7D3A"/>
          <w:sz w:val="18"/>
        </w:rPr>
        <w:t>https://pubmed.ncbi.nlm.nih.gov/42596879/</w:t>
      </w:r>
    </w:p>
    <w:p>
      <w:pPr>
        <w:pStyle w:val="Heading2"/>
      </w:pPr>
      <w:r>
        <w:t>Chirurgische Therapie bei Pankreaskarzinom im Alter ≥80 Jahren: Nutzen-Risiko-Analyse</w:t>
      </w:r>
    </w:p>
    <w:p>
      <w:r>
        <w:rPr>
          <w:i/>
          <w:color w:val="666666"/>
          <w:sz w:val="18"/>
        </w:rPr>
        <w:t>von Fritsch L et al.  ·  Cancers (Basel)  ·  28.07.2026  ·  PMID 42588642</w:t>
      </w:r>
    </w:p>
    <w:p>
      <w:r>
        <w:t>Vergleichende Analyse von 3016 Pankreaskarzinom-Patienten (≤65 Jahre: n=944; 66-79 Jahre: n=1535; ≥80 Jahre: n=537) aus deutschen Krebsregistern 2015-2023 bezüglich Behandlungsmuster und Überleben.</w:t>
      </w:r>
    </w:p>
    <w:p>
      <w:r>
        <w:rPr>
          <w:b/>
        </w:rPr>
        <w:t xml:space="preserve">Ergebnis: </w:t>
      </w:r>
      <w:r>
        <w:t>Anteil Patienten ≥80 Jahre stieg von 15% (2015) auf 32% (2023). 24% der operierten Oktogenare erhielten adjuvante Chemotherapie. Overall Survival und disease-free Survival waren schlechter als in jüngeren Kohorten. Oktogenare mit alleiniger Operation oder Chemotherapie hatten vergleichbare Überlebensraten wie palliativ behandelte Patienten.</w:t>
      </w:r>
    </w:p>
    <w:p>
      <w:r>
        <w:rPr>
          <w:b/>
          <w:sz w:val="19"/>
        </w:rPr>
        <w:t xml:space="preserve">Übertragbarkeit: </w:t>
      </w:r>
      <w:r>
        <w:rPr>
          <w:sz w:val="19"/>
        </w:rPr>
        <w:t>Deutsche Krebsregisterdaten, gesetzlich Versicherte</w:t>
      </w:r>
    </w:p>
    <w:p>
      <w:r>
        <w:rPr>
          <w:color w:val="5A7D3A"/>
          <w:sz w:val="18"/>
        </w:rPr>
        <w:t>https://pubmed.ncbi.nlm.nih.gov/42588642/</w:t>
      </w:r>
    </w:p>
    <w:p>
      <w:pPr>
        <w:pStyle w:val="Heading2"/>
      </w:pPr>
      <w:r>
        <w:t>Erlebte integrierte Versorgung für Kinder mit Sonderbedarf in Deutschland: PART-CHILD-Kohortenstudie</w:t>
      </w:r>
    </w:p>
    <w:p>
      <w:r>
        <w:rPr>
          <w:i/>
          <w:color w:val="666666"/>
          <w:sz w:val="18"/>
        </w:rPr>
        <w:t>Bohnert K et al.  ·  BMC Health Serv Res  ·  08.08.2026  ·  PMID 42576220</w:t>
      </w:r>
    </w:p>
    <w:p>
      <w:r>
        <w:t>Querschnittsanalyse von 459 Betreuungspersonen von Kindern mit Sonderbedarf zu ihrer Erfahrung mit integrierten Versorgungsangeboten und Zusammenhänge mit soziodemografischen, gesundheits- und netzwerkbezogenen Faktoren.</w:t>
      </w:r>
    </w:p>
    <w:p>
      <w:r>
        <w:rPr>
          <w:b/>
        </w:rPr>
        <w:t xml:space="preserve">Ergebnis: </w:t>
      </w:r>
      <w:r>
        <w:t>Durchschnittliche Bewertung Teamqualität/Kommunikation 4,1±1,1 (Skala bis 9), Aufmerksamkeit für Familienbelastung 2,3±1,1. Höhere unmet needs assoziiert mit niedrigerer Teamqualität (≥5 unmet needs: β=-0,83; 95%-KI -1,28 bis -0,38). Größere Versorgungsnetzwerke (6-10 Anbieter) positiv mit Familienaufmerksamkeit (β=0,38; 95%-KI 0,07-0,70).</w:t>
      </w:r>
    </w:p>
    <w:p>
      <w:r>
        <w:rPr>
          <w:b/>
          <w:sz w:val="19"/>
        </w:rPr>
        <w:t xml:space="preserve">Übertragbarkeit: </w:t>
      </w:r>
      <w:r>
        <w:rPr>
          <w:sz w:val="19"/>
        </w:rPr>
        <w:t>Deutsche Daten, gesetzlich versicherte Bevölkerung</w:t>
      </w:r>
    </w:p>
    <w:p>
      <w:r>
        <w:rPr>
          <w:color w:val="5A7D3A"/>
          <w:sz w:val="18"/>
        </w:rPr>
        <w:t>https://pubmed.ncbi.nlm.nih.gov/42576220/</w:t>
      </w:r>
    </w:p>
    <w:p>
      <w:pPr>
        <w:pStyle w:val="Heading1"/>
      </w:pPr>
      <w:r>
        <w:t>Aufgenommen am 15.08.2026</w:t>
      </w:r>
    </w:p>
    <w:p>
      <w:pPr>
        <w:pStyle w:val="Heading2"/>
      </w:pPr>
      <w:r>
        <w:t>Elektrische Kardioversion bei Vorhofflimmern: nationale Trends in Dänemark 2010-2022</w:t>
      </w:r>
    </w:p>
    <w:p>
      <w:r>
        <w:rPr>
          <w:i/>
          <w:color w:val="666666"/>
          <w:sz w:val="18"/>
        </w:rPr>
        <w:t>Frost L et al.  ·  Open Heart  ·  14.08.2026  ·  PMID 42601168</w:t>
      </w:r>
    </w:p>
    <w:p>
      <w:r>
        <w:t>Die Studie untersuchte zeitliche Trends in der Nutzung von elektrischer Kardioversion bei Patienten mit Vorhofflimmern in Dänemark über 12 Jahre.</w:t>
      </w:r>
    </w:p>
    <w:p>
      <w:r>
        <w:rPr>
          <w:b/>
        </w:rPr>
        <w:t xml:space="preserve">Ergebnis: </w:t>
      </w:r>
      <w:r>
        <w:t>Die Gesamtzahl der Kardioversionen pro Jahr stieg von 2204 (2010) auf 8300 (2022) um das Vierfache; die altersadjustierte und geschlechterstandardisierte Rate sank jedoch von 449,5 auf 316,6 pro 1000 Personenjahre im ersten Jahr nach Diagnose, was auf eine gezieltere Einsatzweise hindeutet.</w:t>
      </w:r>
    </w:p>
    <w:p>
      <w:r>
        <w:rPr>
          <w:color w:val="5A7D3A"/>
          <w:sz w:val="18"/>
        </w:rPr>
        <w:t>https://pubmed.ncbi.nlm.nih.gov/42601168/</w:t>
      </w:r>
    </w:p>
    <w:p>
      <w:pPr>
        <w:pStyle w:val="Heading2"/>
      </w:pPr>
      <w:r>
        <w:t>Machbarkeit von S-Patch versus 24-Stunden-Holter bei älteren Erwachsenen mit Stürzen: randomisierte Crossover-Pilotstudie</w:t>
      </w:r>
    </w:p>
    <w:p>
      <w:r>
        <w:rPr>
          <w:i/>
          <w:color w:val="666666"/>
          <w:sz w:val="18"/>
        </w:rPr>
        <w:t>Rosario B et al.  ·  JMIR Rehabil Assist Technol  ·  14.08.2026  ·  PMID 42600137</w:t>
      </w:r>
    </w:p>
    <w:p>
      <w:r>
        <w:t>Die Studie verglich Machbarkeit, Verträglichkeit und Adhärenz eines neuen tragbaren EKG-Geräts (S-Patch) mit Standard-Holter-Monitoring bei älteren Patienten mit Sturzrisiko.</w:t>
      </w:r>
    </w:p>
    <w:p>
      <w:r>
        <w:rPr>
          <w:b/>
        </w:rPr>
        <w:t xml:space="preserve">Ergebnis: </w:t>
      </w:r>
      <w:r>
        <w:t>Bei 70 Patienten (45,7% mit kognitiver Beeinträchtigung) zeigte S-Patch längere durchschnittliche Tragedauer (&gt;60 Stunden, signifikant länger wenn zuerst angewendet: 68,8 vs. 62,9 Stunden; p=0,04) mit vergleichbaren Arrhythmie-Erkennungsraten und guter Verträglichkeit auch bei kognitiv beeinträchtigten Patienten.</w:t>
      </w:r>
    </w:p>
    <w:p>
      <w:r>
        <w:rPr>
          <w:color w:val="5A7D3A"/>
          <w:sz w:val="18"/>
        </w:rPr>
        <w:t>https://pubmed.ncbi.nlm.nih.gov/42600137/</w:t>
      </w:r>
    </w:p>
    <w:p>
      <w:pPr>
        <w:pStyle w:val="Heading2"/>
      </w:pPr>
      <w:r>
        <w:t>Entwicklung konsensbasierter Sicherheits- und Qualitäsindikatoren für sicheren Opioid-Einsatz in Krankenhäusern mittels modifizierter Delphi-Methode</w:t>
      </w:r>
    </w:p>
    <w:p>
      <w:r>
        <w:rPr>
          <w:i/>
          <w:color w:val="666666"/>
          <w:sz w:val="18"/>
        </w:rPr>
        <w:t>Mutashar A et al.  ·  Int J Qual Health Care  ·  14.08.2026  ·  PMID 42599219</w:t>
      </w:r>
    </w:p>
    <w:p>
      <w:r>
        <w:t>Die Studie entwickelte einen Katalog von Indikatoren zur Überwachung der Sicherheit und Qualität des Opioid-Einsatzes in australischen Krankenhäusern durch ein multidisziplinäres Expertengremium.</w:t>
      </w:r>
    </w:p>
    <w:p>
      <w:r>
        <w:rPr>
          <w:b/>
        </w:rPr>
        <w:t xml:space="preserve">Ergebnis: </w:t>
      </w:r>
      <w:r>
        <w:t>Von 34 bewerteten Indikatoren erreichten 17 Konsens für Wichtigkeit und Durchführbarkeit (Antwortquoten: Round 1 91%, Treffen 50%, Round 2 77%), was ein praktikables Werkzeug zur Verbesserung der Opioid-Medikamentensicherheit ermöglicht.</w:t>
      </w:r>
    </w:p>
    <w:p>
      <w:r>
        <w:rPr>
          <w:color w:val="5A7D3A"/>
          <w:sz w:val="18"/>
        </w:rPr>
        <w:t>https://pubmed.ncbi.nlm.nih.gov/42599219/</w:t>
      </w:r>
    </w:p>
    <w:p>
      <w:pPr>
        <w:pStyle w:val="Heading2"/>
      </w:pPr>
      <w:r>
        <w:t>Inzidenz, Ätiologien und Überlebensoutcomes von pädiatrischen außerklinischen Herzstillständen in Singapur</w:t>
      </w:r>
    </w:p>
    <w:p>
      <w:r>
        <w:rPr>
          <w:i/>
          <w:color w:val="666666"/>
          <w:sz w:val="18"/>
        </w:rPr>
        <w:t>Chee DS et al.  ·  Resusc Plus  ·  22.07.2026  ·  PMID 42598112</w:t>
      </w:r>
    </w:p>
    <w:p>
      <w:r>
        <w:t>Die Studie beschrieb Inzidenz, Ursachen und Überlebensraten von Herzstillständen bei Kindern in Singapur von 2010-2021 mittels der PAROS-Registry.</w:t>
      </w:r>
    </w:p>
    <w:p>
      <w:r>
        <w:rPr>
          <w:b/>
        </w:rPr>
        <w:t xml:space="preserve">Ergebnis: </w:t>
      </w:r>
      <w:r>
        <w:t>Von 414 Patienten betrug die Gesamtinzidenz 4,62 pro 100.000 Personenjahre (höchste Rate bei Säuglingen &lt;1 Jahr: 33,5 pro 100.000), Bystander-CPR-Rate 64,5%, häufigste Ursachen Atemwegsobstruktion (21%), Ertrinken (20,2%) und Trauma (18,5%); 30-Tage-Überlebensrate 11,1%, gutes neurologisches Ergebnis (CPC 1-2) 8,0% mit Verbesserung 2019-2021 (aOR 4,34; 95% CI 1,09-17,22; p=0,037).</w:t>
      </w:r>
    </w:p>
    <w:p>
      <w:r>
        <w:rPr>
          <w:color w:val="5A7D3A"/>
          <w:sz w:val="18"/>
        </w:rPr>
        <w:t>https://pubmed.ncbi.nlm.nih.gov/42598112/</w:t>
      </w:r>
    </w:p>
    <w:p>
      <w:pPr>
        <w:pStyle w:val="Heading2"/>
      </w:pPr>
      <w:r>
        <w:t>Rolle von Life's Essential 8 in der Assoziation von Nachtschichtarbeit mit kardiovaskulären Erkrankungen: prospektive UK-Biobank-Kohorte</w:t>
      </w:r>
    </w:p>
    <w:p>
      <w:r>
        <w:rPr>
          <w:i/>
          <w:color w:val="666666"/>
          <w:sz w:val="18"/>
        </w:rPr>
        <w:t>Huang Y et al.  ·  J Glob Health  ·  14.08.2026  ·  PMID 42596889</w:t>
      </w:r>
    </w:p>
    <w:p>
      <w:r>
        <w:t>Die Studie untersuchte die Assoziation zwischen Nachtschichtarbeit und kardiovaskulären Erkrankungen sowie die vermittelnde Rolle des Life's Essential 8-Lebensstilscores bei 131.844 Erwerbstätigen.</w:t>
      </w:r>
    </w:p>
    <w:p>
      <w:r>
        <w:rPr>
          <w:b/>
        </w:rPr>
        <w:t xml:space="preserve">Ergebnis: </w:t>
      </w:r>
      <w:r>
        <w:t>Über einen Median-Follow-up von 13,78 Jahren entwickelten 29,7% kardiovaskuläre Erkrankungen und 4,2% starben; Patienten mit permanenten Nachtschichten hatten erhöhtes Risiko für kardiovaskuläre Erkrankungen (HR=1,24; 95% CI 1,18-1,31), Gesamtmortalität (HR=1,23; 95% CI 1,07-1,41) und Myokardinfarkt (HR=1,29; 95% CI 1,09-1,51); Life's Essential 8 vermittelte 39,2% der kardiovaskulären Assoziation und 33,1% der Mortalität.</w:t>
      </w:r>
    </w:p>
    <w:p>
      <w:r>
        <w:rPr>
          <w:color w:val="5A7D3A"/>
          <w:sz w:val="18"/>
        </w:rPr>
        <w:t>https://pubmed.ncbi.nlm.nih.gov/42596889/</w:t>
      </w:r>
    </w:p>
    <w:p>
      <w:pPr>
        <w:pStyle w:val="Heading2"/>
      </w:pPr>
      <w:r>
        <w:t>Implementierung eines umfassenden Sichelzellzentrums führt zu verbessertem Zugang und reduzierter Notfallversorgung</w:t>
      </w:r>
    </w:p>
    <w:p>
      <w:r>
        <w:rPr>
          <w:i/>
          <w:color w:val="666666"/>
          <w:sz w:val="18"/>
        </w:rPr>
        <w:t>Kanter J et al.  ·  BMC Health Serv Res  ·  24.07.2026  ·  PMID 42596005</w:t>
      </w:r>
    </w:p>
    <w:p>
      <w:r>
        <w:t>Die Studie evaluierte die Auswirkungen der Implementierung eines multidisziplinären erwachsenen Sichelzellzentrums auf Ambulanznutzung und Notfallverlagerung in Alabama.</w:t>
      </w:r>
    </w:p>
    <w:p>
      <w:r>
        <w:rPr>
          <w:b/>
        </w:rPr>
        <w:t xml:space="preserve">Ergebnis: </w:t>
      </w:r>
      <w:r>
        <w:t>Die ambulante Klinikpopulation wuchs um mehr als das Dreifache auf 810 Patienten (2024), Infusions-Therapiebesuche stiegen um das Fünfzehnfache; durchschnittliche acute-care-Besuche pro Person/Jahr sanken signifikant von 2,11 auf 1,26 (p&lt;0,001), während routinemäßige ambulante Besuche von 2,65 auf 5,32 stiegen.</w:t>
      </w:r>
    </w:p>
    <w:p>
      <w:r>
        <w:rPr>
          <w:color w:val="5A7D3A"/>
          <w:sz w:val="18"/>
        </w:rPr>
        <w:t>https://pubmed.ncbi.nlm.nih.gov/42596005/</w:t>
      </w:r>
    </w:p>
    <w:p>
      <w:pPr>
        <w:pStyle w:val="Heading1"/>
      </w:pPr>
      <w:r>
        <w:t>Aufgenommen am 14.08.2026</w:t>
      </w:r>
    </w:p>
    <w:p>
      <w:pPr>
        <w:pStyle w:val="Heading2"/>
      </w:pPr>
      <w:r>
        <w:t>Dokumentationslücke bei eingeschränkter Gelenkbeweglichkeit in Pflegeheimen</w:t>
      </w:r>
    </w:p>
    <w:p>
      <w:r>
        <w:rPr>
          <w:i/>
          <w:color w:val="666666"/>
          <w:sz w:val="18"/>
        </w:rPr>
        <w:t>Austen S et al.  ·  J Am Med Dir Assoc  ·  13.08.2026  ·  PMID 42594509</w:t>
      </w:r>
    </w:p>
    <w:p>
      <w:r>
        <w:t>Die Studie untersuchte die Dokumentation von Gelenkbewegungseinschränkungen und schmerzenden Gelenken bei Pflegeheimbewohnern im Vergleich zur standardisierten klinischen Untersuchung.</w:t>
      </w:r>
    </w:p>
    <w:p>
      <w:r>
        <w:rPr>
          <w:b/>
        </w:rPr>
        <w:t xml:space="preserve">Ergebnis: </w:t>
      </w:r>
      <w:r>
        <w:t>Bei 69% der Bewohner wurde eine eingeschränkte Gelenkbeweglichkeit festgestellt, aber nur in 4% der Fälle dokumentiert. Die Hüftbeweglichkeit war in 51% der Fälle limitiert, wurde aber in keinem Fall dokumentiert. Bewohner mit nicht dokumentierten Bewegungseinschränkungen zeigten signifikant höhere funktionelle Abhängigkeit beim Umlagern (p &lt; 0,001).</w:t>
      </w:r>
    </w:p>
    <w:p>
      <w:r>
        <w:rPr>
          <w:color w:val="5A7D3A"/>
          <w:sz w:val="18"/>
        </w:rPr>
        <w:t>https://pubmed.ncbi.nlm.nih.gov/42594509/</w:t>
      </w:r>
    </w:p>
    <w:p>
      <w:pPr>
        <w:pStyle w:val="Heading2"/>
      </w:pPr>
      <w:r>
        <w:t>Emotionale Belastung durch Alarme bei Diabetes-Technologien</w:t>
      </w:r>
    </w:p>
    <w:p>
      <w:r>
        <w:rPr>
          <w:i/>
          <w:color w:val="666666"/>
          <w:sz w:val="18"/>
        </w:rPr>
        <w:t>Everett E et al.  ·  JMIR Diabetes  ·  13.08.2026  ·  PMID 42594259</w:t>
      </w:r>
    </w:p>
    <w:p>
      <w:r>
        <w:t>Die Studie verglich die Alarmhäufigkeit, emotionale Belastung und Verhaltensreaktionen auf Alarme zwischen Nutzern von kontinuierlichen Glukosemessgeräten, sensorunterstützten Pumpen und automatisierten Insulinabgabesystemen.</w:t>
      </w:r>
    </w:p>
    <w:p>
      <w:r>
        <w:rPr>
          <w:b/>
        </w:rPr>
        <w:t xml:space="preserve">Ergebnis: </w:t>
      </w:r>
      <w:r>
        <w:t>Von 838 Befragten berichteten Nutzer von automatisierten Systemen die höchste Alarmfrequenz (49% mehrmals täglich vs. 35% bzw. 32% in anderen Gruppen, p &lt; 0,001). Nach Adjustment zeigte sich ein erhöhtes Risiko für häufige Alarme (OR 1,98, 95% KI 1,48–2,65) und Überkorrektionen bei niedriger Glukose (OR 1,61, 95% KI 1,20–2,15) bei automatisierten Systemen.</w:t>
      </w:r>
    </w:p>
    <w:p>
      <w:r>
        <w:rPr>
          <w:color w:val="5A7D3A"/>
          <w:sz w:val="18"/>
        </w:rPr>
        <w:t>https://pubmed.ncbi.nlm.nih.gov/42594259/</w:t>
      </w:r>
    </w:p>
    <w:p>
      <w:pPr>
        <w:pStyle w:val="Heading2"/>
      </w:pPr>
      <w:r>
        <w:t>Chronic Kidney Disease Care Model zur Verbesserung von Patientenergebnissen</w:t>
      </w:r>
    </w:p>
    <w:p>
      <w:r>
        <w:rPr>
          <w:i/>
          <w:color w:val="666666"/>
          <w:sz w:val="18"/>
        </w:rPr>
        <w:t>Briggs AH et al.  ·  Pharmacoecon Open  ·  13.08.2026  ·  PMID 42593670</w:t>
      </w:r>
    </w:p>
    <w:p>
      <w:r>
        <w:t>Die Studie beschreibt ein Entscheidungsmodell zur Quantifizierung von Managementstrategien bei chronischer Nierenerkrankung und deren Kosteneffektivität in den USA.</w:t>
      </w:r>
    </w:p>
    <w:p>
      <w:r>
        <w:rPr>
          <w:b/>
        </w:rPr>
        <w:t xml:space="preserve">Ergebnis: </w:t>
      </w:r>
      <w:r>
        <w:t>Unter Standardbehandlung werden 15% der Patienten von Ursachen unabhängig von Nierenerkrankung sterben (nach durchschnittlich 12 Jahren). Mit optimierter Behandlung erhöht sich dieser Anteil auf 20% (nach 14 Jahren). Leitliniengerechte Behandlung ohne Verzögerung führt zu 0,68 QALYs Lebenszeitgewinn bei Kosten von 47.800 USD pro Patient.</w:t>
      </w:r>
    </w:p>
    <w:p>
      <w:r>
        <w:rPr>
          <w:color w:val="5A7D3A"/>
          <w:sz w:val="18"/>
        </w:rPr>
        <w:t>https://pubmed.ncbi.nlm.nih.gov/42593670/</w:t>
      </w:r>
    </w:p>
    <w:p>
      <w:pPr>
        <w:pStyle w:val="Heading2"/>
      </w:pPr>
      <w:r>
        <w:t>Algorithmen zur Identifikation klinisch beabsichtigter Medikamentenabsetzungen</w:t>
      </w:r>
    </w:p>
    <w:p>
      <w:r>
        <w:rPr>
          <w:i/>
          <w:color w:val="666666"/>
          <w:sz w:val="18"/>
        </w:rPr>
        <w:t>Goodrich GK et al.  ·  Med Care  ·  13.08.2026  ·  PMID 42593400</w:t>
      </w:r>
    </w:p>
    <w:p>
      <w:r>
        <w:t>Die Studie entwickelte algorithmische Verfahren zur Identifikation absichtlicher Medikamentenabsetzungen mittels Textsuche und klinischen Daten für fünf Arzneimittelgruppen.</w:t>
      </w:r>
    </w:p>
    <w:p>
      <w:r>
        <w:rPr>
          <w:b/>
        </w:rPr>
        <w:t xml:space="preserve">Ergebnis: </w:t>
      </w:r>
      <w:r>
        <w:t>Für die Validierungsstichproben betrugen Sensitivität und Spezifität für den vollständigen Algorithmus: orale Antidiabetika 80% und 85% (n=467), Statine 75% und 95% (n=282), Antihypertensiva 82% und 75% (n=599), Blasen-Antimuscarinergika 77% und 80% (n=80), Antikoagulanzien 74% und 78% (n=160).</w:t>
      </w:r>
    </w:p>
    <w:p>
      <w:r>
        <w:rPr>
          <w:color w:val="5A7D3A"/>
          <w:sz w:val="18"/>
        </w:rPr>
        <w:t>https://pubmed.ncbi.nlm.nih.gov/42593400/</w:t>
      </w:r>
    </w:p>
    <w:p>
      <w:pPr>
        <w:pStyle w:val="Heading2"/>
      </w:pPr>
      <w:r>
        <w:t>Mechanisch beatmete Kinder in pädiatrischen vs. allgemeinen Intensivstationen in Japan</w:t>
      </w:r>
    </w:p>
    <w:p>
      <w:r>
        <w:rPr>
          <w:i/>
          <w:color w:val="666666"/>
          <w:sz w:val="18"/>
        </w:rPr>
        <w:t>Sakurai Y et al.  ·  Front Pediatr  ·  29.07.2026  ·  PMID 42591500</w:t>
      </w:r>
    </w:p>
    <w:p>
      <w:r>
        <w:t>Die Studie verglich klinische Ergebnisse mechanisch beatmeter Kinder in spezialisierten pädiatrischen Intensivstationen (PICU) versus allgemeinen Intensivstationen (GICU).</w:t>
      </w:r>
    </w:p>
    <w:p>
      <w:r>
        <w:rPr>
          <w:b/>
        </w:rPr>
        <w:t xml:space="preserve">Ergebnis: </w:t>
      </w:r>
      <w:r>
        <w:t>Von 48.106 Patienten wurden 36% auf PICUs behandelt. Nach Propensity-Score-Analyse zeigte PICU-Versorgung signifikant niedrigere Krankenhaussterblichkeit (2,73% vs. 3,42%; OR 0,79, 95% KI 0,69–0,91; p = 0,001), aber längere Gesamtaufenthalte (22,74 vs. 22,13 Tage; p &lt; 0,001).</w:t>
      </w:r>
    </w:p>
    <w:p>
      <w:r>
        <w:rPr>
          <w:color w:val="5A7D3A"/>
          <w:sz w:val="18"/>
        </w:rPr>
        <w:t>https://pubmed.ncbi.nlm.nih.gov/42591500/</w:t>
      </w:r>
    </w:p>
    <w:p>
      <w:pPr>
        <w:pStyle w:val="Heading1"/>
      </w:pPr>
      <w:r>
        <w:t>Aufgenommen am 13.08.2026</w:t>
      </w:r>
    </w:p>
    <w:p>
      <w:pPr>
        <w:pStyle w:val="Heading2"/>
      </w:pPr>
      <w:r>
        <w:t>Door-to-Balloon-Zeit, Komplikationen und Verweildauer bei STEMI</w:t>
      </w:r>
    </w:p>
    <w:p>
      <w:r>
        <w:rPr>
          <w:i/>
          <w:color w:val="666666"/>
          <w:sz w:val="18"/>
        </w:rPr>
        <w:t>Eid AbuRuz M et al.  ·  J Clin Med  ·  26.07.2026  ·  PMID 42589943</w:t>
      </w:r>
    </w:p>
    <w:p>
      <w:r>
        <w:t>Diese prospektive Beobachtungsstudie untersuchte, ob die Door-to-Balloon-Zeit (D2B) bei ST-Hebungs-Myokardinfarkt (STEMI) postoperative Komplikationen und Krankenhausverweildauer vorhersagt.</w:t>
      </w:r>
    </w:p>
    <w:p>
      <w:r>
        <w:rPr>
          <w:b/>
        </w:rPr>
        <w:t xml:space="preserve">Ergebnis: </w:t>
      </w:r>
      <w:r>
        <w:t>Eine verzögerte D2B-Zeit (≥2 h) war mit 2,22-fach erhöhtem Komplikationsrisiko assoziiert; jede zusätzliche Stunde Verzögerung führte zu 0,294 Tagen mehr Krankenhausaufenthalt. Ein Median D2B von 108 Minuten wurde beobachtet (IQR 65–395).</w:t>
      </w:r>
    </w:p>
    <w:p>
      <w:r>
        <w:rPr>
          <w:color w:val="5A7D3A"/>
          <w:sz w:val="18"/>
        </w:rPr>
        <w:t>https://pubmed.ncbi.nlm.nih.gov/42589943/</w:t>
      </w:r>
    </w:p>
    <w:p>
      <w:pPr>
        <w:pStyle w:val="Heading2"/>
      </w:pPr>
      <w:r>
        <w:t>Simulation der Effekte von Mindestfallzahl-Schwellenwerten auf die geografische Erreichbarkeit neurochirurgischer Kliniken in Deutschland</w:t>
      </w:r>
    </w:p>
    <w:p>
      <w:r>
        <w:rPr>
          <w:i/>
          <w:color w:val="666666"/>
          <w:sz w:val="18"/>
        </w:rPr>
        <w:t>Mayer S et al.  ·  Healthcare (Basel)  ·  06.08.2026  ·  PMID 42588405</w:t>
      </w:r>
    </w:p>
    <w:p>
      <w:r>
        <w:t>Diese Simulationsstudie untersuchte die Auswirkungen unterschiedlicher Mindestfallzahl-Schwellenwerte auf die geografische Erreichbarkeit neurochirurgischer Versorgung in Deutschland.</w:t>
      </w:r>
    </w:p>
    <w:p>
      <w:r>
        <w:rPr>
          <w:b/>
        </w:rPr>
        <w:t xml:space="preserve">Ergebnis: </w:t>
      </w:r>
      <w:r>
        <w:t>Basale Erreichbarkeit innerhalb 40 Minuten Fahrtzeit (A2N40) betrug 66,6 % der Fläche und 84,7 % der Bevölkerung. Eine Erhöhung um einen Perzentilpunkt der Fallzahl-Schwelle reduzierte A2N40 um durchschnittlich 0,70 Prozentpunkte, was etwa 305.000 zusätzliche Menschen betrifft.</w:t>
      </w:r>
    </w:p>
    <w:p>
      <w:r>
        <w:rPr>
          <w:color w:val="5A7D3A"/>
          <w:sz w:val="18"/>
        </w:rPr>
        <w:t>https://pubmed.ncbi.nlm.nih.gov/42588405/</w:t>
      </w:r>
    </w:p>
    <w:p>
      <w:pPr>
        <w:pStyle w:val="Heading2"/>
      </w:pPr>
      <w:r>
        <w:t>Evaluation eines Stärkenbasierten Resilienz-Programms auf Widerstandskraft, wahrgenommenen Stress und depressive Symptome bei Schülern in Thailand</w:t>
      </w:r>
    </w:p>
    <w:p>
      <w:r>
        <w:rPr>
          <w:i/>
          <w:color w:val="666666"/>
          <w:sz w:val="18"/>
        </w:rPr>
        <w:t>Na Nakorn S et al.  ·  Healthcare (Basel)  ·  01.08.2026  ·  PMID 42588304</w:t>
      </w:r>
    </w:p>
    <w:p>
      <w:r>
        <w:t>Diese quasi-experimentelle Single-Group-Studie evaluierte ein sechswöchiges Resilienz-Programm bei 26 sekundarschul-Schülern mit Messungen zu Baseline, direkt nach Intervention und nach einem Monat.</w:t>
      </w:r>
    </w:p>
    <w:p>
      <w:r>
        <w:rPr>
          <w:b/>
        </w:rPr>
        <w:t xml:space="preserve">Ergebnis: </w:t>
      </w:r>
      <w:r>
        <w:t>Resilienz stieg von M=64,00 (Baseline) auf M=76,46 (direkt post) und M=78,19 (ein Monat später; p&amp;lt;0,001, η²=0,752). Wahrgenommener Stress sank von M=20,62 auf M=13,04 und M=9,62 (p&amp;lt;0,001, η²=0,808). Depressive Symptome sanken von M=7,27 auf M=5,81 und M=4,88 (p&amp;lt;0,001, η²=0,371).</w:t>
      </w:r>
    </w:p>
    <w:p>
      <w:r>
        <w:rPr>
          <w:color w:val="5A7D3A"/>
          <w:sz w:val="18"/>
        </w:rPr>
        <w:t>https://pubmed.ncbi.nlm.nih.gov/42588304/</w:t>
      </w:r>
    </w:p>
    <w:p>
      <w:pPr>
        <w:pStyle w:val="Heading2"/>
      </w:pPr>
      <w:r>
        <w:t>Kürzere Verweildauer nach risikoarmem Kaiserschnitt</w:t>
      </w:r>
    </w:p>
    <w:p>
      <w:r>
        <w:rPr>
          <w:i/>
          <w:color w:val="666666"/>
          <w:sz w:val="18"/>
        </w:rPr>
        <w:t>Su WG et al.  ·  BMJ Open Qual  ·  12.08.2026  ·  PMID 42586586</w:t>
      </w:r>
    </w:p>
    <w:p>
      <w:r>
        <w:t>Qualitätsverbesserungsprojekt zur Entlassung am dritten Tag nach risikoarmem Kaiserschnitt.</w:t>
      </w:r>
    </w:p>
    <w:p>
      <w:r>
        <w:rPr>
          <w:b/>
        </w:rPr>
        <w:t xml:space="preserve">Ergebnis: </w:t>
      </w:r>
      <w:r>
        <w:t>Die Entlassungsrate am dritten Tag stieg von 80,0 % (n = 352) auf 84,5 % (n = 241), nach dem gebündelten Maßnahmenpaket von 83,3 % auf 92,5 %; geschätzte Einsparung 70.884 SGD. Standardisierte Abläufe verkürzen die Liegezeit ohne Qualitätsverlust.</w:t>
      </w:r>
    </w:p>
    <w:p>
      <w:r>
        <w:rPr>
          <w:color w:val="5A7D3A"/>
          <w:sz w:val="18"/>
        </w:rPr>
        <w:t>https://pubmed.ncbi.nlm.nih.gov/42586586/</w:t>
      </w:r>
    </w:p>
    <w:p>
      <w:pPr>
        <w:pStyle w:val="Heading2"/>
      </w:pPr>
      <w:r>
        <w:t>Entwicklung und Validierung des N-DROP-Scores zur Vorhersage der 30-Tage-Sterblichkeit bei Pflegeheim-assoziierten Pneumonien</w:t>
      </w:r>
    </w:p>
    <w:p>
      <w:r>
        <w:rPr>
          <w:i/>
          <w:color w:val="666666"/>
          <w:sz w:val="18"/>
        </w:rPr>
        <w:t>Taniguchi J et al.  ·  J Infect Chemother  ·  12.08.2026  ·  PMID 42586261</w:t>
      </w:r>
    </w:p>
    <w:p>
      <w:r>
        <w:t>Diese Studie entwickelte mittels LASSO-Regression ein verbessertes Modell zur Vorhersage der in-Hospital-Sterblichkeit bei Pflegeheim-assoziierten Pneumonien (NHCAP) basierend auf Faktoren jenseits des klassischen A-DROP-Scores.</w:t>
      </w:r>
    </w:p>
    <w:p>
      <w:r>
        <w:rPr>
          <w:b/>
        </w:rPr>
        <w:t xml:space="preserve">Ergebnis: </w:t>
      </w:r>
      <w:r>
        <w:t>Die 30-Tage-Sterblichkeit in 116.185 Patienten betrug 11,7 %. Der N-DROP-Score zeigte verbesserte Diskriminationsfähigkeit (C-Statistik 0,746; 95 % KI 0,734–0,757) gegenüber A-DROP (0,708; 95 % KI 0,695–0,720; p&amp;lt;0,001).</w:t>
      </w:r>
    </w:p>
    <w:p>
      <w:r>
        <w:rPr>
          <w:color w:val="5A7D3A"/>
          <w:sz w:val="18"/>
        </w:rPr>
        <w:t>https://pubmed.ncbi.nlm.nih.gov/42586261/</w:t>
      </w:r>
    </w:p>
    <w:p>
      <w:pPr>
        <w:pStyle w:val="Heading2"/>
      </w:pPr>
      <w:r>
        <w:t>Wertbasierte Vergütung in der Primärversorgung und Low-Value Care</w:t>
      </w:r>
    </w:p>
    <w:p>
      <w:r>
        <w:rPr>
          <w:i/>
          <w:color w:val="666666"/>
          <w:sz w:val="18"/>
        </w:rPr>
        <w:t>Izguttinov A et al.  ·  Health Serv Res  ·  Aug. 2026  ·  PMID 42584215</w:t>
      </w:r>
    </w:p>
    <w:p>
      <w:r>
        <w:t>Untersuchung, ob die Einführung wertbasierter Vergütung in Hausarztpraxen unnötige Leistungen reduziert.</w:t>
      </w:r>
    </w:p>
    <w:p>
      <w:r>
        <w:rPr>
          <w:b/>
        </w:rPr>
        <w:t xml:space="preserve">Ergebnis: </w:t>
      </w:r>
      <w:r>
        <w:t>Über 33,6 Mio. Versichertenmonate (1,34 Mio. Versicherte, 7.903 Praxen) blieben die Unterschiede ohne statistische Signifikanz: Bildgebung bei Fersensporn 31,2 % gegenüber 28,9 %, bei Kopfschmerz 14,8 % gegenüber 14,5 %, bei Rückenschmerz je 13,8 %. Vergütungsanreize allein senken Low-Value Care offenbar nicht.</w:t>
      </w:r>
    </w:p>
    <w:p>
      <w:r>
        <w:rPr>
          <w:color w:val="5A7D3A"/>
          <w:sz w:val="18"/>
        </w:rPr>
        <w:t>https://pubmed.ncbi.nlm.nih.gov/42584215/</w:t>
      </w:r>
    </w:p>
    <w:p>
      <w:pPr>
        <w:pStyle w:val="Heading2"/>
      </w:pPr>
      <w:r>
        <w:t>Inanspruchnahme und Kosten bei Long COVID (England und Wales)</w:t>
      </w:r>
    </w:p>
    <w:p>
      <w:r>
        <w:rPr>
          <w:i/>
          <w:color w:val="666666"/>
          <w:sz w:val="18"/>
        </w:rPr>
        <w:t>Dashtban A et al.  ·  J R Soc Med  ·  12.08.2026  ·  PMID 42584205</w:t>
      </w:r>
    </w:p>
    <w:p>
      <w:r>
        <w:t>Vergleich von Versorgungskosten und Arztkontakten zwischen Long-COVID-Betroffenen und Kontrollpersonen.</w:t>
      </w:r>
    </w:p>
    <w:p>
      <w:r>
        <w:rPr>
          <w:b/>
        </w:rPr>
        <w:t xml:space="preserve">Ergebnis: </w:t>
      </w:r>
      <w:r>
        <w:t>Die mittleren Jahreskosten lagen in Wales bei 6.681,60 £ gegenüber 2.039,90 £ (3,27-fach), in England bei 3.378,30 £ gegenüber 1.355,80 £ (2,49-fach); Wales verzeichnete einen um 25 % stärkeren relativen Kostenanstieg (Verhältnis 1,25; 95%-KI 1,09–1,42). Die Versorgungslast fällt regional deutlich unterschiedlich aus.</w:t>
      </w:r>
    </w:p>
    <w:p>
      <w:r>
        <w:rPr>
          <w:color w:val="5A7D3A"/>
          <w:sz w:val="18"/>
        </w:rPr>
        <w:t>https://pubmed.ncbi.nlm.nih.gov/42584205/</w:t>
      </w:r>
    </w:p>
    <w:p>
      <w:pPr>
        <w:pStyle w:val="Heading2"/>
      </w:pPr>
      <w:r>
        <w:t>Eigenbesitz an Zusatzleistungen und Testhäufigkeit in Urologiepraxen</w:t>
      </w:r>
    </w:p>
    <w:p>
      <w:r>
        <w:rPr>
          <w:i/>
          <w:color w:val="666666"/>
          <w:sz w:val="18"/>
        </w:rPr>
        <w:t>Srivastava A et al.  ·  Med Care  ·  12.08.2026  ·  PMID 42583905</w:t>
      </w:r>
    </w:p>
    <w:p>
      <w:r>
        <w:t>Analyse, ob unternehmerische Beteiligung von Urologiepraxen an Zusatzleistungen die Zahl angeordneter Tests erhöht.</w:t>
      </w:r>
    </w:p>
    <w:p>
      <w:r>
        <w:rPr>
          <w:b/>
        </w:rPr>
        <w:t xml:space="preserve">Ergebnis: </w:t>
      </w:r>
      <w:r>
        <w:t>20,6 % der Praxen (706 von 3.430) besaßen eigene Zusatzleistungen; pro 10 Punkte auf dem Unternehmerindex stiegen bei 49.285 Männern die Chancen für Urinuntersuchungen auf das 1,13-Fache (95%-KI 1,09–1,18; p &lt; 0,001) und für nicht indikationsbezogene Tests auf das 1,21-Fache (95%-KI 1,15–1,27; p &lt; 0,001). Finanzielle Eigeninteressen schlagen messbar auf die Leistungsmenge durch.</w:t>
      </w:r>
    </w:p>
    <w:p>
      <w:r>
        <w:rPr>
          <w:color w:val="5A7D3A"/>
          <w:sz w:val="18"/>
        </w:rPr>
        <w:t>https://pubmed.ncbi.nlm.nih.gov/42583905/</w:t>
      </w:r>
    </w:p>
    <w:p>
      <w:pPr>
        <w:pStyle w:val="Heading2"/>
      </w:pPr>
      <w:r>
        <w:t>Soziale Bedarfe und Versorgungszugang nach Kostenträger</w:t>
      </w:r>
    </w:p>
    <w:p>
      <w:r>
        <w:rPr>
          <w:i/>
          <w:color w:val="666666"/>
          <w:sz w:val="18"/>
        </w:rPr>
        <w:t>Wang VH et al.  ·  Med Care  ·  10.08.2026  ·  PMID 42583901</w:t>
      </w:r>
    </w:p>
    <w:p>
      <w:r>
        <w:t>Querschnittsanalyse, wie häufig gesundheitsbezogene soziale Bedarfe je nach Versicherungsart auftreten und den Zugang zur Versorgung beeinflussen.</w:t>
      </w:r>
    </w:p>
    <w:p>
      <w:r>
        <w:rPr>
          <w:b/>
        </w:rPr>
        <w:t xml:space="preserve">Ergebnis: </w:t>
      </w:r>
      <w:r>
        <w:t>Unter 126.490 Befragten war Ernährungsunsicherheit bei Medicaid-Versicherten mit 49,20 % weit häufiger als bei privat (11,89 %) oder über Medicare (5,20 %) Versicherten; Wohnungsunsicherheit lag bei 54,61 %, 25,18 % und 14,99 %. Ernährungsunsicherheit ging in allen Gruppen mit häufiger unterlassener Versorgung einher.</w:t>
      </w:r>
    </w:p>
    <w:p>
      <w:r>
        <w:rPr>
          <w:color w:val="5A7D3A"/>
          <w:sz w:val="18"/>
        </w:rPr>
        <w:t>https://pubmed.ncbi.nlm.nih.gov/42583901/</w:t>
      </w:r>
    </w:p>
    <w:p>
      <w:pPr>
        <w:pStyle w:val="Heading2"/>
      </w:pPr>
      <w:r>
        <w:t>Leitlinientreue in der Nachsorge nach akuter Nierenschädigung</w:t>
      </w:r>
    </w:p>
    <w:p>
      <w:r>
        <w:rPr>
          <w:i/>
          <w:color w:val="666666"/>
          <w:sz w:val="18"/>
        </w:rPr>
        <w:t>Mok PLH et al.  ·  BMC Med  ·  12.08.2026  ·  PMID 42581362</w:t>
      </w:r>
    </w:p>
    <w:p>
      <w:r>
        <w:t>Routinedatenanalyse zur Frage, wie konsequent die empfohlene Nachsorge nach akuter Nierenschädigung umgesetzt wird.</w:t>
      </w:r>
    </w:p>
    <w:p>
      <w:r>
        <w:rPr>
          <w:b/>
        </w:rPr>
        <w:t xml:space="preserve">Ergebnis: </w:t>
      </w:r>
      <w:r>
        <w:t>Bei 209.222 Patientinnen und Patienten (279.187 Episoden) wurde die Nierenschädigung nur in 19,5 % kodiert (95%-KI 18,5–20,5); 72,6 % hatten Hausarztkontakt, aber nur 34,2 % eine Kreatininkontrolle nach 90 Tagen und 4,2 % eine Albumin-Kreatinin-Bestimmung. Die empfohlene Nachsorge findet weitgehend nicht statt.</w:t>
      </w:r>
    </w:p>
    <w:p>
      <w:r>
        <w:rPr>
          <w:color w:val="5A7D3A"/>
          <w:sz w:val="18"/>
        </w:rPr>
        <w:t>https://pubmed.ncbi.nlm.nih.gov/42581362/</w:t>
      </w:r>
    </w:p>
    <w:p>
      <w:pPr>
        <w:pStyle w:val="Heading1"/>
      </w:pPr>
      <w:r>
        <w:t>Aufgenommen am 10.08.2026</w:t>
      </w:r>
    </w:p>
    <w:p>
      <w:pPr>
        <w:pStyle w:val="Heading2"/>
      </w:pPr>
      <w:r>
        <w:t>ConcePTION-Algorithmus: Schwangerschaften in Routinedaten erkennen</w:t>
      </w:r>
    </w:p>
    <w:p>
      <w:r>
        <w:rPr>
          <w:i/>
          <w:color w:val="666666"/>
          <w:sz w:val="18"/>
        </w:rPr>
        <w:t>Limoncella G et al.  ·  Pharmacoepidemiol Drug Saf  ·  Aug. 2026  ·  PMID 42571911</w:t>
      </w:r>
    </w:p>
    <w:p>
      <w:r>
        <w:t>Entwicklung und Anwendung eines Algorithmus, der Schwangerschaften in bevölkerungsbezogenen Gesundheitsdatenbanken identifiziert.</w:t>
      </w:r>
    </w:p>
    <w:p>
      <w:r>
        <w:rPr>
          <w:b/>
        </w:rPr>
        <w:t xml:space="preserve">Ergebnis: </w:t>
      </w:r>
      <w:r>
        <w:t>Über 10 europäische Datenbanken wurden rund 2,7 Mio. Schwangerschaften erkannt; 50–83 % endeten in Lebendgeburten, 4–10 % in Fehlgeburten. Das Gestationsalter war für 6–89 % der Datensätze schätzbar (RMSE 17–50 Tage). Das verbessert die Nutzung von Routinedaten für die Arzneimittelsicherheit in der Schwangerschaft.</w:t>
      </w:r>
    </w:p>
    <w:p>
      <w:r>
        <w:rPr>
          <w:color w:val="5A7D3A"/>
          <w:sz w:val="18"/>
        </w:rPr>
        <w:t>https://pubmed.ncbi.nlm.nih.gov/42571911/</w:t>
      </w:r>
    </w:p>
    <w:p>
      <w:pPr>
        <w:pStyle w:val="Heading2"/>
      </w:pPr>
      <w:r>
        <w:t>Wartezeit von Diagnose bis Operation beim Zervixkarzinom</w:t>
      </w:r>
    </w:p>
    <w:p>
      <w:r>
        <w:rPr>
          <w:i/>
          <w:color w:val="666666"/>
          <w:sz w:val="18"/>
        </w:rPr>
        <w:t>Jalink M et al.  ·  Cancer Epidemiol  ·  04.08.2026  ·  PMID 42551070</w:t>
      </w:r>
    </w:p>
    <w:p>
      <w:r>
        <w:t>Kohortenstudie zum Zusammenhang zwischen dem Intervall Diagnose–Operation und dem Gesamtüberleben.</w:t>
      </w:r>
    </w:p>
    <w:p>
      <w:r>
        <w:rPr>
          <w:b/>
        </w:rPr>
        <w:t xml:space="preserve">Ergebnis: </w:t>
      </w:r>
      <w:r>
        <w:t>Bei 1.501 Patientinnen (mediane Wartezeit 80 Tage) war ein sehr kurzes Intervall (2–6 Wochen) mit erhöhtem Sterberisiko verbunden (HR 2,33; 95%-KI 1,14–4,77) gegenüber 10–14 Wochen; das Muster war U-förmig. Sowohl sehr kurze als auch sehr lange Wartezeiten erscheinen ungünstig.</w:t>
      </w:r>
    </w:p>
    <w:p>
      <w:r>
        <w:rPr>
          <w:color w:val="5A7D3A"/>
          <w:sz w:val="18"/>
        </w:rPr>
        <w:t>https://pubmed.ncbi.nlm.nih.gov/42551070/</w:t>
      </w:r>
    </w:p>
    <w:p>
      <w:pPr>
        <w:pStyle w:val="Heading1"/>
      </w:pPr>
      <w:r>
        <w:t>Aufgenommen am 09.08.2026</w:t>
      </w:r>
    </w:p>
    <w:p>
      <w:pPr>
        <w:pStyle w:val="Heading2"/>
      </w:pPr>
      <w:r>
        <w:t>Aufhörversuche beim Shisha-Rauchen junger Erwachsener in Deutschland</w:t>
      </w:r>
    </w:p>
    <w:p>
      <w:r>
        <w:rPr>
          <w:i/>
          <w:color w:val="666666"/>
          <w:sz w:val="18"/>
        </w:rPr>
        <w:t>Fedler C et al.  ·  Tob Use Insights  ·  07.08.2026  ·  PMID 42571166</w:t>
      </w:r>
    </w:p>
    <w:p>
      <w:r>
        <w:t>Befragung zu Aufhörverhalten und dessen Prädiktoren bei jungen Shisha-Rauchenden in Deutschland.</w:t>
      </w:r>
    </w:p>
    <w:p>
      <w:r>
        <w:rPr>
          <w:b/>
        </w:rPr>
        <w:t xml:space="preserve">Ergebnis: </w:t>
      </w:r>
      <w:r>
        <w:t>Nur 14,6 % (95%-KI 11,9–17,8) hatten je einen Aufhörversuch unternommen; die wahrgenommene Abhängigkeit war der einzige signifikante Prädiktor. Präventions- und Entwöhnungsangebote erreichen die Gruppe bislang kaum.</w:t>
      </w:r>
    </w:p>
    <w:p>
      <w:r>
        <w:rPr>
          <w:color w:val="5A7D3A"/>
          <w:sz w:val="18"/>
        </w:rPr>
        <w:t>https://pubmed.ncbi.nlm.nih.gov/42571166/</w:t>
      </w:r>
    </w:p>
    <w:p>
      <w:pPr>
        <w:pStyle w:val="Heading2"/>
      </w:pPr>
      <w:r>
        <w:t>Determinanten der Teilnahme am Mammographie-Screening (Ankara, Türkei)</w:t>
      </w:r>
    </w:p>
    <w:p>
      <w:r>
        <w:rPr>
          <w:i/>
          <w:color w:val="666666"/>
          <w:sz w:val="18"/>
        </w:rPr>
        <w:t>Topcu FB et al.  ·  BMC Health Serv Res  ·  07.08.2026  ·  PMID 42571012</w:t>
      </w:r>
    </w:p>
    <w:p>
      <w:r>
        <w:t>Querschnittstudie zu Faktoren, die die Inanspruchnahme der Brustkrebs-Früherkennung bei Frauen beeinflussen.</w:t>
      </w:r>
    </w:p>
    <w:p>
      <w:r>
        <w:rPr>
          <w:b/>
        </w:rPr>
        <w:t xml:space="preserve">Ergebnis: </w:t>
      </w:r>
      <w:r>
        <w:t>Frauen, die Screening-Programme kannten, nahmen 8,5-mal häufiger teil; nach früherer anderer Krebsfrüherkennung 5,5-mal häufiger; eine chronische Erkrankung verdoppelte die Chance. Bekanntheit und Aufklärung sind die zentralen Hebel.</w:t>
      </w:r>
    </w:p>
    <w:p>
      <w:r>
        <w:rPr>
          <w:color w:val="5A7D3A"/>
          <w:sz w:val="18"/>
        </w:rPr>
        <w:t>https://pubmed.ncbi.nlm.nih.gov/42571012/</w:t>
      </w:r>
    </w:p>
    <w:p>
      <w:pPr>
        <w:pStyle w:val="Heading2"/>
      </w:pPr>
      <w:r>
        <w:t>Therapieunterbrechende Systemfehler der Heim-Peritonealdialyse (HomeChoice-Cycler)</w:t>
      </w:r>
    </w:p>
    <w:p>
      <w:r>
        <w:rPr>
          <w:i/>
          <w:color w:val="666666"/>
          <w:sz w:val="18"/>
        </w:rPr>
        <w:t>Albert A et al.  ·  BMC Health Serv Res  ·  08.08.2026  ·  PMID 42571003</w:t>
      </w:r>
    </w:p>
    <w:p>
      <w:r>
        <w:t>Analyse technischer Fehler bei der Heimdialyse und ihrer Häufigkeit im Versorgungsalltag.</w:t>
      </w:r>
    </w:p>
    <w:p>
      <w:r>
        <w:rPr>
          <w:b/>
        </w:rPr>
        <w:t xml:space="preserve">Ergebnis: </w:t>
      </w:r>
      <w:r>
        <w:t>49 verschiedene Fehlertypen in 138 Vorfällen; Druckkammer-Fehler machten 21,7 % aus; Fehler traten in unter 0,25 % der Behandlungssitzungen auf. Die Heimtechnik ist überwiegend zuverlässig; einzelne Fehlerquellen sind gezielt adressierbar.</w:t>
      </w:r>
    </w:p>
    <w:p>
      <w:r>
        <w:rPr>
          <w:color w:val="5A7D3A"/>
          <w:sz w:val="18"/>
        </w:rPr>
        <w:t>https://pubmed.ncbi.nlm.nih.gov/42571003/</w:t>
      </w:r>
    </w:p>
    <w:p>
      <w:pPr>
        <w:pStyle w:val="Heading2"/>
      </w:pPr>
      <w:r>
        <w:t>Lebensqualität nach risikoreduzierender Hysterektomie</w:t>
      </w:r>
    </w:p>
    <w:p>
      <w:r>
        <w:rPr>
          <w:i/>
          <w:color w:val="666666"/>
          <w:sz w:val="18"/>
        </w:rPr>
        <w:t>Oxley S et al.  ·  Gynecol Oncol  ·  08.08.2026  ·  PMID 42570385</w:t>
      </w:r>
    </w:p>
    <w:p>
      <w:r>
        <w:t>Untersuchung der gesundheitsbezogenen Lebensqualität (Nutzwerte) nach vorbeugender Gebärmutterentfernung.</w:t>
      </w:r>
    </w:p>
    <w:p>
      <w:r>
        <w:rPr>
          <w:b/>
        </w:rPr>
        <w:t xml:space="preserve">Ergebnis: </w:t>
      </w:r>
      <w:r>
        <w:t>Mittlere Nutzwerte lagen je nach Eingriff und Zeitpunkt zwischen 0,670 und 0,942, mit signifikanten Gruppenunterschieden (p &lt; 0,001). Art und Zeitpunkt des Eingriffs beeinflussen die Lebensqualität deutlich.</w:t>
      </w:r>
    </w:p>
    <w:p>
      <w:r>
        <w:rPr>
          <w:color w:val="5A7D3A"/>
          <w:sz w:val="18"/>
        </w:rPr>
        <w:t>https://pubmed.ncbi.nlm.nih.gov/42570385/</w:t>
      </w:r>
    </w:p>
    <w:p>
      <w:pPr>
        <w:pStyle w:val="Heading2"/>
      </w:pPr>
      <w:r>
        <w:t>Orale Antikoagulation und neu auftretende Demenz bei Vorhofflimmern</w:t>
      </w:r>
    </w:p>
    <w:p>
      <w:r>
        <w:rPr>
          <w:i/>
          <w:color w:val="666666"/>
          <w:sz w:val="18"/>
        </w:rPr>
        <w:t>Belachew EA et al.  ·  Geroscience  ·  08.08.2026  ·  PMID 42570194</w:t>
      </w:r>
    </w:p>
    <w:p>
      <w:r>
        <w:t>Real-World-Kohortenstudie zum Zusammenhang zwischen Art des Gerinnungshemmers und Demenzrisiko.</w:t>
      </w:r>
    </w:p>
    <w:p>
      <w:r>
        <w:rPr>
          <w:b/>
        </w:rPr>
        <w:t xml:space="preserve">Ergebnis: </w:t>
      </w:r>
      <w:r>
        <w:t>DOAK gingen mit geringerem Demenzrisiko einher (HR 0,63; 95%-KI 0,56–0,70), Warfarin mit höherem Risiko (HR 1,31; 95%-KI 1,16–1,49). Die Wirkstoffwahl könnte für die kognitive Langzeitprognose bedeutsam sein.</w:t>
      </w:r>
    </w:p>
    <w:p>
      <w:r>
        <w:rPr>
          <w:color w:val="5A7D3A"/>
          <w:sz w:val="18"/>
        </w:rPr>
        <w:t>https://pubmed.ncbi.nlm.nih.gov/42570194/</w:t>
      </w:r>
    </w:p>
    <w:p>
      <w:pPr>
        <w:pStyle w:val="Heading2"/>
      </w:pPr>
      <w:r>
        <w:t>Adhärenz zu Bewegungsleitlinien bei US-Krebsüberlebenden</w:t>
      </w:r>
    </w:p>
    <w:p>
      <w:r>
        <w:rPr>
          <w:i/>
          <w:color w:val="666666"/>
          <w:sz w:val="18"/>
        </w:rPr>
        <w:t>Kumar G et al.  ·  J Cancer Surviv  ·  08.08.2026  ·  PMID 42570052</w:t>
      </w:r>
    </w:p>
    <w:p>
      <w:r>
        <w:t>Auswertung landesweiter Surveydaten zur Einhaltung der Empfehlungen für körperliche Aktivität über die Zeit.</w:t>
      </w:r>
    </w:p>
    <w:p>
      <w:r>
        <w:rPr>
          <w:b/>
        </w:rPr>
        <w:t xml:space="preserve">Ergebnis: </w:t>
      </w:r>
      <w:r>
        <w:t>Die Adhärenz stieg von 9,2 % (2010) auf 22,0 % (2015) und fiel bis 2020 wieder auf 8,7 %. Anhaltend niedrige, zuletzt rückläufige Werte weisen auf Versorgungslücken in der Bewegungsförderung hin.</w:t>
      </w:r>
    </w:p>
    <w:p>
      <w:r>
        <w:rPr>
          <w:color w:val="5A7D3A"/>
          <w:sz w:val="18"/>
        </w:rPr>
        <w:t>https://pubmed.ncbi.nlm.nih.gov/42570052/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Versorgungsforschung</dc:title>
  <dc:subject/>
  <dc:creator>Monitor Versorgungsforschung</dc:creator>
  <cp:keywords/>
  <dc:description>generated by python-docx</dc:description>
  <cp:lastModifiedBy/>
  <cp:revision>1</cp:revision>
  <dcterms:created xsi:type="dcterms:W3CDTF">2026-09-24T06:00:00Z</dcterms:created>
  <dcterms:modified xsi:type="dcterms:W3CDTF">2026-09-24T06:00:00Z</dcterms:modified>
  <cp:category/>
</cp:coreProperties>
</file>