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15.10.2026  |  6 Studien  |  wissen.m-vf.de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Online-Diabetesschulung in England: Langzeit-Kosteneffektivität einer kostenlosen Interventionen</w:t>
      </w:r>
    </w:p>
    <w:p>
      <w:r>
        <w:rPr>
          <w:i/>
          <w:color w:val="666666"/>
          <w:sz w:val="18"/>
        </w:rPr>
        <w:t>Paterson L et al.  ·  Diabet Med  ·  14.10.2026  ·  PMID 42875188</w:t>
      </w:r>
    </w:p>
    <w:p>
      <w:r>
        <w:t>Eine Simulation mit Routinedaten zur Kosteneffektivität eines kostenlosen Online-Schulungsprogramms für Typ-2-Diabetes in England über die gesamte Lebensspanne.</w:t>
      </w:r>
    </w:p>
    <w:p>
      <w:r>
        <w:rPr>
          <w:b/>
        </w:rPr>
        <w:t xml:space="preserve">Ergebnis: </w:t>
      </w:r>
      <w:r>
        <w:t>Modest improvement in health (0,016 QALYs), kleine Reduktion der Lebenszeit-Kosten (-4 £/Person), netto £216/Nutzer mit Cost-per-QALY von £13.192 unter dem NICE-Schwellenwert (£25.000/QALY), also kosteneffektiv.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NHS-Perspektive; teilweise übertragbar auf deutsche gesetzliche Krankenversicherung bei ähnlichen Interventionskosten.</w:t>
      </w:r>
    </w:p>
    <w:p>
      <w:r>
        <w:rPr>
          <w:color w:val="5A7D3A"/>
          <w:sz w:val="18"/>
        </w:rPr>
        <w:t>https://pubmed.ncbi.nlm.nih.gov/42875188/</w:t>
      </w:r>
    </w:p>
    <w:p>
      <w:pPr>
        <w:pStyle w:val="Heading2"/>
      </w:pPr>
      <w:r>
        <w:t>Versorgungsungleichheiten bei kolorektalen Lebermetastasen in England</w:t>
      </w:r>
    </w:p>
    <w:p>
      <w:r>
        <w:rPr>
          <w:i/>
          <w:color w:val="666666"/>
          <w:sz w:val="18"/>
        </w:rPr>
        <w:t>Saito MK et al.  ·  J Cancer Policy  ·  14.10.2026  ·  PMID 42874958</w:t>
      </w:r>
    </w:p>
    <w:p>
      <w:r>
        <w:t>Analyse von Versorgungsungleichheiten in der Leberteilresektion bei synchronen/metachronen Lebermetastasen nach sozioökonomischem Status.</w:t>
      </w:r>
    </w:p>
    <w:p>
      <w:r>
        <w:rPr>
          <w:b/>
        </w:rPr>
        <w:t xml:space="preserve">Ergebnis: </w:t>
      </w:r>
      <w:r>
        <w:t>Kumulative Resektions-/Ablationsraten 8,7% (synchron) bzw. 23,5% (metachron); adjusted Ungleichheitslücke zwischen ärmster und wohlhabendster Gruppe 2,6% bei synchronen Metastasen, 1,0% bei metachronen.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Krebsregisterdaten; Befunde zur equity-gap in der Spezialisten-Zuweisung relevant für deutsche Diskussion zur Gleichheit der Krebsversorgung.</w:t>
      </w:r>
    </w:p>
    <w:p>
      <w:r>
        <w:rPr>
          <w:color w:val="5A7D3A"/>
          <w:sz w:val="18"/>
        </w:rPr>
        <w:t>https://pubmed.ncbi.nlm.nih.gov/42874958/</w:t>
      </w:r>
    </w:p>
    <w:p>
      <w:pPr>
        <w:pStyle w:val="Heading2"/>
      </w:pPr>
      <w:r>
        <w:t>Langzeitprognose zwangsweise psychiatrisch behandelter Personen in Norwegen</w:t>
      </w:r>
    </w:p>
    <w:p>
      <w:r>
        <w:rPr>
          <w:i/>
          <w:color w:val="666666"/>
          <w:sz w:val="18"/>
        </w:rPr>
        <w:t>Hofstad T et al.  ·  Lancet Psychiatry  ·  Nov. 2026  ·  PMID 42874602</w:t>
      </w:r>
    </w:p>
    <w:p>
      <w:r>
        <w:t>Nationale Registerstudie zur Langzeitprognose (Gesundheit, Kriminalität, Sozioökonomie) bei Personen mit Zwangsbetreuung, Zwangseinweisung und freiwilliger Behandlung.</w:t>
      </w:r>
    </w:p>
    <w:p>
      <w:r>
        <w:rPr>
          <w:b/>
        </w:rPr>
        <w:t xml:space="preserve">Ergebnis: </w:t>
      </w:r>
      <w:r>
        <w:t>Zwangsbetreuungsgruppen zeigten deutlich schlechtere Outcomes: Selbstschadensrisiko in Beobachtungsgruppe 12% (Frauen) vs. 5,5% (Männer); Substanzstörung 39-53%; Gewalt-/Sexualvergehen 14-37%; Invalidenrente CTOs 89-93%; 55,7% der Todesfälle durch Suizid/externe Ursachen.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 Registerdaten, ähnlich skandinavisches Gesundheitssystem; Outcomes-Benchmarks für Versorgungsplanung relevant auch für deutsche Psychiatrie.</w:t>
      </w:r>
    </w:p>
    <w:p>
      <w:r>
        <w:rPr>
          <w:color w:val="5A7D3A"/>
          <w:sz w:val="18"/>
        </w:rPr>
        <w:t>https://pubmed.ncbi.nlm.nih.gov/42874602/</w:t>
      </w:r>
    </w:p>
    <w:p>
      <w:pPr>
        <w:pStyle w:val="Heading2"/>
      </w:pPr>
      <w:r>
        <w:t>Digitale Zwillinge und Patientenrechte: Qualitative Studie mit älteren Patienten</w:t>
      </w:r>
    </w:p>
    <w:p>
      <w:r>
        <w:rPr>
          <w:i/>
          <w:color w:val="666666"/>
          <w:sz w:val="18"/>
        </w:rPr>
        <w:t>Zhang W et al.  ·  BMC Health Serv Res  ·  27.08.2026  ·  PMID 42870264</w:t>
      </w:r>
    </w:p>
    <w:p>
      <w:r>
        <w:t>Qualitative Studie (22 Interviews) zu Perspektiven älterer Patienten (≥65 Jahren) mit chronischen Erkrankungen auf die Verwendung ihrer Daten für Virtual Models/digitale Zwillinge.</w:t>
      </w:r>
    </w:p>
    <w:p>
      <w:r>
        <w:rPr>
          <w:b/>
        </w:rPr>
        <w:t xml:space="preserve">Ergebnis: </w:t>
      </w:r>
      <w:r>
        <w:t>Fünf zentrale Themen: (1) Konzeptuelle Undurchsichtigkeit, (2) existenzielles Unbehagen vor manipulierbarem digitalen Abbild ('uncanny self'), (3) Zustimmungsinadäquanz, (4) 'trapped self' (irreversible Datenintegration), (5) Forderung nach Benachrichtigung, laufender Zustimmung, digitaler Löschung und Transparenz.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britische Studie (Wenzhou, China); Befunde zu Patientenperspektive auf KI-Datenverwertung systemübergreifend relevant für deutsche Governance und Ethik.</w:t>
      </w:r>
    </w:p>
    <w:p>
      <w:r>
        <w:rPr>
          <w:color w:val="5A7D3A"/>
          <w:sz w:val="18"/>
        </w:rPr>
        <w:t>https://pubmed.ncbi.nlm.nih.gov/42870264/</w:t>
      </w:r>
    </w:p>
    <w:p>
      <w:pPr>
        <w:pStyle w:val="Heading2"/>
      </w:pPr>
      <w:r>
        <w:t>Patientenwahl des Hausarztes: Kontextuelle Hindernisse in Schweden</w:t>
      </w:r>
    </w:p>
    <w:p>
      <w:r>
        <w:rPr>
          <w:i/>
          <w:color w:val="666666"/>
          <w:sz w:val="18"/>
        </w:rPr>
        <w:t>Blomberg-Ohlström C et al.  ·  BMC Health Serv Res  ·  11.10.2026  ·  PMID 42870246</w:t>
      </w:r>
    </w:p>
    <w:p>
      <w:r>
        <w:t>Qualitative Studie (18 Interviews) zu Bedingungen, die Wahlentscheidungen für Hausarztpraxen beeinflussen; Vergleich mit Wahlen von Pflege- und Schulservices.</w:t>
      </w:r>
    </w:p>
    <w:p>
      <w:r>
        <w:rPr>
          <w:b/>
        </w:rPr>
        <w:t xml:space="preserve">Ergebnis: </w:t>
      </w:r>
      <w:r>
        <w:t>Fünf Kontextfaktoren für niedrige Wahlaktivität: (1) geringe Wahlnotwendigkeit, (2) unsichtbare Anbieterunterschied, (3) Erwartung gleicher Qualität, (4) persönliche Beziehungen, (5) Kontinuität der Beziehung; weniger Informationssuche als bei anderen Dienstleistungen.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qualitative Studie; Befunde zu Wahl-Hürden im Hausarztsektor übertragbar auf deutsches Modell mit begrenztem Wettbewerb.</w:t>
      </w:r>
    </w:p>
    <w:p>
      <w:r>
        <w:rPr>
          <w:color w:val="5A7D3A"/>
          <w:sz w:val="18"/>
        </w:rPr>
        <w:t>https://pubmed.ncbi.nlm.nih.gov/42870246/</w:t>
      </w:r>
    </w:p>
    <w:p>
      <w:pPr>
        <w:pStyle w:val="Heading2"/>
      </w:pPr>
      <w:r>
        <w:t>Nurse-Navigation bei Krebspatienten: RCT-Ergebnisse aus Sachsen</w:t>
      </w:r>
    </w:p>
    <w:p>
      <w:r>
        <w:rPr>
          <w:i/>
          <w:color w:val="666666"/>
          <w:sz w:val="18"/>
        </w:rPr>
        <w:t>Porzig R et al.  ·  Res Health Serv Reg  ·  14.10.2026  ·  PMID 42870145</w:t>
      </w:r>
    </w:p>
    <w:p>
      <w:r>
        <w:t>Randomisierte kontrollierte Studie zur Wirkung eines 12-Monate-Nurse-Navigation-Programms (Onkolotse) auf Krankenhausaufenthalte, psychische Belastung und Kosten.</w:t>
      </w:r>
    </w:p>
    <w:p>
      <w:r>
        <w:rPr>
          <w:b/>
        </w:rPr>
        <w:t xml:space="preserve">Ergebnis: </w:t>
      </w:r>
      <w:r>
        <w:t>Hospitalisierungsrate ITT 43,9% (Intervention) vs. 51,6% (Kontrolle), n.s. (OR 0,74, 95% CI 0,45–1,20, p=0,219); HADS-Angst Δ-0,75 (n.s.), Depression Δ-0,56 (n.s.); Kosten median 14.224€ vs. 12.560€ (n.s.).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(Sachsen, 258 Patienten, 2017–2022); direkt relevant für deutsches Versorgungssystem, dennoch unterversorgt (statistische Kraft unzureichend).</w:t>
      </w:r>
    </w:p>
    <w:p>
      <w:r>
        <w:rPr>
          <w:color w:val="5A7D3A"/>
          <w:sz w:val="18"/>
        </w:rPr>
        <w:t>https://pubmed.ncbi.nlm.nih.gov/42870145/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