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27.08.2026  |  6 Studien  |  wissen.m-vf.de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Safeguarding concerns older adults with dementia in England: distribution and disparities</w:t>
      </w:r>
    </w:p>
    <w:p>
      <w:r>
        <w:rPr>
          <w:i/>
          <w:color w:val="666666"/>
          <w:sz w:val="18"/>
        </w:rPr>
        <w:t>Maharani A et al.  ·  BMJ Open  ·  26.08.2026  ·  PMID 42648775</w:t>
      </w:r>
    </w:p>
    <w:p>
      <w:r>
        <w:t>Bevölkerungsgestützte Analyse räumlicher und zeitlicher Muster von Schutzmaßnahmen für demenzkranke Menschen in England zwischen 2015 und 2022.</w:t>
      </w:r>
    </w:p>
    <w:p>
      <w:r>
        <w:rPr>
          <w:b/>
        </w:rPr>
        <w:t xml:space="preserve">Ergebnis: </w:t>
      </w:r>
      <w:r>
        <w:t>Schutzmaßnahmen stiegen um 55,5 % (2015/16–2019/20); Frauen ab 85 Jahren zeigten höhere Raten; räumliche Variabilität: höhere Aktivität in urbanen und benachteiligten Regionen (Manchester, Liverpool, Midlands), niedrigere in ländlichen Gebieten.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administrative nationale Daten – eingeschränkt übertragbar wegen anderer Sozialsysteme</w:t>
      </w:r>
    </w:p>
    <w:p>
      <w:r>
        <w:rPr>
          <w:color w:val="5A7D3A"/>
          <w:sz w:val="18"/>
        </w:rPr>
        <w:t>https://pubmed.ncbi.nlm.nih.gov/42648775/</w:t>
      </w:r>
    </w:p>
    <w:p>
      <w:pPr>
        <w:pStyle w:val="Heading2"/>
      </w:pPr>
      <w:r>
        <w:t>Implementierung eines Care-Bundle für intracerebrale Blutungen in Nordengland</w:t>
      </w:r>
    </w:p>
    <w:p>
      <w:r>
        <w:rPr>
          <w:i/>
          <w:color w:val="666666"/>
          <w:sz w:val="18"/>
        </w:rPr>
        <w:t>Brunton L et al.  ·  BMJ Open Qual  ·  26.08.2026  ·  PMID 42648747</w:t>
      </w:r>
    </w:p>
    <w:p>
      <w:r>
        <w:t>Qualitative Prozessevaluation der Ausrollung eines ICH-Management-Bundles über sechs Regionen mit 45 Interviews, sechs Beobachtungen und Dokumentenanalyse.</w:t>
      </w:r>
    </w:p>
    <w:p>
      <w:r>
        <w:rPr>
          <w:b/>
        </w:rPr>
        <w:t xml:space="preserve">Ergebnis: </w:t>
      </w:r>
      <w:r>
        <w:t>Begünstigte Faktoren: Interventionsklarheit, Kompatibilität mit Kliniker-Werten, lokale Adaptabilität. Barrieren: mangelnde Fähigkeiten, kulturelle Normen führten zu Überweisungen unabhängig Kriterien, unzureichendes Monitoring der Prozeßziele.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NHS-Kontext – bedingt übertragbar auf deutsches stationäres System</w:t>
      </w:r>
    </w:p>
    <w:p>
      <w:r>
        <w:rPr>
          <w:color w:val="5A7D3A"/>
          <w:sz w:val="18"/>
        </w:rPr>
        <w:t>https://pubmed.ncbi.nlm.nih.gov/42648747/</w:t>
      </w:r>
    </w:p>
    <w:p>
      <w:pPr>
        <w:pStyle w:val="Heading2"/>
      </w:pPr>
      <w:r>
        <w:t>Governance-Konfigurationen koordinierter Gesundheitsförderung in Kommunen</w:t>
      </w:r>
    </w:p>
    <w:p>
      <w:r>
        <w:rPr>
          <w:i/>
          <w:color w:val="666666"/>
          <w:sz w:val="18"/>
        </w:rPr>
        <w:t>Richter H et al.  ·  BMC Health Serv Res  ·  22.08.2026  ·  PMID 42642761</w:t>
      </w:r>
    </w:p>
    <w:p>
      <w:r>
        <w:t>Egozentrische Netzwerkanalyse der Koordinationsmuster von 14 Gesundheitsfachpersonen in deutschen Grundschulen und Nachbarschaften mit 662 erfassten Personen.</w:t>
      </w:r>
    </w:p>
    <w:p>
      <w:r>
        <w:rPr>
          <w:b/>
        </w:rPr>
        <w:t xml:space="preserve">Ergebnis: </w:t>
      </w:r>
      <w:r>
        <w:t>Drei Governance-Konfigurationen identifiziert: ego-abhängige Integration, ersetzbare Koordination und verteilte Integration. Netzwerkstabilität hängt weniger von Akteur-Dichte ab als von Struktur des Brokerage und Formalität alternativer Koordinationspfade.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kommunale Gesundheitsförderung – direkt übertragbar</w:t>
      </w:r>
    </w:p>
    <w:p>
      <w:r>
        <w:rPr>
          <w:color w:val="5A7D3A"/>
          <w:sz w:val="18"/>
        </w:rPr>
        <w:t>https://pubmed.ncbi.nlm.nih.gov/42642761/</w:t>
      </w:r>
    </w:p>
    <w:p>
      <w:pPr>
        <w:pStyle w:val="Heading2"/>
      </w:pPr>
      <w:r>
        <w:t>Telemedicine in ländlicher Demenzversorgung in Hocheinkommensländern</w:t>
      </w:r>
    </w:p>
    <w:p>
      <w:r>
        <w:rPr>
          <w:i/>
          <w:color w:val="666666"/>
          <w:sz w:val="18"/>
        </w:rPr>
        <w:t>Devarshi R et al.  ·  BMC Health Serv Res  ·  19.08.2026  ·  PMID 42642758</w:t>
      </w:r>
    </w:p>
    <w:p>
      <w:r>
        <w:t>Scoping Review mit 9 Studien aus USA, Australien, Kanada, Griechenland und UK zur Integration von Telemedizin in ländliche Demenzsysteme (2014–2025).</w:t>
      </w:r>
    </w:p>
    <w:p>
      <w:r>
        <w:rPr>
          <w:b/>
        </w:rPr>
        <w:t xml:space="preserve">Ergebnis: </w:t>
      </w:r>
      <w:r>
        <w:t>Wichtige Barrieren: begrenzte Konnektivität, digitale Grundbildung, Gesundheitsbeeinträchtigungen; Begünstigter: Vertrauen zu Providern, organisationale Unterstützung. Strategien: Schulung, dedizierte Koordinationsrollen, Co-Design mit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Hocheinkommensländer, rural – teilweise übertragbar, systemische Unterschiede bei Finanzierung</w:t>
      </w:r>
    </w:p>
    <w:p>
      <w:r>
        <w:rPr>
          <w:color w:val="5A7D3A"/>
          <w:sz w:val="18"/>
        </w:rPr>
        <w:t>https://pubmed.ncbi.nlm.nih.gov/42642758/</w:t>
      </w:r>
    </w:p>
    <w:p>
      <w:pPr>
        <w:pStyle w:val="Heading2"/>
      </w:pPr>
      <w:r>
        <w:t>Überdiagnose in Krebsscreening: Perspektiven von Gesundheitsfachpersonen</w:t>
      </w:r>
    </w:p>
    <w:p>
      <w:r>
        <w:rPr>
          <w:i/>
          <w:color w:val="666666"/>
          <w:sz w:val="18"/>
        </w:rPr>
        <w:t>Piessens V et al.  ·  BMC Health Serv Res  ·  23.07.2026  ·  PMID 42642748</w:t>
      </w:r>
    </w:p>
    <w:p>
      <w:r>
        <w:t>Qualitative Interviews mit 34 Gesundheitsfachpersonen in Flandern zur Wahrnehmung und zum Umgang mit Überdiagnose in Brust-, Lungen- und Prostata-Screening.</w:t>
      </w:r>
    </w:p>
    <w:p>
      <w:r>
        <w:rPr>
          <w:b/>
        </w:rPr>
        <w:t xml:space="preserve">Ergebnis: </w:t>
      </w:r>
      <w:r>
        <w:t>Drei Positionen: RoutineScreening (Überdiagnose ignoriert), Determined Screening (Vorteile betont, Überdiagnose marginalisiert) und Cautious Screening (Überdiagnose kritisch). Begünstigte Faktoren für reflektiertes Handeln: umfassendes Verständnis von Nutzen und Schaden.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Sozialversicherungssystem – gut übertragbar auf Deutschland</w:t>
      </w:r>
    </w:p>
    <w:p>
      <w:r>
        <w:rPr>
          <w:color w:val="5A7D3A"/>
          <w:sz w:val="18"/>
        </w:rPr>
        <w:t>https://pubmed.ncbi.nlm.nih.gov/42642748/</w:t>
      </w:r>
    </w:p>
    <w:p>
      <w:pPr>
        <w:pStyle w:val="Heading2"/>
      </w:pPr>
      <w:r>
        <w:t>Räumliche Erreichbarkeit stationärer Hospize in Deutschland</w:t>
      </w:r>
    </w:p>
    <w:p>
      <w:r>
        <w:rPr>
          <w:i/>
          <w:color w:val="666666"/>
          <w:sz w:val="18"/>
        </w:rPr>
        <w:t>Xie M et al.  ·  BMC Public Health  ·  08.08.2026  ·  PMID 42642737</w:t>
      </w:r>
    </w:p>
    <w:p>
      <w:r>
        <w:t>Räumliche Zugangsanalyse zu 295 stationären Hospizen mittels Erreichbarkeitsindizes (Angebots-Bevölkerungs-Verhältnisse, Reisezeit-Netzwerk, 2SFCA, E2SFCA).</w:t>
      </w:r>
    </w:p>
    <w:p>
      <w:r>
        <w:rPr>
          <w:b/>
        </w:rPr>
        <w:t xml:space="preserve">Ergebnis: </w:t>
      </w:r>
      <w:r>
        <w:t>36,4 Betten pro 1 Mio. Einwohner national; 90,3 % der Bevölkerung erreicht Hospiz innerhalb 30 Min. Autofahrt; ländliche Gebiete zeigen niedrigere Zugänglichkeit; Methodenwahl beeinflußt Ergebnisse erheblich (2SFCA vs. E2SFCA).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Routinedaten – direkt übertragbar</w:t>
      </w:r>
    </w:p>
    <w:p>
      <w:r>
        <w:rPr>
          <w:color w:val="5A7D3A"/>
          <w:sz w:val="18"/>
        </w:rPr>
        <w:t>https://pubmed.ncbi.nlm.nih.gov/42642737/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