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02.10.2026  |  6 Studien  |  wissen.m-vf.de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Kosteffektivität konservativer Sauerstofftherapie bei beatmeten Intensivpatienten</w:t>
      </w:r>
    </w:p>
    <w:p>
      <w:r>
        <w:rPr>
          <w:i/>
          <w:color w:val="666666"/>
          <w:sz w:val="18"/>
        </w:rPr>
        <w:t>Zhu Z et al.  ·  Value Health  ·  01.10.2026  ·  PMID 42822832</w:t>
      </w:r>
    </w:p>
    <w:p>
      <w:r>
        <w:t>Eine ökonomische Evaluation der UK-ROX-Studie verglich konservative versus übliche Sauerstofftherapie bei invasiv beatmeten Patienten hinsichtlich Kosten, Lebensqualität und QALY-Gewinne über 90 Tage.</w:t>
      </w:r>
    </w:p>
    <w:p>
      <w:r>
        <w:rPr>
          <w:b/>
        </w:rPr>
        <w:t xml:space="preserve">Ergebnis: </w:t>
      </w:r>
      <w:r>
        <w:t>Konservative Sauerstofftherapie war kostensparend (inkrementelle Kosten −968 £, 95% KI −2279–342 £) mit ähnlichen QALY-Gewinnen (inkrementell 0,001, 95% KI −0,002–0,003); das inkrementelle Nettomonetäre Benefit betrug 979 £, beide Schätzungen aber mit erheblicher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UK-Daten; Fragestellung zu ICU-Managementprozessen und Kosteneffektivität systemunabhängig bedeutsam</w:t>
      </w:r>
    </w:p>
    <w:p>
      <w:r>
        <w:rPr>
          <w:color w:val="5A7D3A"/>
          <w:sz w:val="18"/>
        </w:rPr>
        <w:t>https://pubmed.ncbi.nlm.nih.gov/42822832/</w:t>
      </w:r>
    </w:p>
    <w:p>
      <w:pPr>
        <w:pStyle w:val="Heading2"/>
      </w:pPr>
      <w:r>
        <w:t>Sonelokimab bei moderater bis schwerer Hidradenitis suppurativa</w:t>
      </w:r>
    </w:p>
    <w:p>
      <w:r>
        <w:rPr>
          <w:i/>
          <w:color w:val="666666"/>
          <w:sz w:val="18"/>
        </w:rPr>
        <w:t>Kimball AB et al.  ·  J Am Acad Dermatol  ·  01.10.2026  ·  PMID 42822776</w:t>
      </w:r>
    </w:p>
    <w:p>
      <w:r>
        <w:t>Phase-2-Studie (MIRA) zur Wirksamkeit und Sicherheit des IL-17A/F-inhibierenden Nanobody Sonelokimab versus Placebo bei 234 Patienten mit Hidradenitis suppurativa.</w:t>
      </w:r>
    </w:p>
    <w:p>
      <w:r>
        <w:rPr>
          <w:b/>
        </w:rPr>
        <w:t xml:space="preserve">Ergebnis: </w:t>
      </w:r>
      <w:r>
        <w:t>Sonelokimab 120 mg erreichte HiSCR75 bei 43% (p&lt;0,001) und 240 mg bei 35% (p=0,007) versus Placebo 15%; Placebo-adjustierte Response bei Woche 12 und Erhalt oder Verbesserung bis Woche 24;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Studie; neue therapeutische Option, Fragestellung zur klinischen Wirksamkeit systemunabhängig</w:t>
      </w:r>
    </w:p>
    <w:p>
      <w:r>
        <w:rPr>
          <w:color w:val="5A7D3A"/>
          <w:sz w:val="18"/>
        </w:rPr>
        <w:t>https://pubmed.ncbi.nlm.nih.gov/42822776/</w:t>
      </w:r>
    </w:p>
    <w:p>
      <w:pPr>
        <w:pStyle w:val="Heading2"/>
      </w:pPr>
      <w:r>
        <w:t>Insulindosierung im Alltag: Kohlenhydratberechnung bei Typ-1-Diabetes</w:t>
      </w:r>
    </w:p>
    <w:p>
      <w:r>
        <w:rPr>
          <w:i/>
          <w:color w:val="666666"/>
          <w:sz w:val="18"/>
        </w:rPr>
        <w:t>Everett EM et al.  ·  Endocr Pract  ·  01.10.2026  ·  PMID 42822598</w:t>
      </w:r>
    </w:p>
    <w:p>
      <w:r>
        <w:t>Versorgungsforschungsstudie mit 903 Erwachsenen mit Typ-1-Diabetes zur Charakterisierung realer Insulindosierungsstrategien, Abweichungen zwischen Patientenangaben und dokumentierten Vorgaben sowie Nutzung von Smartphone-Apps zur Kohlenhydratberechnung.</w:t>
      </w:r>
    </w:p>
    <w:p>
      <w:r>
        <w:rPr>
          <w:b/>
        </w:rPr>
        <w:t xml:space="preserve">Ergebnis: </w:t>
      </w:r>
      <w:r>
        <w:t>54% berichteten Kohlenhydratberechnung, 39% erfahrungsbasierte Schätzung, 2% Festdosierung; HbA1c unterschied sich nicht zwischen Strategien; 51% nutzten Apps niemals; Hauptbarrieren waren Memorisation häufiger Lebensmittel und wahrgenommene Zeitbelastung.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Versorgungsforschung zu praktischen Diabetesmanagement-Strategien und Patient-Reported-Outcomes übertragbar</w:t>
      </w:r>
    </w:p>
    <w:p>
      <w:r>
        <w:rPr>
          <w:color w:val="5A7D3A"/>
          <w:sz w:val="18"/>
        </w:rPr>
        <w:t>https://pubmed.ncbi.nlm.nih.gov/42822598/</w:t>
      </w:r>
    </w:p>
    <w:p>
      <w:pPr>
        <w:pStyle w:val="Heading2"/>
      </w:pPr>
      <w:r>
        <w:t>Virtual Nursing in der Notaufnahme: Dokumentation und Unterbrechungen</w:t>
      </w:r>
    </w:p>
    <w:p>
      <w:r>
        <w:rPr>
          <w:i/>
          <w:color w:val="666666"/>
          <w:sz w:val="18"/>
        </w:rPr>
        <w:t>Khairat S et al.  ·  J Am Med Inform Assoc  ·  01.10.2026  ·  PMID 42821433</w:t>
      </w:r>
    </w:p>
    <w:p>
      <w:r>
        <w:t>Nicht-randomisierte Kohortenstudie zur Auswirkung von Virtual Nursing auf Dokumentationsvollständigkeit, Aufnahmeuntersuchungsdauer und Arbeitsunterbrechungen bei stationär aufgenommenen Patienten.</w:t>
      </w:r>
    </w:p>
    <w:p>
      <w:r>
        <w:rPr>
          <w:b/>
        </w:rPr>
        <w:t xml:space="preserve">Ergebnis: </w:t>
      </w:r>
      <w:r>
        <w:t>Virtual Nursing war mit 3,16 Minuten längerer Aufnahmedauer verbunden, aber signifikant mehr abgeschlossenen Aufnahmeuntersuchungsaufgaben und signifikant weniger Unterbrechungen im Vergleich zu persönlichen Aufnahmen.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Versorgungsprozess und Workflow-Optimierung systemunabhängig relevant</w:t>
      </w:r>
    </w:p>
    <w:p>
      <w:r>
        <w:rPr>
          <w:color w:val="5A7D3A"/>
          <w:sz w:val="18"/>
        </w:rPr>
        <w:t>https://pubmed.ncbi.nlm.nih.gov/42821433/</w:t>
      </w:r>
    </w:p>
    <w:p>
      <w:pPr>
        <w:pStyle w:val="Heading2"/>
      </w:pPr>
      <w:r>
        <w:t>Tuberkulöse Spondylodiszitis in Deutschland: Epidemiologie und Verlauf</w:t>
      </w:r>
    </w:p>
    <w:p>
      <w:r>
        <w:rPr>
          <w:i/>
          <w:color w:val="666666"/>
          <w:sz w:val="18"/>
        </w:rPr>
        <w:t>Lang S et al.  ·  Global Spine J  ·  01.10.2026  ·  PMID 42820646</w:t>
      </w:r>
    </w:p>
    <w:p>
      <w:r>
        <w:t>Bevölkerungsgestützte DRG-Analyse zur stationären Last, Behandlungsmuster und Krankenhaussterblichkeit der spinalen Tuberkulose in Deutschland 2019–2025 während demografischen Wandels.</w:t>
      </w:r>
    </w:p>
    <w:p>
      <w:r>
        <w:rPr>
          <w:b/>
        </w:rPr>
        <w:t xml:space="preserve">Ergebnis: </w:t>
      </w:r>
      <w:r>
        <w:t>Stabile Hospitalisierungsraten (ASR 0,11–0,14/100.000; APC −3,1%, p=0,14); überwiegend männliche Patienten (70,3%), Alter 18–39 Jahre (56–69%); Krankenhausfallletalität &lt;0,5%; keine Erhöhung trotz 43% Anstieg der ausländischen Bevölkerung; operative DRG-Zuweisung variabel (13,5–42,2%).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Routinedaten; epidemiologisch und systemisch direkt anwendbar</w:t>
      </w:r>
    </w:p>
    <w:p>
      <w:r>
        <w:rPr>
          <w:color w:val="5A7D3A"/>
          <w:sz w:val="18"/>
        </w:rPr>
        <w:t>https://pubmed.ncbi.nlm.nih.gov/42820646/</w:t>
      </w:r>
    </w:p>
    <w:p>
      <w:pPr>
        <w:pStyle w:val="Heading2"/>
      </w:pPr>
      <w:r>
        <w:t>Psychische Anpassung an Stigma bei Hauterkrankungen im jungen Erwachsenenalter</w:t>
      </w:r>
    </w:p>
    <w:p>
      <w:r>
        <w:rPr>
          <w:i/>
          <w:color w:val="666666"/>
          <w:sz w:val="18"/>
        </w:rPr>
        <w:t>Stuhlmann CFZ et al.  ·  Br J Health Psychol  ·  Nov. 2026  ·  PMID 42820641</w:t>
      </w:r>
    </w:p>
    <w:p>
      <w:r>
        <w:t>Querschnittstudie mit 195 jungen Erwachsenen (Psoriasis 55%, atopische Dermatitis 23%, Hidradenitis suppurativa 22%) zu indirekten Effekten internalisierter Stigma in der Beziehung zwischen sozialer Stigma und psychosozialer Anpassung.</w:t>
      </w:r>
    </w:p>
    <w:p>
      <w:r>
        <w:rPr>
          <w:b/>
        </w:rPr>
        <w:t xml:space="preserve">Ergebnis: </w:t>
      </w:r>
      <w:r>
        <w:t>Signifikante indirekte Effekte internalisierter Stigma auf Beziehungen zwischen sozialer Stigma und allen Anpassungsergebnissen (p's&lt;0,01, R²=0,10–0,64); internalisierte Stigma als zentraler Treiber psychischer Belastung, Sozialsymptome und Aktivitätsreduktion.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(Hamburg); hochgradig übertragbar auf deutsches Versorgungssystem</w:t>
      </w:r>
    </w:p>
    <w:p>
      <w:r>
        <w:rPr>
          <w:color w:val="5A7D3A"/>
          <w:sz w:val="18"/>
        </w:rPr>
        <w:t>https://pubmed.ncbi.nlm.nih.gov/42820641/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