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22.10.2026  |  6 Studien  |  wissen.m-vf.de</w:t>
      </w:r>
    </w:p>
    <w:p>
      <w:pPr>
        <w:pStyle w:val="Heading1"/>
      </w:pPr>
      <w:r>
        <w:t>Aufgenommen am 22.10.2026</w:t>
      </w:r>
    </w:p>
    <w:p>
      <w:pPr>
        <w:pStyle w:val="Heading2"/>
      </w:pPr>
      <w:r>
        <w:t>Sicherheit und Umsetzung eines regionalen Hospital-at-Home-Modells in Dänemark</w:t>
      </w:r>
    </w:p>
    <w:p>
      <w:r>
        <w:rPr>
          <w:i/>
          <w:color w:val="666666"/>
          <w:sz w:val="18"/>
        </w:rPr>
        <w:t>Hägi-Pedersen MB et al.  ·  BMC Health Serv Res  ·  24.07.2026  ·  PMID 42902350</w:t>
      </w:r>
    </w:p>
    <w:p>
      <w:r>
        <w:t>Retrospektive Beobachtungsstudie zur Implementierung und Sicherheit eines regionalen Hospital-at-Home-Dienstes mit 2.511 Patienten in Dänemark 2022–2024.</w:t>
      </w:r>
    </w:p>
    <w:p>
      <w:r>
        <w:rPr>
          <w:b/>
        </w:rPr>
        <w:t xml:space="preserve">Ergebnis: </w:t>
      </w:r>
      <w:r>
        <w:t>Medianer stationärer Aufenthalt stieg von 5,1 auf 7,3 Tage; ungeplante Krankenhausaufenthalte blieben stabil (27,0–31,1%), 30-Tage-Wiederaufnahmequoten sanken von 11,0% auf 7,0%, 30-Tage-Überlebensrate konsistent hoch (91,6–92,4%). Infektionskrankheiten häufigste Diagnose (43–47%).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steuerfinanziertes Gesundheitssystem mit ähnlicher Primärversorgungsstruktur</w:t>
      </w:r>
    </w:p>
    <w:p>
      <w:r>
        <w:rPr>
          <w:color w:val="5A7D3A"/>
          <w:sz w:val="18"/>
        </w:rPr>
        <w:t>https://pubmed.ncbi.nlm.nih.gov/42902350/</w:t>
      </w:r>
    </w:p>
    <w:p>
      <w:pPr>
        <w:pStyle w:val="Heading2"/>
      </w:pPr>
      <w:r>
        <w:t>Fluktuation im Gesundheitspersonal: Rolle von Konflikten und Burnout in China</w:t>
      </w:r>
    </w:p>
    <w:p>
      <w:r>
        <w:rPr>
          <w:i/>
          <w:color w:val="666666"/>
          <w:sz w:val="18"/>
        </w:rPr>
        <w:t>Qi Z et al.  ·  BMC Health Serv Res  ·  25.09.2026  ·  PMID 42902343</w:t>
      </w:r>
    </w:p>
    <w:p>
      <w:r>
        <w:t>Querschnittsstudie mit 1.570 Ärztinnen und medizinischen Fachkräften zur Assoziation von Konflikten und Burnout mit Kündigungsabsicht.</w:t>
      </w:r>
    </w:p>
    <w:p>
      <w:r>
        <w:rPr>
          <w:b/>
        </w:rPr>
        <w:t xml:space="preserve">Ergebnis: </w:t>
      </w:r>
      <w:r>
        <w:t>24,8% der Teilnehmenden berichten Kündigungsabsicht. Nach Anpassung: Konflikte (OR 1,68; 95% KI 1,17–2,43) und höheres Burnout (OR 1,10; 1,07–1,13) assoziiert mit höherer Kündigungsabsicht; bessere Servicequalität (OR 0,97; 0,95–0,99) mit niedrigerer Kündigungsabsicht.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Systemunabhängige Fragestellung zu Arbeitszufriedenheit und Personalverlust relevant</w:t>
      </w:r>
    </w:p>
    <w:p>
      <w:r>
        <w:rPr>
          <w:color w:val="5A7D3A"/>
          <w:sz w:val="18"/>
        </w:rPr>
        <w:t>https://pubmed.ncbi.nlm.nih.gov/42902343/</w:t>
      </w:r>
    </w:p>
    <w:p>
      <w:pPr>
        <w:pStyle w:val="Heading2"/>
      </w:pPr>
      <w:r>
        <w:t>Inanspruchnahme und Barrieren traditioneller chinesischer Medizin bei älteren Erwachsenen</w:t>
      </w:r>
    </w:p>
    <w:p>
      <w:r>
        <w:rPr>
          <w:i/>
          <w:color w:val="666666"/>
          <w:sz w:val="18"/>
        </w:rPr>
        <w:t>Yue Y et al.  ·  BMC Health Serv Res  ·  26.09.2026  ·  PMID 42902286</w:t>
      </w:r>
    </w:p>
    <w:p>
      <w:r>
        <w:t>Mixed-Methods-Studie mit 1.195 älteren Erwachsenen (Querschnitt) und 11 Interviews mit Fachkräften zur TCM-Nutzung und Umsetzungsbarrieren.</w:t>
      </w:r>
    </w:p>
    <w:p>
      <w:r>
        <w:rPr>
          <w:b/>
        </w:rPr>
        <w:t xml:space="preserve">Ergebnis: </w:t>
      </w:r>
      <w:r>
        <w:t>61,0% der Älteren (n=729) nutzten TCM-Dienste; Nutzung assoziiert mit höherer Bildung, höherem Einkommen, mehr chronischen Erkrankungen; ohne Krankenversicherung: aOR 0,30 (0,11–0,77). Provider berichten Barrieren: Politikdefizite, Personalknappheit, Ressourcenlimits, geringe Akzeptanz in der Gemeinschaft.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Primärversorgung; systemspezifisch aber Fragestellung zu Versorgungszugang bei älteren Menschen relevant</w:t>
      </w:r>
    </w:p>
    <w:p>
      <w:r>
        <w:rPr>
          <w:color w:val="5A7D3A"/>
          <w:sz w:val="18"/>
        </w:rPr>
        <w:t>https://pubmed.ncbi.nlm.nih.gov/42902286/</w:t>
      </w:r>
    </w:p>
    <w:p>
      <w:pPr>
        <w:pStyle w:val="Heading2"/>
      </w:pPr>
      <w:r>
        <w:t>Systemische Determinanten der Effektivität von Diabetesversorgung im iranischen Primärsektor</w:t>
      </w:r>
    </w:p>
    <w:p>
      <w:r>
        <w:rPr>
          <w:i/>
          <w:color w:val="666666"/>
          <w:sz w:val="18"/>
        </w:rPr>
        <w:t>Ehteshami F et al.  ·  BMC Health Serv Res  ·  24.07.2026  ·  PMID 42902281</w:t>
      </w:r>
    </w:p>
    <w:p>
      <w:r>
        <w:t>Qualitative Analyse mit 29 Teilnehmern (14 Fachkräfte, 15 Patienten) in Isfahan zur Identifikation von Barrieren und Enabler in der ambulanten Diabetesversorgung.</w:t>
      </w:r>
    </w:p>
    <w:p>
      <w:r>
        <w:rPr>
          <w:b/>
        </w:rPr>
        <w:t xml:space="preserve">Ergebnis: </w:t>
      </w:r>
      <w:r>
        <w:t>Kernbefunde: Vier Versorgungskapazitäten (integriert, zugänglich, teambasiert, kontinuierlich) mit jeweiligen Facilitatoren und Barrieren. Wichtigste Enabler: Leitlinien (IraPEN), IT-Systeme (SIB), Versorgungsabdeckung; Hauptbarrieren: fragmentierte Versorgung, schlechte Koordination zwischen Leistungserbringern, Personalknappheit, Zeitdruck.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Iran, Sozialversicherungssystem ähnlich deutschem, Primärversorgungskontext vergleichbar</w:t>
      </w:r>
    </w:p>
    <w:p>
      <w:r>
        <w:rPr>
          <w:color w:val="5A7D3A"/>
          <w:sz w:val="18"/>
        </w:rPr>
        <w:t>https://pubmed.ncbi.nlm.nih.gov/42902281/</w:t>
      </w:r>
    </w:p>
    <w:p>
      <w:pPr>
        <w:pStyle w:val="Heading2"/>
      </w:pPr>
      <w:r>
        <w:t>Forschungsbeteiligung von Selbsthilfegruppen seltener Erkrankungen in Polen</w:t>
      </w:r>
    </w:p>
    <w:p>
      <w:r>
        <w:rPr>
          <w:i/>
          <w:color w:val="666666"/>
          <w:sz w:val="18"/>
        </w:rPr>
        <w:t>Domaradzki J et al.  ·  BMC Health Serv Res  ·  22.07.2026  ·  PMID 42897645</w:t>
      </w:r>
    </w:p>
    <w:p>
      <w:r>
        <w:t>Querschnittsstudie mit 64 polnischen Patientenverbänden zu deren Engagement in Forschung und Intersektoralen Kollaborationen.</w:t>
      </w:r>
    </w:p>
    <w:p>
      <w:r>
        <w:rPr>
          <w:b/>
        </w:rPr>
        <w:t xml:space="preserve">Ergebnis: </w:t>
      </w:r>
      <w:r>
        <w:t>Die meisten Verbände berichten gelegentliche Forschungsbeteiligung, aber heterogen und begrenzt. Schwerpunkt: nichtklische Forschung (sozial, Register, Dissemination). Klinische und translationale Forschung seltener, meist unterstützend. Hauptbarrieren: Finanzierungslücken (erwähnt), begrenzte Ressourcen, eingeschränkter Einfluss auf Forschungsprozesse. Modell: eingeschränkte Co-Produktion.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Zentraleuropa; Gesundheitssystemkontext und Forschungsbeteiligung teilweise übertragbar</w:t>
      </w:r>
    </w:p>
    <w:p>
      <w:r>
        <w:rPr>
          <w:color w:val="5A7D3A"/>
          <w:sz w:val="18"/>
        </w:rPr>
        <w:t>https://pubmed.ncbi.nlm.nih.gov/42897645/</w:t>
      </w:r>
    </w:p>
    <w:p>
      <w:pPr>
        <w:pStyle w:val="Heading2"/>
      </w:pPr>
      <w:r>
        <w:t>Wahrnehmungen von Patienten und Angehörigen zu Sauerstofftherapie in Uganda</w:t>
      </w:r>
    </w:p>
    <w:p>
      <w:r>
        <w:rPr>
          <w:i/>
          <w:color w:val="666666"/>
          <w:sz w:val="18"/>
        </w:rPr>
        <w:t>Mutesi JS et al.  ·  BMC Health Serv Res  ·  22.07.2026  ·  PMID 42897540</w:t>
      </w:r>
    </w:p>
    <w:p>
      <w:r>
        <w:t>Qualitative Studie mit 46 Interviews (16 Patienten, 30 Angehörige) zu Wahrnehmungen und psychosozialen Barrieren gegenüber Sauerstofftherapie.</w:t>
      </w:r>
    </w:p>
    <w:p>
      <w:r>
        <w:rPr>
          <w:b/>
        </w:rPr>
        <w:t xml:space="preserve">Ergebnis: </w:t>
      </w:r>
      <w:r>
        <w:t>Kernbefunde: Sauerstoff wahrgenommen als lebensrettend, aber angstauslösend; oft als Symbol des bevorstehenden Todes interpretiert; spirituelle und emotionale Deutungen häufig (Angst, Besorgnis); Patienten und Angehörige berichten ähnliche Wahrnehmungen. Informationen stammen aus Schulen, Gemeinschaft, Krankenhaus, Internet.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Uganda, Ressourcenlimitiertes Setting; Patientenperspektive und Barrieren bei Therapie-Adhärenz systemunabhängig relevant</w:t>
      </w:r>
    </w:p>
    <w:p>
      <w:r>
        <w:rPr>
          <w:color w:val="5A7D3A"/>
          <w:sz w:val="18"/>
        </w:rPr>
        <w:t>https://pubmed.ncbi.nlm.nih.gov/42897540/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2026-10-22T06:00:00Z</dcterms:created>
  <dcterms:modified xsi:type="dcterms:W3CDTF">2026-10-22T06:00:00Z</dcterms:modified>
  <cp:category/>
</cp:coreProperties>
</file>