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12.09.2026  |  6 Studien  |  wissen.m-vf.de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Geografische Erreichbarkeit Primärversorgung Schweden</w:t>
      </w:r>
    </w:p>
    <w:p>
      <w:r>
        <w:rPr>
          <w:i/>
          <w:color w:val="666666"/>
          <w:sz w:val="18"/>
        </w:rPr>
        <w:t>Isaksson D et al.  ·  BMJ Open  ·  11.09.2026  ·  PMID 42727971</w:t>
      </w:r>
    </w:p>
    <w:p>
      <w:r>
        <w:t>Landesweite Querschnittsstudie zur Fahrtzeit-Erreichbarkeit von Hausarztpraxen in Schweden anhand von Routinedaten.</w:t>
      </w:r>
    </w:p>
    <w:p>
      <w:r>
        <w:rPr>
          <w:b/>
        </w:rPr>
        <w:t xml:space="preserve">Ergebnis: </w:t>
      </w:r>
      <w:r>
        <w:t>Mittlere Fahrtzeit zur nächsten Praxis: 5,6 Min (SD 6,3), Median 3,3 Min; 15,8% erreichen Praxis nicht in ≤10 Min; deutliche Urban-Rural-Disparität (15,1 Min vs 3,0 Min in Großstädten). Geographischer Zugang hoch im Mittel, aber substantielle Unterschiede bleiben.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steuerfinanziert; Prozessmessungen zur Zugänglichkeit auf deutsche Strukturen gut übertragbar.</w:t>
      </w:r>
    </w:p>
    <w:p>
      <w:r>
        <w:rPr>
          <w:color w:val="5A7D3A"/>
          <w:sz w:val="18"/>
        </w:rPr>
        <w:t>https://pubmed.ncbi.nlm.nih.gov/42727971/</w:t>
      </w:r>
    </w:p>
    <w:p>
      <w:pPr>
        <w:pStyle w:val="Heading2"/>
      </w:pPr>
      <w:r>
        <w:t>Psychische Belastung von Gesundheitsfachkräften durch COVID-19</w:t>
      </w:r>
    </w:p>
    <w:p>
      <w:r>
        <w:rPr>
          <w:i/>
          <w:color w:val="666666"/>
          <w:sz w:val="18"/>
        </w:rPr>
        <w:t>Alonso J et al.  ·  Span J Psychiatry Ment Health  ·  11.09.2026  ·  PMID 42727923</w:t>
      </w:r>
    </w:p>
    <w:p>
      <w:r>
        <w:t>Dreieinhalb-Jahres-Längsschnittstudie zu psychischen Auswirkungen von COVID-19 auf spanische Gesundheitsfachkräfte.</w:t>
      </w:r>
    </w:p>
    <w:p>
      <w:r>
        <w:rPr>
          <w:b/>
        </w:rPr>
        <w:t xml:space="preserve">Ergebnis: </w:t>
      </w:r>
      <w:r>
        <w:t>38,1% der negativ gescreenten und 45,8% der positiv gescreenten Veteranen berichteten unauffällige Disclosure bei Suizidales-Screening. Weniger genaue Angaben assoziiert mit niedrigerem Glauben, Suizid sei Ausweg (OR 0,46 bzw 0,40), und höherer Sorge vor Überreaktion (OR 2,36 bzw 3,73). Screening-Genauigkeit limitiert durch Offenbarungshemmungen.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Gesundheitsfachkräfte; Health Services Research-Perspektive auf Implementierungsbarrieren auf deutsche Verhältnisse übertragbar.</w:t>
      </w:r>
    </w:p>
    <w:p>
      <w:r>
        <w:rPr>
          <w:color w:val="5A7D3A"/>
          <w:sz w:val="18"/>
        </w:rPr>
        <w:t>https://pubmed.ncbi.nlm.nih.gov/42727923/</w:t>
      </w:r>
    </w:p>
    <w:p>
      <w:pPr>
        <w:pStyle w:val="Heading2"/>
      </w:pPr>
      <w:r>
        <w:t>Technische Unterstützung für Leitlinien-Implementation in LMICs</w:t>
      </w:r>
    </w:p>
    <w:p>
      <w:r>
        <w:rPr>
          <w:i/>
          <w:color w:val="666666"/>
          <w:sz w:val="18"/>
        </w:rPr>
        <w:t>Fahim C et al.  ·  Health Res Policy Syst  ·  10.09.2026  ·  PMID 42723069</w:t>
      </w:r>
    </w:p>
    <w:p>
      <w:r>
        <w:t>Mixed-Methods-Evaluation eines Unterstützungszentrums zur Stärkung der Forschungskapazität für Health Systems Research und Implementierung in Ländern mit niedrigem und mittlerem Einkommen.</w:t>
      </w:r>
    </w:p>
    <w:p>
      <w:r>
        <w:rPr>
          <w:b/>
        </w:rPr>
        <w:t xml:space="preserve">Ergebnis: </w:t>
      </w:r>
      <w:r>
        <w:t>22 Teilnehmer aus 6 Ländern; 8 von 9 Forschungskapazitäts-Outcomes verbesserten sich signifikant; signifikante Unterschiede in der Fähigkeit zur Entwicklung evidenzgestützter Knowledge-Translation-Interventionen (Z=-2,93, p&lt;0,05). Hauptbarrieren: fragmentierte Dienstleistungen, mangelnde Daten/Ausrüstung; Enabler: Stakeholder-Partnerschaften, multi-sektorale 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Low- and Middle-Income Countries; Implementierungswissenschaft auf deutsche Kapazitätsentwicklung nicht direkt übertragbar.</w:t>
      </w:r>
    </w:p>
    <w:p>
      <w:r>
        <w:rPr>
          <w:color w:val="5A7D3A"/>
          <w:sz w:val="18"/>
        </w:rPr>
        <w:t>https://pubmed.ncbi.nlm.nih.gov/42723069/</w:t>
      </w:r>
    </w:p>
    <w:p>
      <w:pPr>
        <w:pStyle w:val="Heading2"/>
      </w:pPr>
      <w:r>
        <w:t>Conversational Agent für Magenkrebspatienten</w:t>
      </w:r>
    </w:p>
    <w:p>
      <w:r>
        <w:rPr>
          <w:i/>
          <w:color w:val="666666"/>
          <w:sz w:val="18"/>
        </w:rPr>
        <w:t>Kang Y et al.  ·  J Med Internet Res  ·  10.09.2026  ·  PMID 42721321</w:t>
      </w:r>
    </w:p>
    <w:p>
      <w:r>
        <w:t>Action-Research-Studie zur Entwicklung und Usability-Bewertung eines KI-gestützten Conversational Agents für Patientenschulung bei Magenkrebs.</w:t>
      </w:r>
    </w:p>
    <w:p>
      <w:r>
        <w:rPr>
          <w:b/>
        </w:rPr>
        <w:t xml:space="preserve">Ergebnis: </w:t>
      </w:r>
      <w:r>
        <w:t>44 Patienten, 13 Pflegekräfte, 3 Manager, 2 Chirurgen getestet; Accuracy über 3 Testzyklen: 67%, 71%, 82%; RAG-Knowledge-Hit-Rate: 86%, 98%, 100% (signifikante Verbesserung p&lt;0,01). Chatbot-Usability-Score: 91,9 (SD 3,6); Content-Relevanz: 3,75 (SD 0,9). Drei Themen nutzer-zentriert: Wahrgenommene Nützlichkeit, Ease of Use, Nutzungsabsicht.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Krankenhaus-Setting; Technologie-Anwendung für Patientenbildung auf deutsche Systeme prinzipiell übertragbar, Validierung erforderlich.</w:t>
      </w:r>
    </w:p>
    <w:p>
      <w:r>
        <w:rPr>
          <w:color w:val="5A7D3A"/>
          <w:sz w:val="18"/>
        </w:rPr>
        <w:t>https://pubmed.ncbi.nlm.nih.gov/42721321/</w:t>
      </w:r>
    </w:p>
    <w:p>
      <w:pPr>
        <w:pStyle w:val="Heading2"/>
      </w:pPr>
      <w:r>
        <w:t>Lebensqualität bei Krebspatienten in der DR Kongo</w:t>
      </w:r>
    </w:p>
    <w:p>
      <w:r>
        <w:rPr>
          <w:i/>
          <w:color w:val="666666"/>
          <w:sz w:val="18"/>
        </w:rPr>
        <w:t>Pilz MJ et al.  ·  BMJ Open  ·  09.09.2026  ·  PMID 42716684</w:t>
      </w:r>
    </w:p>
    <w:p>
      <w:r>
        <w:t>Querschnitts-Mixed-Methods-Studie zur gesundheitsbezogenen Lebensqualität von Krebspatienten in Lubumbashi, Demokratische Republik Kongo.</w:t>
      </w:r>
    </w:p>
    <w:p>
      <w:r>
        <w:rPr>
          <w:b/>
        </w:rPr>
        <w:t xml:space="preserve">Ergebnis: </w:t>
      </w:r>
      <w:r>
        <w:t>103 Patienten untersucht; 94,1% berichten finanzielle Probleme, 80,4% soziale Isolation, 71,8% Besorgnis. Symptombelastung deutlich höher als in Spanien-Kontrollgruppe (OR 1,18–28,0 für Symptome); nach Adjustierung für Alter, Geschlecht, Komorbiditäten blieben signifikante Unterschiede für 10 von 16 Skalen (p&lt;0,05). Hohe Symptombelastung erfordert Unterstützungsmaßnahmen.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 Kongo, Low-Income Setting; Bedeutung für ressourcenlimitierte Systeme, eingeschränkte Übertragbarkeit auf deutsche Verhältnisse.</w:t>
      </w:r>
    </w:p>
    <w:p>
      <w:r>
        <w:rPr>
          <w:color w:val="5A7D3A"/>
          <w:sz w:val="18"/>
        </w:rPr>
        <w:t>https://pubmed.ncbi.nlm.nih.gov/42716684/</w:t>
      </w:r>
    </w:p>
    <w:p>
      <w:pPr>
        <w:pStyle w:val="Heading2"/>
      </w:pPr>
      <w:r>
        <w:t>Verbrauchergesteuerte Forschungspriorität in Australien</w:t>
      </w:r>
    </w:p>
    <w:p>
      <w:r>
        <w:rPr>
          <w:i/>
          <w:color w:val="666666"/>
          <w:sz w:val="18"/>
        </w:rPr>
        <w:t>Catapan SC et al.  ·  Rural Remote Health  ·  01.09.2026  ·  PMID 42716571</w:t>
      </w:r>
    </w:p>
    <w:p>
      <w:r>
        <w:t>Qualitative Studie mit World Café-Methode zur Bestimmung von Forschungsprioritäten für Gesundheit in ruralen australischen Gemeinden.</w:t>
      </w:r>
    </w:p>
    <w:p>
      <w:r>
        <w:rPr>
          <w:b/>
        </w:rPr>
        <w:t xml:space="preserve">Ergebnis: </w:t>
      </w:r>
      <w:r>
        <w:t>Fünf identifizierte Prioritäten: (1) Rekrutierung/Bindung von Hausärzten, (2) multidisziplinäre Versorgung, (3) Bewusstsein für lokale Dienste, (4) erweiterte Chroniker-Betreuung mit Remote-Monitoring, (5) Verbindung zu sozialen Determinanten (Wohnung, Finanzen). Konsens zwischen Verbrauchern und Forschern auf Bedarf für maßgeschneiderte, gemeindegesteuerte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steuerfinanziert; Partizipativmethode zur Prioritätensetzung auf deutsche Versorgungsforschung teilweise übertragbar.</w:t>
      </w:r>
    </w:p>
    <w:p>
      <w:r>
        <w:rPr>
          <w:color w:val="5A7D3A"/>
          <w:sz w:val="18"/>
        </w:rPr>
        <w:t>https://pubmed.ncbi.nlm.nih.gov/42716571/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