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20.09.2026  |  6 Studien  |  wissen.m-vf.de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Workplace-Health-Promotion in Pflegeheimen: qualitative Prozessevaluation</w:t>
      </w:r>
    </w:p>
    <w:p>
      <w:r>
        <w:rPr>
          <w:i/>
          <w:color w:val="666666"/>
          <w:sz w:val="18"/>
        </w:rPr>
        <w:t>Czakert J et al.  ·  Front Public Health  ·  04.09.2026  ·  PMID 42761123</w:t>
      </w:r>
    </w:p>
    <w:p>
      <w:r>
        <w:t>Qualitative Prozessevaluation zur Entwicklung und Implementierung von drei WHP-Workshops in einem Pilotheim nach RE-AIM-Framework.</w:t>
      </w:r>
    </w:p>
    <w:p>
      <w:r>
        <w:rPr>
          <w:b/>
        </w:rPr>
        <w:t xml:space="preserve">Ergebnis: </w:t>
      </w:r>
      <w:r>
        <w:t>Entwicklung aus sieben Phasen. Etwa ein Drittel der Teilnehmenden aktiv involviert, andere passiv oder resistiv. Engagement variabel, Schlüsselhemmnisse: Motivation, wahrgenommene Relevanz, Gruppendynamik, Fatigue, Sprachbarrieren. Zentral: organisatorische Vorbereitung und Partizipation.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Langzeitpflegesektor, hohe Relevanz für Implementierungspraxis</w:t>
      </w:r>
    </w:p>
    <w:p>
      <w:r>
        <w:rPr>
          <w:color w:val="5A7D3A"/>
          <w:sz w:val="18"/>
        </w:rPr>
        <w:t>https://pubmed.ncbi.nlm.nih.gov/42761123/</w:t>
      </w:r>
    </w:p>
    <w:p>
      <w:pPr>
        <w:pStyle w:val="Heading2"/>
      </w:pPr>
      <w:r>
        <w:t>Regionale Disparitäten Zahngesundheit Deutschland</w:t>
      </w:r>
    </w:p>
    <w:p>
      <w:r>
        <w:rPr>
          <w:i/>
          <w:color w:val="666666"/>
          <w:sz w:val="18"/>
        </w:rPr>
        <w:t>Gortschakow J et al.  ·  J Clin Periodontol  ·  18.09.2026  ·  PMID 42760791</w:t>
      </w:r>
    </w:p>
    <w:p>
      <w:r>
        <w:t>Bevölkerungsstudie mit 184.871 Erwachsenen untersucht Prävalenz von Zahnlosigkeit und Taschentiefen bundesweit mittels klinischer Untersuchung.</w:t>
      </w:r>
    </w:p>
    <w:p>
      <w:r>
        <w:rPr>
          <w:b/>
        </w:rPr>
        <w:t xml:space="preserve">Ergebnis: </w:t>
      </w:r>
      <w:r>
        <w:t>Zahnlosigkeitsprävalenz: 1,7 % (95%-KI 1,6–1,9). Mittlere Taschentiefe: 1,89 mm (1,87–1,91). Deutliche regionale Disparitäten von 1,3 % (Augsburg/Regensburg) bis 2,3 % (Neubrandenburg).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Kohorte, exzellente Übertragbarkeit</w:t>
      </w:r>
    </w:p>
    <w:p>
      <w:r>
        <w:rPr>
          <w:color w:val="5A7D3A"/>
          <w:sz w:val="18"/>
        </w:rPr>
        <w:t>https://pubmed.ncbi.nlm.nih.gov/42760791/</w:t>
      </w:r>
    </w:p>
    <w:p>
      <w:pPr>
        <w:pStyle w:val="Heading2"/>
      </w:pPr>
      <w:r>
        <w:t>Arbeitsbelastung und Berufsverbleib in Gesundheitsberufen</w:t>
      </w:r>
    </w:p>
    <w:p>
      <w:r>
        <w:rPr>
          <w:i/>
          <w:color w:val="666666"/>
          <w:sz w:val="18"/>
        </w:rPr>
        <w:t>Andersson Hammar I et al.  ·  BMC Health Serv Res  ·  17.09.2026  ·  PMID 42760563</w:t>
      </w:r>
    </w:p>
    <w:p>
      <w:r>
        <w:t>Längsschnittstudie untersuchte Zusammenhänge zwischen Arbeitserfahrungen, Gesundheit und Verbleibsabsicht bei Fachpersonen drei Jahre nach Berufsstart.</w:t>
      </w:r>
    </w:p>
    <w:p>
      <w:r>
        <w:rPr>
          <w:b/>
        </w:rPr>
        <w:t xml:space="preserve">Ergebnis: </w:t>
      </w:r>
      <w:r>
        <w:t>Höhere Arbeitszufriedenheit war mit besserer Gesundheit und deutlich gestärkter Absicht zum Verbleib in der Profession assoziiert. Die 30–36-Jährigen zeigten niedrigere Verbleibsabsicht als jüngere und ältere Kohorten.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gut übertragbar auf deutsches Gesundheitssystem und Arbeitskontexte</w:t>
      </w:r>
    </w:p>
    <w:p>
      <w:r>
        <w:rPr>
          <w:color w:val="5A7D3A"/>
          <w:sz w:val="18"/>
        </w:rPr>
        <w:t>https://pubmed.ncbi.nlm.nih.gov/42760563/</w:t>
      </w:r>
    </w:p>
    <w:p>
      <w:pPr>
        <w:pStyle w:val="Heading2"/>
      </w:pPr>
      <w:r>
        <w:t>Apotheker-Intervention bei koronaren Patienten: Medication-Review-Studie</w:t>
      </w:r>
    </w:p>
    <w:p>
      <w:r>
        <w:rPr>
          <w:i/>
          <w:color w:val="666666"/>
          <w:sz w:val="18"/>
        </w:rPr>
        <w:t>Östbring MJ et al.  ·  BMC Health Serv Res  ·  15.09.2026  ·  PMID 42760559</w:t>
      </w:r>
    </w:p>
    <w:p>
      <w:r>
        <w:t>Prozessevaluation eines randomisierten Trials zu pharmazeutisch-gesteuerter Adhärence-Intervention mittels Motivierender Gesprächsführung bei Herzkranken.</w:t>
      </w:r>
    </w:p>
    <w:p>
      <w:r>
        <w:rPr>
          <w:b/>
        </w:rPr>
        <w:t xml:space="preserve">Ergebnis: </w:t>
      </w:r>
      <w:r>
        <w:t>Klinische Apotheker identifizierten durchschnittlich 4,3 medikationsbezogene Probleme pro Patient. In 194 von 218 bekannten Fällen wurde das Problem gelöst/verbessert. 52,8 % der Interventionsgruppe vs. 31,0 % der Kontrollgruppe verschoben sich zu akzeptierenderer Arzneimittelhaltung (p = 0,051).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Sozialversicherungssystem, pharmazeutische Versorgungsrollen</w:t>
      </w:r>
    </w:p>
    <w:p>
      <w:r>
        <w:rPr>
          <w:color w:val="5A7D3A"/>
          <w:sz w:val="18"/>
        </w:rPr>
        <w:t>https://pubmed.ncbi.nlm.nih.gov/42760559/</w:t>
      </w:r>
    </w:p>
    <w:p>
      <w:pPr>
        <w:pStyle w:val="Heading2"/>
      </w:pPr>
      <w:r>
        <w:t>Psychische Gesundheit peripartal: Screening-Barrieren in Indien</w:t>
      </w:r>
    </w:p>
    <w:p>
      <w:r>
        <w:rPr>
          <w:i/>
          <w:color w:val="666666"/>
          <w:sz w:val="18"/>
        </w:rPr>
        <w:t>Basu P et al.  ·  BMC Health Serv Res  ·  03.08.2026  ·  PMID 42760554</w:t>
      </w:r>
    </w:p>
    <w:p>
      <w:r>
        <w:t>Qualitative Studie zu Hemmnissen und Facilitatoren von perinataler psychischer Gesundheitsscreening aus Perspektive von Frauen und Angehörigen des Gesundheitswesens.</w:t>
      </w:r>
    </w:p>
    <w:p>
      <w:r>
        <w:rPr>
          <w:b/>
        </w:rPr>
        <w:t xml:space="preserve">Ergebnis: </w:t>
      </w:r>
      <w:r>
        <w:t>Facilitatoren: etabliertes Referralsystem, Medikamentenverfügbarkeit, Datenschutz. Barrieren: fragmentierte Services, hohe Arbeitsbelastung, Stigma, unzureichende Schulung, mangelndes Vertrauen. Familienpräsenz behinderte offene Diskussionen.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Indien; Fragestellung systemunabhängig, aber Übertragbarkeit limitiert durch andere Ressourcenlage</w:t>
      </w:r>
    </w:p>
    <w:p>
      <w:r>
        <w:rPr>
          <w:color w:val="5A7D3A"/>
          <w:sz w:val="18"/>
        </w:rPr>
        <w:t>https://pubmed.ncbi.nlm.nih.gov/42760554/</w:t>
      </w:r>
    </w:p>
    <w:p>
      <w:pPr>
        <w:pStyle w:val="Heading2"/>
      </w:pPr>
      <w:r>
        <w:t>Gestationsdiabetes Südlichasiatische Frauen: PPIE-Insights</w:t>
      </w:r>
    </w:p>
    <w:p>
      <w:r>
        <w:rPr>
          <w:i/>
          <w:color w:val="666666"/>
          <w:sz w:val="18"/>
        </w:rPr>
        <w:t>Dapre E et al.  ·  NIHR Open Res  ·  03.09.2026  ·  PMID 42750677</w:t>
      </w:r>
    </w:p>
    <w:p>
      <w:r>
        <w:t>Patient- und Public-Involvement-Engagement-Studie mit südlichasiatischen Frauen zur Verbesserung der Adhärenz in Ernährungsintervention bei Gestationsdiabetes.</w:t>
      </w:r>
    </w:p>
    <w:p>
      <w:r>
        <w:rPr>
          <w:b/>
        </w:rPr>
        <w:t xml:space="preserve">Ergebnis: </w:t>
      </w:r>
      <w:r>
        <w:t>17 Frauen identifizierten drei Schlüsselprobleme: Vulnerabilität (Vertrauensmangel, Kontrollverlust), Zugänglichkeit (flexible Formate, finanzielle Unterstützung), Mentale Belastung (emotionales Wohlbefinden, Familieneinfluss). Empfehlungen: familienbasierte Essensplanung, visuelle Guides, psychosoziale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UK-Studie; Fragestellung zu Barrieren und Facilitatoren systemunabhängig</w:t>
      </w:r>
    </w:p>
    <w:p>
      <w:r>
        <w:rPr>
          <w:color w:val="5A7D3A"/>
          <w:sz w:val="18"/>
        </w:rPr>
        <w:t>https://pubmed.ncbi.nlm.nih.gov/42750677/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