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30.10.2026  |  6 Studien  |  wissen.m-vf.de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Patientensicherheit und Chancengleichheit bei KI-gestützten Triage-Tools</w:t>
      </w:r>
    </w:p>
    <w:p>
      <w:r>
        <w:rPr>
          <w:i/>
          <w:color w:val="666666"/>
          <w:sz w:val="18"/>
        </w:rPr>
        <w:t>Alamoudi A et al.  ·  BMJ Health Care Inform  ·  28.10.2026  ·  PMID 42951327</w:t>
      </w:r>
    </w:p>
    <w:p>
      <w:r>
        <w:t>Systematische Übersichtsarbeit zur Sicherheit und Chancengleichheit von KI-basierten Triage-Systemen in der Primärversorgung.</w:t>
      </w:r>
    </w:p>
    <w:p>
      <w:r>
        <w:rPr>
          <w:b/>
        </w:rPr>
        <w:t xml:space="preserve">Ergebnis: </w:t>
      </w:r>
      <w:r>
        <w:t>Die Übersichtsarbeit fand heterogene Evidenz für KI-Triage-Tools; viele Studien wiesen Lücken bei der Bewertung von Sicherheit, Fairness und Chancengleichheit auf, ohne konkrete Zahlen zu nennen.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 und Manchester; Primärversorgung als zentrales Thema, teilweise übertragbar.</w:t>
      </w:r>
    </w:p>
    <w:p>
      <w:r>
        <w:rPr>
          <w:color w:val="5A7D3A"/>
          <w:sz w:val="18"/>
        </w:rPr>
        <w:t>https://pubmed.ncbi.nlm.nih.gov/42951327/</w:t>
      </w:r>
    </w:p>
    <w:p>
      <w:pPr>
        <w:pStyle w:val="Heading2"/>
      </w:pPr>
      <w:r>
        <w:t>Patientenstimme in datengesteuerten Gesundheitssystemen verankern</w:t>
      </w:r>
    </w:p>
    <w:p>
      <w:r>
        <w:rPr>
          <w:i/>
          <w:color w:val="666666"/>
          <w:sz w:val="18"/>
        </w:rPr>
        <w:t>Boyer L et al.  ·  J Epidemiol Popul Health  ·  28.10.2026  ·  PMID 42950599</w:t>
      </w:r>
    </w:p>
    <w:p>
      <w:r>
        <w:t>Essay zur Integration von Patient-Reported Outcomes in datengesteuerte Versorgungssysteme.</w:t>
      </w:r>
    </w:p>
    <w:p>
      <w:r>
        <w:rPr>
          <w:b/>
        </w:rPr>
        <w:t xml:space="preserve">Ergebnis: </w:t>
      </w:r>
      <w:r>
        <w:t>Der Beitrag argumentiert konzeptionell für die strukturelle Verankerung von Patientenperspektiven; konkrete Evidenzzahlen nicht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Vereinigte Staaten; Konzeptioneller Beitrag zur Versorgungsorganisation.</w:t>
      </w:r>
    </w:p>
    <w:p>
      <w:r>
        <w:rPr>
          <w:color w:val="5A7D3A"/>
          <w:sz w:val="18"/>
        </w:rPr>
        <w:t>https://pubmed.ncbi.nlm.nih.gov/42950599/</w:t>
      </w:r>
    </w:p>
    <w:p>
      <w:pPr>
        <w:pStyle w:val="Heading2"/>
      </w:pPr>
      <w:r>
        <w:t>Barrieren für psychische Gesundheitsversorgung bei belasteten Brustkrebsüberlebenden</w:t>
      </w:r>
    </w:p>
    <w:p>
      <w:r>
        <w:rPr>
          <w:i/>
          <w:color w:val="666666"/>
          <w:sz w:val="18"/>
        </w:rPr>
        <w:t>Danner A et al.  ·  Psychooncology  ·  Okt. 2026  ·  PMID 42947255</w:t>
      </w:r>
    </w:p>
    <w:p>
      <w:r>
        <w:t>Sequenzielle erklärende Mischtethoden-Studie zu Barrieren für die Inanspruchnahme psychischer Gesundheitsdienste bei Brustkrebsüberlebenden mit klinisch signifikanter Belastung.</w:t>
      </w:r>
    </w:p>
    <w:p>
      <w:r>
        <w:rPr>
          <w:b/>
        </w:rPr>
        <w:t xml:space="preserve">Ergebnis: </w:t>
      </w:r>
      <w:r>
        <w:t>Von 298 (77,81%) Überlebenden mit klinisch signifikanter Belastung nutzten nur 61 (20,47%) psychische Dienste in den vorherigen 3 Monaten. Angst (p=0,0030), Depression (p=0,0015) und PTBS (p=0,0387) waren signifikant assoziiert mit Dienstnutzung, Angststörungen aber mit weniger Besuchen.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systemabhängig, aber Barrierentypen zu Versorgungsintegration übertragbar.</w:t>
      </w:r>
    </w:p>
    <w:p>
      <w:r>
        <w:rPr>
          <w:color w:val="5A7D3A"/>
          <w:sz w:val="18"/>
        </w:rPr>
        <w:t>https://pubmed.ncbi.nlm.nih.gov/42947255/</w:t>
      </w:r>
    </w:p>
    <w:p>
      <w:pPr>
        <w:pStyle w:val="Heading2"/>
      </w:pPr>
      <w:r>
        <w:t>Patientenzentrierter Zugang zur psychischen Gesundheitsversorgung über Lebensphasen</w:t>
      </w:r>
    </w:p>
    <w:p>
      <w:r>
        <w:rPr>
          <w:i/>
          <w:color w:val="666666"/>
          <w:sz w:val="18"/>
        </w:rPr>
        <w:t>Cwik JC et al.  ·  BMC Health Serv Res  ·  22.10.2026  ·  PMID 42920109</w:t>
      </w:r>
    </w:p>
    <w:p>
      <w:r>
        <w:t>Scoping Review zu Zugangsbarrieren für psychische Gesundheitsversorgung bei Schwangeren, Kindern/Adoleszenten und älteren Erwachsenen nach Levesque-Rahmen.</w:t>
      </w:r>
    </w:p>
    <w:p>
      <w:r>
        <w:rPr>
          <w:b/>
        </w:rPr>
        <w:t xml:space="preserve">Ergebnis: </w:t>
      </w:r>
      <w:r>
        <w:t>37 Quellen identifiziert (23 empirische Studien, 11 Reviews); nur 10 mit direkter Evidenz. Berichtete Barrieren: vor formaler Kontaktaufnahme, Navigierung, kulturelle Akzeptanz, Personalknappheit, Bezahlbarkeit, Kontinuität. Limitierte validierte Messung der Integration.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Niederlande; konzeptioneller Überblick über Zugangsbarrieren in vergleichbaren Systemen.</w:t>
      </w:r>
    </w:p>
    <w:p>
      <w:r>
        <w:rPr>
          <w:color w:val="5A7D3A"/>
          <w:sz w:val="18"/>
        </w:rPr>
        <w:t>https://pubmed.ncbi.nlm.nih.gov/42920109/</w:t>
      </w:r>
    </w:p>
    <w:p>
      <w:pPr>
        <w:pStyle w:val="Heading2"/>
      </w:pPr>
      <w:r>
        <w:t>Implementierungsbarrieren und -förderer für evidenzbasierte Arthrose-Versorgung</w:t>
      </w:r>
    </w:p>
    <w:p>
      <w:r>
        <w:rPr>
          <w:i/>
          <w:color w:val="666666"/>
          <w:sz w:val="18"/>
        </w:rPr>
        <w:t>Busse TS et al.  ·  JMIR Rehabil Assist Technol  ·  23.10.2026  ·  PMID 42913401</w:t>
      </w:r>
    </w:p>
    <w:p>
      <w:r>
        <w:t>Qualitative Experteninterviews (n=12 aus 6 Ländern) zu Barrieren und Förderfaktoren bei der Implementierung von digitaler, hybrider und analoger, evidenzbasierter Arthrose-Versorgung.</w:t>
      </w:r>
    </w:p>
    <w:p>
      <w:r>
        <w:rPr>
          <w:b/>
        </w:rPr>
        <w:t xml:space="preserve">Ergebnis: </w:t>
      </w:r>
      <w:r>
        <w:t>Hauptbarrieren: begrenzte Finanzierung, Erstattungsstrukturen, unzureichende politische Unterstützung, organisatorische Komplexität, rechtliche Anforderungen. Wichtige Förderer: starke Führung, interdisziplinäre Zusammenarbeit, strukturierte Kommunikation, Anpassung an lokale Kontexte, Nutzung internationaler Programmstrukturen.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Querschnittsanalyse; Implementierungsfaktoren stark systemabhängig.</w:t>
      </w:r>
    </w:p>
    <w:p>
      <w:r>
        <w:rPr>
          <w:color w:val="5A7D3A"/>
          <w:sz w:val="18"/>
        </w:rPr>
        <w:t>https://pubmed.ncbi.nlm.nih.gov/42913401/</w:t>
      </w:r>
    </w:p>
    <w:p>
      <w:pPr>
        <w:pStyle w:val="Heading2"/>
      </w:pPr>
      <w:r>
        <w:t>Systematischer Workflow für LLM-gestützte Analyse von Politikframes</w:t>
      </w:r>
    </w:p>
    <w:p>
      <w:r>
        <w:rPr>
          <w:i/>
          <w:color w:val="666666"/>
          <w:sz w:val="18"/>
        </w:rPr>
        <w:t>Wenderoth J et al.  ·  Arch Public Health  ·  17.10.2026  ·  PMID 42897673</w:t>
      </w:r>
    </w:p>
    <w:p>
      <w:r>
        <w:t>Entwicklung und Validierung eines Workflows zur Verwendung großer Sprachmodelle (GPT-5, Gemini 3.1 Pro) zur automatisierten Rahmenextraktion aus Mediendebatten zur Public-Health-Politik.</w:t>
      </w:r>
    </w:p>
    <w:p>
      <w:r>
        <w:rPr>
          <w:b/>
        </w:rPr>
        <w:t xml:space="preserve">Ergebnis: </w:t>
      </w:r>
      <w:r>
        <w:t>GPT-5 erreichte 79,8% Präzision und 79,8% Recall, identifizierte 75,2% manuell kodierter Frames. Gemini 3.1 Pro Preview zeigte höhere Präzision aber niedrigeres Recall (F1-Score 79,0% vs. 79,8%). Ansatz generalisierbar auf verschiedene Frontier-Modelle.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Deutschland; Methodenentwicklung für Versorgungsforschung mit Anwendung auf Politikanalyse.</w:t>
      </w:r>
    </w:p>
    <w:p>
      <w:r>
        <w:rPr>
          <w:color w:val="5A7D3A"/>
          <w:sz w:val="18"/>
        </w:rPr>
        <w:t>https://pubmed.ncbi.nlm.nih.gov/42897673/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