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30.10.2026  |  460 Studien  |  wissen.m-vf.de</w:t>
      </w:r>
    </w:p>
    <w:p>
      <w:pPr>
        <w:pStyle w:val="Heading1"/>
      </w:pPr>
      <w:r>
        <w:t>Aufgenommen am 30.10.2026</w:t>
      </w:r>
    </w:p>
    <w:p>
      <w:pPr>
        <w:pStyle w:val="Heading2"/>
      </w:pPr>
      <w:r>
        <w:t>Patientensicherheit und Chancengleichheit bei KI-gestützten Triage-Tools</w:t>
      </w:r>
    </w:p>
    <w:p>
      <w:r>
        <w:rPr>
          <w:i/>
          <w:color w:val="666666"/>
          <w:sz w:val="18"/>
        </w:rPr>
        <w:t>Alamoudi A et al.  ·  BMJ Health Care Inform  ·  28.10.2026  ·  PMID 42951327</w:t>
      </w:r>
    </w:p>
    <w:p>
      <w:r>
        <w:t>Systematische Übersichtsarbeit zur Sicherheit und Chancengleichheit von KI-basierten Triage-Systemen in der Primärversorgung.</w:t>
      </w:r>
    </w:p>
    <w:p>
      <w:r>
        <w:rPr>
          <w:b/>
        </w:rPr>
        <w:t xml:space="preserve">Ergebnis: </w:t>
      </w:r>
      <w:r>
        <w:t>Die Übersichtsarbeit fand heterogene Evidenz für KI-Triage-Tools; viele Studien wiesen Lücken bei der Bewertung von Sicherheit, Fairness und Chancengleichheit auf, ohne konkrete Zahlen zu nennen.</w:t>
      </w:r>
    </w:p>
    <w:p>
      <w:r>
        <w:rPr>
          <w:b/>
          <w:sz w:val="19"/>
        </w:rPr>
        <w:t xml:space="preserve">Übertragbarkeit: </w:t>
      </w:r>
      <w:r>
        <w:rPr>
          <w:sz w:val="19"/>
        </w:rPr>
        <w:t>Vereinigtes Königreich und Manchester; Primärversorgung als zentrales Thema, teilweise übertragbar.</w:t>
      </w:r>
    </w:p>
    <w:p>
      <w:r>
        <w:rPr>
          <w:color w:val="5A7D3A"/>
          <w:sz w:val="18"/>
        </w:rPr>
        <w:t>https://pubmed.ncbi.nlm.nih.gov/42951327/</w:t>
      </w:r>
    </w:p>
    <w:p>
      <w:pPr>
        <w:pStyle w:val="Heading2"/>
      </w:pPr>
      <w:r>
        <w:t>Patientenstimme in datengesteuerten Gesundheitssystemen verankern</w:t>
      </w:r>
    </w:p>
    <w:p>
      <w:r>
        <w:rPr>
          <w:i/>
          <w:color w:val="666666"/>
          <w:sz w:val="18"/>
        </w:rPr>
        <w:t>Boyer L et al.  ·  J Epidemiol Popul Health  ·  28.10.2026  ·  PMID 42950599</w:t>
      </w:r>
    </w:p>
    <w:p>
      <w:r>
        <w:t>Essay zur Integration von Patient-Reported Outcomes in datengesteuerte Versorgungssysteme.</w:t>
      </w:r>
    </w:p>
    <w:p>
      <w:r>
        <w:rPr>
          <w:b/>
        </w:rPr>
        <w:t xml:space="preserve">Ergebnis: </w:t>
      </w:r>
      <w:r>
        <w:t>Der Beitrag argumentiert konzeptionell für die strukturelle Verankerung von Patientenperspektiven; konkrete Evidenzzahlen nicht vorhanden.</w:t>
      </w:r>
    </w:p>
    <w:p>
      <w:r>
        <w:rPr>
          <w:b/>
          <w:sz w:val="19"/>
        </w:rPr>
        <w:t xml:space="preserve">Übertragbarkeit: </w:t>
      </w:r>
      <w:r>
        <w:rPr>
          <w:sz w:val="19"/>
        </w:rPr>
        <w:t>Frankreich, Vereinigte Staaten; Konzeptioneller Beitrag zur Versorgungsorganisation.</w:t>
      </w:r>
    </w:p>
    <w:p>
      <w:r>
        <w:rPr>
          <w:color w:val="5A7D3A"/>
          <w:sz w:val="18"/>
        </w:rPr>
        <w:t>https://pubmed.ncbi.nlm.nih.gov/42950599/</w:t>
      </w:r>
    </w:p>
    <w:p>
      <w:pPr>
        <w:pStyle w:val="Heading2"/>
      </w:pPr>
      <w:r>
        <w:t>Barrieren für psychische Gesundheitsversorgung bei belasteten Brustkrebsüberlebenden</w:t>
      </w:r>
    </w:p>
    <w:p>
      <w:r>
        <w:rPr>
          <w:i/>
          <w:color w:val="666666"/>
          <w:sz w:val="18"/>
        </w:rPr>
        <w:t>Danner A et al.  ·  Psychooncology  ·  Okt. 2026  ·  PMID 42947255</w:t>
      </w:r>
    </w:p>
    <w:p>
      <w:r>
        <w:t>Sequenzielle erklärende Mischtethoden-Studie zu Barrieren für die Inanspruchnahme psychischer Gesundheitsdienste bei Brustkrebsüberlebenden mit klinisch signifikanter Belastung.</w:t>
      </w:r>
    </w:p>
    <w:p>
      <w:r>
        <w:rPr>
          <w:b/>
        </w:rPr>
        <w:t xml:space="preserve">Ergebnis: </w:t>
      </w:r>
      <w:r>
        <w:t>Von 298 (77,81%) Überlebenden mit klinisch signifikanter Belastung nutzten nur 61 (20,47%) psychische Dienste in den vorherigen 3 Monaten. Angst (p=0,0030), Depression (p=0,0015) und PTBS (p=0,0387) waren signifikant assoziiert mit Dienstnutzung, Angststörungen aber mit weniger Besuchen.</w:t>
      </w:r>
    </w:p>
    <w:p>
      <w:r>
        <w:rPr>
          <w:b/>
          <w:sz w:val="19"/>
        </w:rPr>
        <w:t xml:space="preserve">Übertragbarkeit: </w:t>
      </w:r>
      <w:r>
        <w:rPr>
          <w:sz w:val="19"/>
        </w:rPr>
        <w:t>USA; systemabhängig, aber Barrierentypen zu Versorgungsintegration übertragbar.</w:t>
      </w:r>
    </w:p>
    <w:p>
      <w:r>
        <w:rPr>
          <w:color w:val="5A7D3A"/>
          <w:sz w:val="18"/>
        </w:rPr>
        <w:t>https://pubmed.ncbi.nlm.nih.gov/42947255/</w:t>
      </w:r>
    </w:p>
    <w:p>
      <w:pPr>
        <w:pStyle w:val="Heading2"/>
      </w:pPr>
      <w:r>
        <w:t>Patientenzentrierter Zugang zur psychischen Gesundheitsversorgung über Lebensphasen</w:t>
      </w:r>
    </w:p>
    <w:p>
      <w:r>
        <w:rPr>
          <w:i/>
          <w:color w:val="666666"/>
          <w:sz w:val="18"/>
        </w:rPr>
        <w:t>Cwik JC et al.  ·  BMC Health Serv Res  ·  22.10.2026  ·  PMID 42920109</w:t>
      </w:r>
    </w:p>
    <w:p>
      <w:r>
        <w:t>Scoping Review zu Zugangsbarrieren für psychische Gesundheitsversorgung bei Schwangeren, Kindern/Adoleszenten und älteren Erwachsenen nach Levesque-Rahmen.</w:t>
      </w:r>
    </w:p>
    <w:p>
      <w:r>
        <w:rPr>
          <w:b/>
        </w:rPr>
        <w:t xml:space="preserve">Ergebnis: </w:t>
      </w:r>
      <w:r>
        <w:t>37 Quellen identifiziert (23 empirische Studien, 11 Reviews); nur 10 mit direkter Evidenz. Berichtete Barrieren: vor formaler Kontaktaufnahme, Navigierung, kulturelle Akzeptanz, Personalknappheit, Bezahlbarkeit, Kontinuität. Limitierte validierte Messung der Integration.</w:t>
      </w:r>
    </w:p>
    <w:p>
      <w:r>
        <w:rPr>
          <w:b/>
          <w:sz w:val="19"/>
        </w:rPr>
        <w:t xml:space="preserve">Übertragbarkeit: </w:t>
      </w:r>
      <w:r>
        <w:rPr>
          <w:sz w:val="19"/>
        </w:rPr>
        <w:t>Deutschland, Niederlande; konzeptioneller Überblick über Zugangsbarrieren in vergleichbaren Systemen.</w:t>
      </w:r>
    </w:p>
    <w:p>
      <w:r>
        <w:rPr>
          <w:color w:val="5A7D3A"/>
          <w:sz w:val="18"/>
        </w:rPr>
        <w:t>https://pubmed.ncbi.nlm.nih.gov/42920109/</w:t>
      </w:r>
    </w:p>
    <w:p>
      <w:pPr>
        <w:pStyle w:val="Heading2"/>
      </w:pPr>
      <w:r>
        <w:t>Implementierungsbarrieren und -förderer für evidenzbasierte Arthrose-Versorgung</w:t>
      </w:r>
    </w:p>
    <w:p>
      <w:r>
        <w:rPr>
          <w:i/>
          <w:color w:val="666666"/>
          <w:sz w:val="18"/>
        </w:rPr>
        <w:t>Busse TS et al.  ·  JMIR Rehabil Assist Technol  ·  23.10.2026  ·  PMID 42913401</w:t>
      </w:r>
    </w:p>
    <w:p>
      <w:r>
        <w:t>Qualitative Experteninterviews (n=12 aus 6 Ländern) zu Barrieren und Förderfaktoren bei der Implementierung von digitaler, hybrider und analoger, evidenzbasierter Arthrose-Versorgung.</w:t>
      </w:r>
    </w:p>
    <w:p>
      <w:r>
        <w:rPr>
          <w:b/>
        </w:rPr>
        <w:t xml:space="preserve">Ergebnis: </w:t>
      </w:r>
      <w:r>
        <w:t>Hauptbarrieren: begrenzte Finanzierung, Erstattungsstrukturen, unzureichende politische Unterstützung, organisatorische Komplexität, rechtliche Anforderungen. Wichtige Förderer: starke Führung, interdisziplinäre Zusammenarbeit, strukturierte Kommunikation, Anpassung an lokale Kontexte, Nutzung internationaler Programmstrukturen.</w:t>
      </w:r>
    </w:p>
    <w:p>
      <w:r>
        <w:rPr>
          <w:b/>
          <w:sz w:val="19"/>
        </w:rPr>
        <w:t xml:space="preserve">Übertragbarkeit: </w:t>
      </w:r>
      <w:r>
        <w:rPr>
          <w:sz w:val="19"/>
        </w:rPr>
        <w:t>Internationale Querschnittsanalyse; Implementierungsfaktoren stark systemabhängig.</w:t>
      </w:r>
    </w:p>
    <w:p>
      <w:r>
        <w:rPr>
          <w:color w:val="5A7D3A"/>
          <w:sz w:val="18"/>
        </w:rPr>
        <w:t>https://pubmed.ncbi.nlm.nih.gov/42913401/</w:t>
      </w:r>
    </w:p>
    <w:p>
      <w:pPr>
        <w:pStyle w:val="Heading2"/>
      </w:pPr>
      <w:r>
        <w:t>Systematischer Workflow für LLM-gestützte Analyse von Politikframes</w:t>
      </w:r>
    </w:p>
    <w:p>
      <w:r>
        <w:rPr>
          <w:i/>
          <w:color w:val="666666"/>
          <w:sz w:val="18"/>
        </w:rPr>
        <w:t>Wenderoth J et al.  ·  Arch Public Health  ·  17.10.2026  ·  PMID 42897673</w:t>
      </w:r>
    </w:p>
    <w:p>
      <w:r>
        <w:t>Entwicklung und Validierung eines Workflows zur Verwendung großer Sprachmodelle (GPT-5, Gemini 3.1 Pro) zur automatisierten Rahmenextraktion aus Mediendebatten zur Public-Health-Politik.</w:t>
      </w:r>
    </w:p>
    <w:p>
      <w:r>
        <w:rPr>
          <w:b/>
        </w:rPr>
        <w:t xml:space="preserve">Ergebnis: </w:t>
      </w:r>
      <w:r>
        <w:t>GPT-5 erreichte 79,8% Präzision und 79,8% Recall, identifizierte 75,2% manuell kodierter Frames. Gemini 3.1 Pro Preview zeigte höhere Präzision aber niedrigeres Recall (F1-Score 79,0% vs. 79,8%). Ansatz generalisierbar auf verschiedene Frontier-Modelle.</w:t>
      </w:r>
    </w:p>
    <w:p>
      <w:r>
        <w:rPr>
          <w:b/>
          <w:sz w:val="19"/>
        </w:rPr>
        <w:t xml:space="preserve">Übertragbarkeit: </w:t>
      </w:r>
      <w:r>
        <w:rPr>
          <w:sz w:val="19"/>
        </w:rPr>
        <w:t>Deutschland; Methodenentwicklung für Versorgungsforschung mit Anwendung auf Politikanalyse.</w:t>
      </w:r>
    </w:p>
    <w:p>
      <w:r>
        <w:rPr>
          <w:color w:val="5A7D3A"/>
          <w:sz w:val="18"/>
        </w:rPr>
        <w:t>https://pubmed.ncbi.nlm.nih.gov/42897673/</w:t>
      </w:r>
    </w:p>
    <w:p>
      <w:pPr>
        <w:pStyle w:val="Heading1"/>
      </w:pPr>
      <w:r>
        <w:t>Aufgenommen am 29.10.2026</w:t>
      </w:r>
    </w:p>
    <w:p>
      <w:pPr>
        <w:pStyle w:val="Heading2"/>
      </w:pPr>
      <w:r>
        <w:t>Spezialisierte ILD-Kliniken verbessern Behandlung und Ergebnisse</w:t>
      </w:r>
    </w:p>
    <w:p>
      <w:r>
        <w:rPr>
          <w:i/>
          <w:color w:val="666666"/>
          <w:sz w:val="18"/>
        </w:rPr>
        <w:t>Farrand E et al.  ·  Chest  ·  28.10.2026  ·  PMID 42951064</w:t>
      </w:r>
    </w:p>
    <w:p>
      <w:r>
        <w:t>Retrospektive Kohortenstudie an einem akademischen Zentrum verglich Ergebnisse bei Lungenfibrose-Patienten in spezialisierter ILD-Klinik vs. anderen Ambulatorien.</w:t>
      </w:r>
    </w:p>
    <w:p>
      <w:r>
        <w:rPr>
          <w:b/>
        </w:rPr>
        <w:t xml:space="preserve">Ergebnis: </w:t>
      </w:r>
      <w:r>
        <w:t>66 % der 6.637 Patienten wurden in spezialisierter Klinik behandelt. Diese zeigten höhere Odds für CT-Bildgebung (OR 2,51), Antifibrotika-Therapie (OR 1,54) und niedrigere Odds für Lungenbiopsie (OR 0,47). Spezialisierte Klinik war mit niedrigerem adjustiertem Risiko für Hospitalisierung (HR 0,46), Notaufnahmebesuche (HR 0,68) und Mortalität (HR 0,57) assoziiert (alle p&lt;0,001).</w:t>
      </w:r>
    </w:p>
    <w:p>
      <w:r>
        <w:rPr>
          <w:b/>
          <w:sz w:val="19"/>
        </w:rPr>
        <w:t xml:space="preserve">Übertragbarkeit: </w:t>
      </w:r>
      <w:r>
        <w:rPr>
          <w:sz w:val="19"/>
        </w:rPr>
        <w:t>US-Daten, aber Fragestellung zur Spezialisierungswirkung systemunabhängig relevant.</w:t>
      </w:r>
    </w:p>
    <w:p>
      <w:r>
        <w:rPr>
          <w:color w:val="5A7D3A"/>
          <w:sz w:val="18"/>
        </w:rPr>
        <w:t>https://pubmed.ncbi.nlm.nih.gov/42951064/</w:t>
      </w:r>
    </w:p>
    <w:p>
      <w:pPr>
        <w:pStyle w:val="Heading2"/>
      </w:pPr>
      <w:r>
        <w:t>Telemonitoring erhöht Adherenz bei Mukoviszidose-Patienten</w:t>
      </w:r>
    </w:p>
    <w:p>
      <w:r>
        <w:rPr>
          <w:i/>
          <w:color w:val="666666"/>
          <w:sz w:val="18"/>
        </w:rPr>
        <w:t>Thee S et al.  ·  Ann Am Thorac Soc  ·  28.10.2026  ·  PMID 42949105</w:t>
      </w:r>
    </w:p>
    <w:p>
      <w:r>
        <w:t>Multizentrische RCT in Deutschland testete, ob multimodales Telemonitoring mit wöchentlicher Spirometrie und Coaching die Adhärenz zur Inhalationstherapie und pulmonale Exazerbationen bei Mukoviszidose beeinflusst.</w:t>
      </w:r>
    </w:p>
    <w:p>
      <w:r>
        <w:rPr>
          <w:b/>
        </w:rPr>
        <w:t xml:space="preserve">Ergebnis: </w:t>
      </w:r>
      <w:r>
        <w:t>296 Teilnehmer, Durchschnittsalter 31,3 Jahre. Baseline-Adhärenz war in der Interventionsgruppe höher (58,1 % vs. 44,0 %). Am Ende: 49,2 % vs. 32,6 % Adhärenz. Zeit bis erste Exazerbation unterschied sich nicht zwischen Gruppen; aber eine 10%-ige Adhärenz-Steigerung korrelierte mit 9 % Reduktion des Exazerbationsrisikos. Patienten mit FEV₁&lt;40 % hatten 2,4-fach höheres Risiko.</w:t>
      </w:r>
    </w:p>
    <w:p>
      <w:r>
        <w:rPr>
          <w:b/>
          <w:sz w:val="19"/>
        </w:rPr>
        <w:t xml:space="preserve">Übertragbarkeit: </w:t>
      </w:r>
      <w:r>
        <w:rPr>
          <w:sz w:val="19"/>
        </w:rPr>
        <w:t>Deutsche Studie, gesetzliches Versorgungssystem, direkt übertragbar.</w:t>
      </w:r>
    </w:p>
    <w:p>
      <w:r>
        <w:rPr>
          <w:color w:val="5A7D3A"/>
          <w:sz w:val="18"/>
        </w:rPr>
        <w:t>https://pubmed.ncbi.nlm.nih.gov/42949105/</w:t>
      </w:r>
    </w:p>
    <w:p>
      <w:pPr>
        <w:pStyle w:val="Heading2"/>
      </w:pPr>
      <w:r>
        <w:t>Rehabilitations-Koordinator verbessert Vokationsrehabilitation in Psychiatrie</w:t>
      </w:r>
    </w:p>
    <w:p>
      <w:r>
        <w:rPr>
          <w:i/>
          <w:color w:val="666666"/>
          <w:sz w:val="18"/>
        </w:rPr>
        <w:t>Andersén Å et al.  ·  BMC Health Serv Res  ·  27.10.2026  ·  PMID 42947172</w:t>
      </w:r>
    </w:p>
    <w:p>
      <w:r>
        <w:t>Qualitative deskriptive Studie in Schweden mit 12 psychiatrischen Fachkräften untersuchte ihre Erfahrungen mit Rehabilitations-Koordinatoren für Vokationsrehabilitation.</w:t>
      </w:r>
    </w:p>
    <w:p>
      <w:r>
        <w:rPr>
          <w:b/>
        </w:rPr>
        <w:t xml:space="preserve">Ergebnis: </w:t>
      </w:r>
      <w:r>
        <w:t>Zwei Hauptthemen: (1) RC verbessert Fokus und Koordination von Vokationsrehabilitation und entlastet Fachkräfte; (2) Unsicherheit über Rollen und Verantwortlichkeiten entstand. Fachkräfte berichteten, dass ihnen Zeit und Wissen für Vokationsrehabilitation fehlten; RC-Funktion war wertvoll für besseres Arbeitsumfeld.</w:t>
      </w:r>
    </w:p>
    <w:p>
      <w:r>
        <w:rPr>
          <w:b/>
          <w:sz w:val="19"/>
        </w:rPr>
        <w:t xml:space="preserve">Übertragbarkeit: </w:t>
      </w:r>
      <w:r>
        <w:rPr>
          <w:sz w:val="19"/>
        </w:rPr>
        <w:t>Skandinavien, ähnliches Versorgungsmodell – Koordinations- und Spezialisierungseffekte übertragbar.</w:t>
      </w:r>
    </w:p>
    <w:p>
      <w:r>
        <w:rPr>
          <w:color w:val="5A7D3A"/>
          <w:sz w:val="18"/>
        </w:rPr>
        <w:t>https://pubmed.ncbi.nlm.nih.gov/42947172/</w:t>
      </w:r>
    </w:p>
    <w:p>
      <w:pPr>
        <w:pStyle w:val="Heading2"/>
      </w:pPr>
      <w:r>
        <w:t>Bildung und Nudging erhöhen TENS-Nutzung postoperativ</w:t>
      </w:r>
    </w:p>
    <w:p>
      <w:r>
        <w:rPr>
          <w:i/>
          <w:color w:val="666666"/>
          <w:sz w:val="18"/>
        </w:rPr>
        <w:t>Diwan S et al.  ·  BMC Health Serv Res  ·  27.10.2026  ·  PMID 42947110</w:t>
      </w:r>
    </w:p>
    <w:p>
      <w:r>
        <w:t>Quasi-experimentelle Studie an schwedischem Universitätsklinikum untersuchte, ob kurze Schulung plus visuelle Nudges die Anwendung von TENS (transkutane Nervenstimulation) in der postoperativen Schmerzbehandlung erhöhen.</w:t>
      </w:r>
    </w:p>
    <w:p>
      <w:r>
        <w:rPr>
          <w:b/>
        </w:rPr>
        <w:t xml:space="preserve">Ergebnis: </w:t>
      </w:r>
      <w:r>
        <w:t>TENS-Anwendungen stiegen signifikant nach den Interventionen gegenüber Baseline (konkrete Zahlen im Logbuch dokumentiert). Qualitative Befunde zeigten, dass TENS von einer peripheren Option zu integrierten Schmerzbehandlungskomponente reframed wurde; Nudging normalisierte TENS-Nutzung und trug zur frühen Routinisierung bei.</w:t>
      </w:r>
    </w:p>
    <w:p>
      <w:r>
        <w:rPr>
          <w:b/>
          <w:sz w:val="19"/>
        </w:rPr>
        <w:t xml:space="preserve">Übertragbarkeit: </w:t>
      </w:r>
      <w:r>
        <w:rPr>
          <w:sz w:val="19"/>
        </w:rPr>
        <w:t>Skandinavien, steuerfinanziertes System – aber Prozessoptimierung und Qualitätsmessungen sind übertragbar.</w:t>
      </w:r>
    </w:p>
    <w:p>
      <w:r>
        <w:rPr>
          <w:color w:val="5A7D3A"/>
          <w:sz w:val="18"/>
        </w:rPr>
        <w:t>https://pubmed.ncbi.nlm.nih.gov/42947110/</w:t>
      </w:r>
    </w:p>
    <w:p>
      <w:pPr>
        <w:pStyle w:val="Heading2"/>
      </w:pPr>
      <w:r>
        <w:t>Häusliche Primärversorgung für Ältere in Korea: Praxisdefizite und Schulungsbedarf</w:t>
      </w:r>
    </w:p>
    <w:p>
      <w:r>
        <w:rPr>
          <w:i/>
          <w:color w:val="666666"/>
          <w:sz w:val="18"/>
        </w:rPr>
        <w:t>Cho E et al.  ·  J Korean Med Sci  ·  26.10.2026  ·  PMID 42936977</w:t>
      </w:r>
    </w:p>
    <w:p>
      <w:r>
        <w:t>Nationale Querschnittserhebung in Südkorea erfasste 2024 Praxis, Kompetenzen und Schulungsbedarf von Anbietern des HBPC-LTC-Programms (seit 2022).</w:t>
      </w:r>
    </w:p>
    <w:p>
      <w:r>
        <w:rPr>
          <w:b/>
        </w:rPr>
        <w:t xml:space="preserve">Ergebnis: </w:t>
      </w:r>
      <w:r>
        <w:t>57 von 95 zertifizierten Zentren (60,0 %) antworteten. Mehrheit sind private Kliniken; öffentliche Teilnahme begrenzt. Dienstleistungen konzentrieren sich auf Verschreibung, Konsultationen und Wundbehandlung. Schwierigkeiten: Personalbesetzung, Patientenakquisition, Systemkoordination. Fortbildungsbedarf für multidisziplinäre und praxisorientierte Schulung weit verbreitet.</w:t>
      </w:r>
    </w:p>
    <w:p>
      <w:r>
        <w:rPr>
          <w:b/>
          <w:sz w:val="19"/>
        </w:rPr>
        <w:t xml:space="preserve">Übertragbarkeit: </w:t>
      </w:r>
      <w:r>
        <w:rPr>
          <w:sz w:val="19"/>
        </w:rPr>
        <w:t>Südkorea, nur bedingt übertragbar – anderer Gesundheitskontext; aber organisatorische Implementierungshürden systemübergreifend relevant.</w:t>
      </w:r>
    </w:p>
    <w:p>
      <w:r>
        <w:rPr>
          <w:color w:val="5A7D3A"/>
          <w:sz w:val="18"/>
        </w:rPr>
        <w:t>https://pubmed.ncbi.nlm.nih.gov/42936977/</w:t>
      </w:r>
    </w:p>
    <w:p>
      <w:pPr>
        <w:pStyle w:val="Heading2"/>
      </w:pPr>
      <w:r>
        <w:t>Systemische Barrieren für Sturzprävention in der Gemeinde in Singapur</w:t>
      </w:r>
    </w:p>
    <w:p>
      <w:r>
        <w:rPr>
          <w:i/>
          <w:color w:val="666666"/>
          <w:sz w:val="18"/>
        </w:rPr>
        <w:t>Lim CWH et al.  ·  Front Public Health  ·  12.10.2026  ·  PMID 42936074</w:t>
      </w:r>
    </w:p>
    <w:p>
      <w:r>
        <w:t>Qualitative Studie mit 14 Managementvertretern aus 7 Anbietern von Integrated Community Care in Singapur nutzte Theory of Constraints zur Wurzelursachenanalyse von Umsetzungshindernissen.</w:t>
      </w:r>
    </w:p>
    <w:p>
      <w:r>
        <w:rPr>
          <w:b/>
        </w:rPr>
        <w:t xml:space="preserve">Ergebnis: </w:t>
      </w:r>
      <w:r>
        <w:t>Kernproblem: anhaltende vermeidbare Verletzungsstürze. Identifizierte Ursachen: (1) kein systematischer Aufwand zur Information älterer Menschen; (2) mangelnde Schulungsressourcen bei Anbietern; (3) unzureichende Finanzierung; (4) fehlende formale und informale Daten zur Nachfrage; (5) hohe Kosten für Programme. Drei Systemlücken: Informationslücke, Ressourcen-/Kapazitätslücke, ökonomische Lücke.</w:t>
      </w:r>
    </w:p>
    <w:p>
      <w:r>
        <w:rPr>
          <w:b/>
          <w:sz w:val="19"/>
        </w:rPr>
        <w:t xml:space="preserve">Übertragbarkeit: </w:t>
      </w:r>
      <w:r>
        <w:rPr>
          <w:sz w:val="19"/>
        </w:rPr>
        <w:t>Singapur, Informations- und Ressourcendefizite in Versorgungssystemen systemunabhängig relevant.</w:t>
      </w:r>
    </w:p>
    <w:p>
      <w:r>
        <w:rPr>
          <w:color w:val="5A7D3A"/>
          <w:sz w:val="18"/>
        </w:rPr>
        <w:t>https://pubmed.ncbi.nlm.nih.gov/42936074/</w:t>
      </w:r>
    </w:p>
    <w:p>
      <w:pPr>
        <w:pStyle w:val="Heading1"/>
      </w:pPr>
      <w:r>
        <w:t>Aufgenommen am 28.10.2026</w:t>
      </w:r>
    </w:p>
    <w:p>
      <w:pPr>
        <w:pStyle w:val="Heading2"/>
      </w:pPr>
      <w:r>
        <w:t>Ungleichheiten bei Krebsfrüherkennung und Diagnosestadium bei psychischen Erkrankungen</w:t>
      </w:r>
    </w:p>
    <w:p>
      <w:r>
        <w:rPr>
          <w:i/>
          <w:color w:val="666666"/>
          <w:sz w:val="18"/>
        </w:rPr>
        <w:t>Wang YH et al.  ·  PLoS One  ·  27.10.2026  ·  PMID 42945295</w:t>
      </w:r>
    </w:p>
    <w:p>
      <w:r>
        <w:t>Populationsbasierte Kohortenstudie zu Screening-Teilnahme und Diagnosestadium bei Brust- und Darmkrebs für Personen mit vs. ohne psychischen Erkrankungen in Taiwan.</w:t>
      </w:r>
    </w:p>
    <w:p>
      <w:r>
        <w:rPr>
          <w:b/>
        </w:rPr>
        <w:t xml:space="preserve">Ergebnis: </w:t>
      </w:r>
      <w:r>
        <w:t>Bei allgemeiner psychischer Erkrankung: höhere Screening-Teilnahme (aOR 1,04-1,12) und reduzierte Odds für metastasierten Krebs (aOR 0,72-0,93). Bei schwerer psychischer Erkrankung: niedrigere Screening-Odds (aOR 0,81-0,88) trotz hohem ambulantem Nutzungsgrad.</w:t>
      </w:r>
    </w:p>
    <w:p>
      <w:r>
        <w:rPr>
          <w:b/>
          <w:sz w:val="19"/>
        </w:rPr>
        <w:t xml:space="preserve">Übertragbarkeit: </w:t>
      </w:r>
      <w:r>
        <w:rPr>
          <w:sz w:val="19"/>
        </w:rPr>
        <w:t>Nur bedingt: universales Gesundheitssystem, andere Zugangssteuerung als Deutschland</w:t>
      </w:r>
    </w:p>
    <w:p>
      <w:r>
        <w:rPr>
          <w:color w:val="5A7D3A"/>
          <w:sz w:val="18"/>
        </w:rPr>
        <w:t>https://pubmed.ncbi.nlm.nih.gov/42945295/</w:t>
      </w:r>
    </w:p>
    <w:p>
      <w:pPr>
        <w:pStyle w:val="Heading2"/>
      </w:pPr>
      <w:r>
        <w:t>Kostenwirksamkeit empfohlener Interventionen zur Behandlung von Kreuzschmerzen</w:t>
      </w:r>
    </w:p>
    <w:p>
      <w:r>
        <w:rPr>
          <w:i/>
          <w:color w:val="666666"/>
          <w:sz w:val="18"/>
        </w:rPr>
        <w:t>Mathieson S et al.  ·  PLoS Med  ·  27.10.2026  ·  PMID 42945153</w:t>
      </w:r>
    </w:p>
    <w:p>
      <w:r>
        <w:t>Systematischer Review zur Kosteneffektivität nichtmedikamentöser, nichtchirurgischer Interventionen für Kreuzschmerzen im Vergleich zu standardmäßiger Versorgung.</w:t>
      </w:r>
    </w:p>
    <w:p>
      <w:r>
        <w:rPr>
          <w:b/>
        </w:rPr>
        <w:t xml:space="preserve">Ergebnis: </w:t>
      </w:r>
      <w:r>
        <w:t>Die meisten Interventionen gelten bei einer Zahlungsbereitschaft von £20.000 pro QALY als kosteneffektiv. Psychologische Unterstützung, Yoga, Akupunktur und Self-Management-Support sind potenziell kostenersparend (gleichzeitig wirksamer und günstiger als Standardversorgung).</w:t>
      </w:r>
    </w:p>
    <w:p>
      <w:r>
        <w:rPr>
          <w:b/>
          <w:sz w:val="19"/>
        </w:rPr>
        <w:t xml:space="preserve">Übertragbarkeit: </w:t>
      </w:r>
      <w:r>
        <w:rPr>
          <w:sz w:val="19"/>
        </w:rPr>
        <w:t>Hocheinkommensländer, begrenzte Evidenz aus Niedrig- und Mittellohnländern</w:t>
      </w:r>
    </w:p>
    <w:p>
      <w:r>
        <w:rPr>
          <w:color w:val="5A7D3A"/>
          <w:sz w:val="18"/>
        </w:rPr>
        <w:t>https://pubmed.ncbi.nlm.nih.gov/42945153/</w:t>
      </w:r>
    </w:p>
    <w:p>
      <w:pPr>
        <w:pStyle w:val="Heading2"/>
      </w:pPr>
      <w:r>
        <w:t>Aktivitäten des täglichen Lebens nach verkürzter stationärer Geriatrischer Rehabilitation durch Home-Care</w:t>
      </w:r>
    </w:p>
    <w:p>
      <w:r>
        <w:rPr>
          <w:i/>
          <w:color w:val="666666"/>
          <w:sz w:val="18"/>
        </w:rPr>
        <w:t>Gamble CJ et al.  ·  Eur Geriatr Med  ·  27.10.2026  ·  PMID 42945046</w:t>
      </w:r>
    </w:p>
    <w:p>
      <w:r>
        <w:t>Prospektive Kohortenstudie zur Aktivitätsunabhängigkeit nach strukturiertem Home-based geriatric rehabilitation (Better@Home) versus konventioneller stationärer Rehabilitation bei älteren Patienten.</w:t>
      </w:r>
    </w:p>
    <w:p>
      <w:r>
        <w:rPr>
          <w:b/>
        </w:rPr>
        <w:t xml:space="preserve">Ergebnis: </w:t>
      </w:r>
      <w:r>
        <w:t>Keine signifikanten Unterschiede zwischen Better@Home und Kontrolle bei der Aktivitätsunabhängigkeit (Barthel-Index): mittlere Differenz 0,48 Punkte (95%-KI -0,323-1,282; p=0,240). Strukturiertes Home-based Programm erzielte vergleichbare Ergebnisse zu stationärer Rehabilitation.</w:t>
      </w:r>
    </w:p>
    <w:p>
      <w:r>
        <w:rPr>
          <w:b/>
          <w:sz w:val="19"/>
        </w:rPr>
        <w:t xml:space="preserve">Übertragbarkeit: </w:t>
      </w:r>
      <w:r>
        <w:rPr>
          <w:sz w:val="19"/>
        </w:rPr>
        <w:t>Niederlande, vergleichbares Sozialversicherungssystem und Gesundheitswesen</w:t>
      </w:r>
    </w:p>
    <w:p>
      <w:r>
        <w:rPr>
          <w:color w:val="5A7D3A"/>
          <w:sz w:val="18"/>
        </w:rPr>
        <w:t>https://pubmed.ncbi.nlm.nih.gov/42945046/</w:t>
      </w:r>
    </w:p>
    <w:p>
      <w:pPr>
        <w:pStyle w:val="Heading2"/>
      </w:pPr>
      <w:r>
        <w:t>Alleinleben und Mortalität: Ursachen-spezifische Analyse in USA</w:t>
      </w:r>
    </w:p>
    <w:p>
      <w:r>
        <w:rPr>
          <w:i/>
          <w:color w:val="666666"/>
          <w:sz w:val="18"/>
        </w:rPr>
        <w:t>Lee H et al.  ·  Int J Epidemiol  ·  14.10.2026  ·  PMID 42937267</w:t>
      </w:r>
    </w:p>
    <w:p>
      <w:r>
        <w:t>Nationale Kohortenstudie (NHIS-NDI 1998-2019) zur Assoziation zwischen Alleinleben und Mortalität nach Todesursachen bei US-Erwachsenen.</w:t>
      </w:r>
    </w:p>
    <w:p>
      <w:r>
        <w:rPr>
          <w:b/>
        </w:rPr>
        <w:t xml:space="preserve">Ergebnis: </w:t>
      </w:r>
      <w:r>
        <w:t>Alleinlebende Erwachsene (18-64 Jahre): höhere Gesamtmortalität (HR 1,22), Herzerkrankungen (HR 1,41), Suizid (HR 1,58) und Verletzungen (HR 1,27). Soziodemografische und Gesundheitsfaktoren erklärten 57,1 % der Differenz (18-64 Jahre) bzw. 85,4 % (≥65 Jahre).</w:t>
      </w:r>
    </w:p>
    <w:p>
      <w:r>
        <w:rPr>
          <w:b/>
          <w:sz w:val="19"/>
        </w:rPr>
        <w:t xml:space="preserve">Übertragbarkeit: </w:t>
      </w:r>
      <w:r>
        <w:rPr>
          <w:sz w:val="19"/>
        </w:rPr>
        <w:t>US-Daten – Fragestellung aber systemunabhängig bezüglich Patientensicherheit</w:t>
      </w:r>
    </w:p>
    <w:p>
      <w:r>
        <w:rPr>
          <w:color w:val="5A7D3A"/>
          <w:sz w:val="18"/>
        </w:rPr>
        <w:t>https://pubmed.ncbi.nlm.nih.gov/42937267/</w:t>
      </w:r>
    </w:p>
    <w:p>
      <w:pPr>
        <w:pStyle w:val="Heading2"/>
      </w:pPr>
      <w:r>
        <w:t>Prädiktoren für Therapieabbruch und Ansprechen bei Psoriasis-Arthritis</w:t>
      </w:r>
    </w:p>
    <w:p>
      <w:r>
        <w:rPr>
          <w:i/>
          <w:color w:val="666666"/>
          <w:sz w:val="18"/>
        </w:rPr>
        <w:t>Rotariu O et al.  ·  Rheumatology (Oxford)  ·  27.10.2026  ·  PMID 42937132</w:t>
      </w:r>
    </w:p>
    <w:p>
      <w:r>
        <w:t>Register-basierte Kohortenstudie zu Prädiktoren für Diskontinuation und 12-Monats-Behandlungsansprechen bei biologischen/zielgerichteten synthetischen DMARDs bei Psoriasis-Arthritis.</w:t>
      </w:r>
    </w:p>
    <w:p>
      <w:r>
        <w:rPr>
          <w:b/>
        </w:rPr>
        <w:t xml:space="preserve">Ergebnis: </w:t>
      </w:r>
      <w:r>
        <w:t>815 Teilnehmer: 65 % verblieben bei Indextherapie (Median 31 Monate); Abbruch hauptsächlich wegen Unwirksamkeit (55 %) oder Unverträglichkeit (26 %). PDE4-Inhibitoren zeigten 2,25-fach erhöhtes Abbruchrisiko vs. TNF-Inhibitoren. Nur 24 % erreichten minimale Krankheitsaktivität, Männer und jüngere Patienten hatten bessere Chancen.</w:t>
      </w:r>
    </w:p>
    <w:p>
      <w:r>
        <w:rPr>
          <w:b/>
          <w:sz w:val="19"/>
        </w:rPr>
        <w:t xml:space="preserve">Übertragbarkeit: </w:t>
      </w:r>
      <w:r>
        <w:rPr>
          <w:sz w:val="19"/>
        </w:rPr>
        <w:t>Großbritannien, vergleichbar mit Deutschland bezüglich Versorgungsstrukturen</w:t>
      </w:r>
    </w:p>
    <w:p>
      <w:r>
        <w:rPr>
          <w:color w:val="5A7D3A"/>
          <w:sz w:val="18"/>
        </w:rPr>
        <w:t>https://pubmed.ncbi.nlm.nih.gov/42937132/</w:t>
      </w:r>
    </w:p>
    <w:p>
      <w:pPr>
        <w:pStyle w:val="Heading2"/>
      </w:pPr>
      <w:r>
        <w:t>Kommunikations- und finanzielle Barrieren beim Gesundheitszugang von Migranten in Deutschland</w:t>
      </w:r>
    </w:p>
    <w:p>
      <w:r>
        <w:rPr>
          <w:i/>
          <w:color w:val="666666"/>
          <w:sz w:val="18"/>
        </w:rPr>
        <w:t>Goerigk L et al.  ·  BMC Health Serv Res  ·  24.10.2026  ·  PMID 42934686</w:t>
      </w:r>
    </w:p>
    <w:p>
      <w:r>
        <w:t>Querschnittsstudie zu Faktoren, die mit Kommunikations- und Finanzbarrieren beim Gesundheitszugang bei Migranten mit kroatischer, italienischer, polnischer, syrischer oder türkischer Staatsangehörigkeit in Deutschland assoziiert sind.</w:t>
      </w:r>
    </w:p>
    <w:p>
      <w:r>
        <w:rPr>
          <w:b/>
        </w:rPr>
        <w:t xml:space="preserve">Ergebnis: </w:t>
      </w:r>
      <w:r>
        <w:t>Von 6.038 Teilnehmern: 16,2 % berichteten Kommunikationsbarrieren, 9,0 % Finanzbarrieren. Assoziationen mit Geschlecht, Alter, Deutschkenntnissen, Rassismuserfahrungen (Kommunikation) sowie Geschlecht, Bildung, Diskriminierungserfahrungen (Finanzen). Geschlecht und Diskriminierungserfahrung korreliert mit beiden Barrierentypen.</w:t>
      </w:r>
    </w:p>
    <w:p>
      <w:r>
        <w:rPr>
          <w:b/>
          <w:sz w:val="19"/>
        </w:rPr>
        <w:t xml:space="preserve">Übertragbarkeit: </w:t>
      </w:r>
      <w:r>
        <w:rPr>
          <w:sz w:val="19"/>
        </w:rPr>
        <w:t>Deutsche Routinedaten, gesetzlich Versicherte mit Migrationshintergrund</w:t>
      </w:r>
    </w:p>
    <w:p>
      <w:r>
        <w:rPr>
          <w:color w:val="5A7D3A"/>
          <w:sz w:val="18"/>
        </w:rPr>
        <w:t>https://pubmed.ncbi.nlm.nih.gov/42934686/</w:t>
      </w:r>
    </w:p>
    <w:p>
      <w:pPr>
        <w:pStyle w:val="Heading1"/>
      </w:pPr>
      <w:r>
        <w:t>Aufgenommen am 27.10.2026</w:t>
      </w:r>
    </w:p>
    <w:p>
      <w:pPr>
        <w:pStyle w:val="Heading2"/>
      </w:pPr>
      <w:r>
        <w:t>SGLT2-Inhibitoren bei Herzinsuffizienz: frühe Gabe senkt Mortalität</w:t>
      </w:r>
    </w:p>
    <w:p>
      <w:r>
        <w:rPr>
          <w:i/>
          <w:color w:val="666666"/>
          <w:sz w:val="18"/>
        </w:rPr>
        <w:t>Mkoma GF et al.  ·  Eur Heart J Cardiovasc Pharmacother  ·  26.10.2026  ·  PMID 42933869</w:t>
      </w:r>
    </w:p>
    <w:p>
      <w:r>
        <w:t>Dänische Registeranalyse zur Auswirkung einer frühen SGLT2-Inhibitor-Initiierung (≤30 Tage nach HFrEF-Diagnose) auf die Einjahres-Mortalität und HF-Hospitalisierung.</w:t>
      </w:r>
    </w:p>
    <w:p>
      <w:r>
        <w:rPr>
          <w:b/>
        </w:rPr>
        <w:t xml:space="preserve">Ergebnis: </w:t>
      </w:r>
      <w:r>
        <w:t>Unter 10.346 Patienten mit neu diagnostizierter HFrEF erhielten 31,6% SGLT2i innerhalb 30 Tagen. Ein-Jahres-Mortalität: 2,2% (SGLT2i) vs. 3,1% (Kontrolle); Risikodifferenz -1,1 Prozentpunkte (95% KI: -2,0 bis -0,2). HF-Hospitalisierung: Risikodifferenz -3,4 Prozentpunkte (95% KI: -3,9 bis -2,9). Frühe Initiation zeigte klinisch relevante Mortalitätsvorteil.</w:t>
      </w:r>
    </w:p>
    <w:p>
      <w:r>
        <w:rPr>
          <w:b/>
          <w:sz w:val="19"/>
        </w:rPr>
        <w:t xml:space="preserve">Übertragbarkeit: </w:t>
      </w:r>
      <w:r>
        <w:rPr>
          <w:sz w:val="19"/>
        </w:rPr>
        <w:t>Dänische Routinedaten, vergleichbare Sozialversicherungsstruktur und Versorgung wie Deutschland.</w:t>
      </w:r>
    </w:p>
    <w:p>
      <w:r>
        <w:rPr>
          <w:color w:val="5A7D3A"/>
          <w:sz w:val="18"/>
        </w:rPr>
        <w:t>https://pubmed.ncbi.nlm.nih.gov/42933869/</w:t>
      </w:r>
    </w:p>
    <w:p>
      <w:pPr>
        <w:pStyle w:val="Heading2"/>
      </w:pPr>
      <w:r>
        <w:t>Schema-Therapie bei Cluster-C-Persönlichkeitsstörungen: Multizenter-RCT</w:t>
      </w:r>
    </w:p>
    <w:p>
      <w:r>
        <w:rPr>
          <w:i/>
          <w:color w:val="666666"/>
          <w:sz w:val="18"/>
        </w:rPr>
        <w:t>Venhuizen ASM et al.  ·  BMJ Ment Health  ·  26.10.2026  ·  PMID 42933862</w:t>
      </w:r>
    </w:p>
    <w:p>
      <w:r>
        <w:t>Niederländische Multizenter-RCT verglich verschiedene Schema-Therapie-Formate bei Cluster-C-Persönlichkeitsstörungen bezüglich Effektivität und Kosteneffektivität.</w:t>
      </w:r>
    </w:p>
    <w:p>
      <w:r>
        <w:rPr>
          <w:b/>
        </w:rPr>
        <w:t xml:space="preserve">Ergebnis: </w:t>
      </w:r>
      <w:r>
        <w:t>Eingeschlossene Patienten mit Cluster-C-Persönlichkeitsstörungen. Schema-Therapie zeigte Wirksamkeit mit konsistenten Effekten über verschiedene Formate hinweg. Die Studie dokumentiert, dass strukturierte Therapieformate in speziellen Behandlungszentren implementierbar sind und vergleichbare Outcomes erreichen.</w:t>
      </w:r>
    </w:p>
    <w:p>
      <w:r>
        <w:rPr>
          <w:b/>
          <w:sz w:val="19"/>
        </w:rPr>
        <w:t xml:space="preserve">Übertragbarkeit: </w:t>
      </w:r>
      <w:r>
        <w:rPr>
          <w:sz w:val="19"/>
        </w:rPr>
        <w:t>Niederlande, vergleichbares Sozialversicherungssystem und spezialisiertes psychologisches Versorgungssetting.</w:t>
      </w:r>
    </w:p>
    <w:p>
      <w:r>
        <w:rPr>
          <w:color w:val="5A7D3A"/>
          <w:sz w:val="18"/>
        </w:rPr>
        <w:t>https://pubmed.ncbi.nlm.nih.gov/42933862/</w:t>
      </w:r>
    </w:p>
    <w:p>
      <w:pPr>
        <w:pStyle w:val="Heading2"/>
      </w:pPr>
      <w:r>
        <w:t>Bettenauslastung und Abstände zwischen Patienten: Einflussfaktoren und Praktiken</w:t>
      </w:r>
    </w:p>
    <w:p>
      <w:r>
        <w:rPr>
          <w:i/>
          <w:color w:val="666666"/>
          <w:sz w:val="18"/>
        </w:rPr>
        <w:t>Linder W et al.  ·  BMJ Open  ·  26.10.2026  ·  PMID 42933831</w:t>
      </w:r>
    </w:p>
    <w:p>
      <w:r>
        <w:t>Schwedische Multizenter-Kohortenstudie untersuchte, wie Bettenauslastung und Patientenmerkmale die Abstandshaltung zwischen Patienten in Krankenhäusern beeinflussen.</w:t>
      </w:r>
    </w:p>
    <w:p>
      <w:r>
        <w:rPr>
          <w:b/>
        </w:rPr>
        <w:t xml:space="preserve">Ergebnis: </w:t>
      </w:r>
      <w:r>
        <w:t>Die Studie analysiert systematisch beschreibend Bettenabstandspraktiken in Abhängigkeit von Auslastung und Patientenmerkamlen. Erhöhte Auslastung korrelierte mit reduzierten Abständen; Infektionspräventionsvorgaben wurden nicht konsistent eingehalten. Die Ergebnisse demonstrieren Lücken zwischen formalen Standards und Routinepraxis.</w:t>
      </w:r>
    </w:p>
    <w:p>
      <w:r>
        <w:rPr>
          <w:b/>
          <w:sz w:val="19"/>
        </w:rPr>
        <w:t xml:space="preserve">Übertragbarkeit: </w:t>
      </w:r>
      <w:r>
        <w:rPr>
          <w:sz w:val="19"/>
        </w:rPr>
        <w:t>Skandinavien, steuerfinanziertes System; Prozessqualität und Patientensicherheit aber übertragbar.</w:t>
      </w:r>
    </w:p>
    <w:p>
      <w:r>
        <w:rPr>
          <w:color w:val="5A7D3A"/>
          <w:sz w:val="18"/>
        </w:rPr>
        <w:t>https://pubmed.ncbi.nlm.nih.gov/42933831/</w:t>
      </w:r>
    </w:p>
    <w:p>
      <w:pPr>
        <w:pStyle w:val="Heading2"/>
      </w:pPr>
      <w:r>
        <w:t>Kreatives Interview mit Kindern: Performance-basiertes Engagement in Gesundheitsforschung</w:t>
      </w:r>
    </w:p>
    <w:p>
      <w:r>
        <w:rPr>
          <w:i/>
          <w:color w:val="666666"/>
          <w:sz w:val="18"/>
        </w:rPr>
        <w:t>Treadgold C et al.  ·  Health Expect  ·  Okt. 2026  ·  PMID 42929487</w:t>
      </w:r>
    </w:p>
    <w:p>
      <w:r>
        <w:t>Australische qualitative Methodenstudie evaluierte einen innovativen, spielerischen Interviewansatz mit professionellen Performern, um Kinder in Gesundheitsforschung zu Patient-Reported Experience Measures einzubeziehen.</w:t>
      </w:r>
    </w:p>
    <w:p>
      <w:r>
        <w:rPr>
          <w:b/>
        </w:rPr>
        <w:t xml:space="preserve">Ergebnis: </w:t>
      </w:r>
      <w:r>
        <w:t>Der Ansatz mit geschulten Performern (‚Captain Starlight') ermöglichte kindzentrierte, flexible Interaktionen, die Engagement und Offenheit förderten. Kinder konnten ihre Perspektiven auf Krankenhauserfahrungen authentischer artikulieren als in traditionellen Interviews. Herausforderungen waren Balancieren zwischen Charakterimmersion und Datenerfassung sowie Consent-Navigieren. Die Methode erwies sich als transferierbar für unterschiedliche Forschungskontexte mit Kindern.</w:t>
      </w:r>
    </w:p>
    <w:p>
      <w:r>
        <w:rPr>
          <w:b/>
          <w:sz w:val="19"/>
        </w:rPr>
        <w:t xml:space="preserve">Übertragbarkeit: </w:t>
      </w:r>
      <w:r>
        <w:rPr>
          <w:sz w:val="19"/>
        </w:rPr>
        <w:t>Australien; Methodische Innovationen für kindzentrierte Forschung sind systemunabhängig wertvoll.</w:t>
      </w:r>
    </w:p>
    <w:p>
      <w:r>
        <w:rPr>
          <w:color w:val="5A7D3A"/>
          <w:sz w:val="18"/>
        </w:rPr>
        <w:t>https://pubmed.ncbi.nlm.nih.gov/42929487/</w:t>
      </w:r>
    </w:p>
    <w:p>
      <w:pPr>
        <w:pStyle w:val="Heading2"/>
      </w:pPr>
      <w:r>
        <w:t>Multidisziplinarität in Tumorkonferenzen: deutsche Krebszentren</w:t>
      </w:r>
    </w:p>
    <w:p>
      <w:r>
        <w:rPr>
          <w:i/>
          <w:color w:val="666666"/>
          <w:sz w:val="18"/>
        </w:rPr>
        <w:t>Rother J et al.  ·  J Multidiscip Healthc  ·  21.10.2026  ·  PMID 42928752</w:t>
      </w:r>
    </w:p>
    <w:p>
      <w:r>
        <w:t>Deutsche Observationsstudie analysierte die tatsächliche Multidisziplinarität von Tumorkonferenzen an 6 deutschen Krebszentren in Bezug auf Anwesenheit und aktive Beteiligung verschiedener Fachgruppen.</w:t>
      </w:r>
    </w:p>
    <w:p>
      <w:r>
        <w:rPr>
          <w:b/>
        </w:rPr>
        <w:t xml:space="preserve">Ergebnis: </w:t>
      </w:r>
      <w:r>
        <w:t>Kerntean (Senologie, Radiologie, Pathologie, Onkologie) war in 54% der Fälle unvollständig. Psychoonkologie und Pflege fehlten häufig oder beteiligten sich minimal. In 28% der Fallbesprechungen sprach nur eine Person. Erhebliche Varianz zwischen den 6 Zentren. Formale Multidisziplinaritätsanforderungen werden in der Routinepraxis nicht konsistent umgesetzt.</w:t>
      </w:r>
    </w:p>
    <w:p>
      <w:r>
        <w:rPr>
          <w:b/>
          <w:sz w:val="19"/>
        </w:rPr>
        <w:t xml:space="preserve">Übertragbarkeit: </w:t>
      </w:r>
      <w:r>
        <w:rPr>
          <w:sz w:val="19"/>
        </w:rPr>
        <w:t>Deutsche Daten, direkt auf deutsches Versorgungssystem anwendbar, zertifizierte Krebszentren.</w:t>
      </w:r>
    </w:p>
    <w:p>
      <w:r>
        <w:rPr>
          <w:color w:val="5A7D3A"/>
          <w:sz w:val="18"/>
        </w:rPr>
        <w:t>https://pubmed.ncbi.nlm.nih.gov/42928752/</w:t>
      </w:r>
    </w:p>
    <w:p>
      <w:pPr>
        <w:pStyle w:val="Heading2"/>
      </w:pPr>
      <w:r>
        <w:t>Nationale Implementierung web-basiertes Diabetes-Selbstmanagement in Großbritannien</w:t>
      </w:r>
    </w:p>
    <w:p>
      <w:r>
        <w:rPr>
          <w:i/>
          <w:color w:val="666666"/>
          <w:sz w:val="18"/>
        </w:rPr>
        <w:t>Cotterill S et al.  ·  Diabet Med  ·  25.10.2026  ·  PMID 42928587</w:t>
      </w:r>
    </w:p>
    <w:p>
      <w:r>
        <w:t>UK-Synthese der Evaluationsergebnisse zur nationalen Implementierung von ‚Healthy Living', einem webgestützten Selbstmanagement- und Schulungsprogramm für Typ-2-Diabetes in England.</w:t>
      </w:r>
    </w:p>
    <w:p>
      <w:r>
        <w:rPr>
          <w:b/>
        </w:rPr>
        <w:t xml:space="preserve">Ergebnis: </w:t>
      </w:r>
      <w:r>
        <w:t>Healthy Living zeigte bescheidene Effektivität: HbA1c-Senkung um 1 mmol/mol (95% KI: -2 bis -1) bzw. -0,1% (95% KI: -0,2% bis -0,1%) nach 1 Jahr vs. Routine. Variabilität in Inanspruchnahme und Retention; Kosten-Effektivität bestätigt. Programm war für Minderheiten und benachteiligte Bevölkerungsgruppen unterrepräsentiert.</w:t>
      </w:r>
    </w:p>
    <w:p>
      <w:r>
        <w:rPr>
          <w:b/>
          <w:sz w:val="19"/>
        </w:rPr>
        <w:t xml:space="preserve">Übertragbarkeit: </w:t>
      </w:r>
      <w:r>
        <w:rPr>
          <w:sz w:val="19"/>
        </w:rPr>
        <w:t>Großbritannien, steuerfinanziertes System; Prozesse und Patientenperspektive aber übertragbar.</w:t>
      </w:r>
    </w:p>
    <w:p>
      <w:r>
        <w:rPr>
          <w:color w:val="5A7D3A"/>
          <w:sz w:val="18"/>
        </w:rPr>
        <w:t>https://pubmed.ncbi.nlm.nih.gov/42928587/</w:t>
      </w:r>
    </w:p>
    <w:p>
      <w:pPr>
        <w:pStyle w:val="Heading1"/>
      </w:pPr>
      <w:r>
        <w:t>Aufgenommen am 26.10.2026</w:t>
      </w:r>
    </w:p>
    <w:p>
      <w:pPr>
        <w:pStyle w:val="Heading2"/>
      </w:pPr>
      <w:r>
        <w:t>Lebensraum stärker mit Gesundheit assoziiert als körperliche Aktivität</w:t>
      </w:r>
    </w:p>
    <w:p>
      <w:r>
        <w:rPr>
          <w:i/>
          <w:color w:val="666666"/>
          <w:sz w:val="18"/>
        </w:rPr>
        <w:t>Lin S et al.  ·  Prev Med Rep  ·  10.10.2026  ·  PMID 42927076</w:t>
      </w:r>
    </w:p>
    <w:p>
      <w:r>
        <w:t>Querschnittsstudie mit 1.118 älteren Singapurer (≥50 Jahre) verglich Life Space und körperliche Aktivität als Prädiktoren für selbstbewertete Gesundheit und physische Leistung.</w:t>
      </w:r>
    </w:p>
    <w:p>
      <w:r>
        <w:rPr>
          <w:b/>
        </w:rPr>
        <w:t xml:space="preserve">Ergebnis: </w:t>
      </w:r>
      <w:r>
        <w:t>Life Space war ein stärkerer Prädiktor und zeigte direkte und indirekte Effekte auf selbstbewertete Gesundheit, während körperliche Aktivität nur indirekte Effekte via physische Leistung aufwies. Strukturelle Regression unterstützte die Überlegenheit des Life-Space-Konzepts.</w:t>
      </w:r>
    </w:p>
    <w:p>
      <w:r>
        <w:rPr>
          <w:b/>
          <w:sz w:val="19"/>
        </w:rPr>
        <w:t xml:space="preserve">Übertragbarkeit: </w:t>
      </w:r>
      <w:r>
        <w:rPr>
          <w:sz w:val="19"/>
        </w:rPr>
        <w:t>Singapur, vergleichbare Alterspopulation; Fragestellung systemunabhängig für Prävention von Funktionsverlust bei älteren Menschen.</w:t>
      </w:r>
    </w:p>
    <w:p>
      <w:r>
        <w:rPr>
          <w:color w:val="5A7D3A"/>
          <w:sz w:val="18"/>
        </w:rPr>
        <w:t>https://pubmed.ncbi.nlm.nih.gov/42927076/</w:t>
      </w:r>
    </w:p>
    <w:p>
      <w:pPr>
        <w:pStyle w:val="Heading2"/>
      </w:pPr>
      <w:r>
        <w:t>Notfall-Kolonkarzinom-Resektion: Direct-ICU-Transfer senkt Mortalität nicht</w:t>
      </w:r>
    </w:p>
    <w:p>
      <w:r>
        <w:rPr>
          <w:i/>
          <w:color w:val="666666"/>
          <w:sz w:val="18"/>
        </w:rPr>
        <w:t>Blake HA et al.  ·  BJA Open  ·  15.10.2026  ·  PMID 42926795</w:t>
      </w:r>
    </w:p>
    <w:p>
      <w:r>
        <w:t>Englische Populationsstudie (10.441 Patienten) untersuchte, ob direkte postoperative Verlegung auf die Intensivstation nach Notfall-Kolonkarzinom-Resektion die 90-Tage-Mortalität senkt.</w:t>
      </w:r>
    </w:p>
    <w:p>
      <w:r>
        <w:rPr>
          <w:b/>
        </w:rPr>
        <w:t xml:space="preserve">Ergebnis: </w:t>
      </w:r>
      <w:r>
        <w:t>Unangepasst war die Mortalität höher bei Direct-Transfer (10,9% vs. 3,7%, OR 3,16; 95% CI 2,65–3,77), aber nach Risikoadjustierung zeigte sich kein signifikanter Unterschied (adjustiertes OR 1,16; 95% CI 0,94–1,43). Die Direct-Transfer-Quote variierte stark zwischen Kliniken (IQR 68–92%).</w:t>
      </w:r>
    </w:p>
    <w:p>
      <w:r>
        <w:rPr>
          <w:b/>
          <w:sz w:val="19"/>
        </w:rPr>
        <w:t xml:space="preserve">Übertragbarkeit: </w:t>
      </w:r>
      <w:r>
        <w:rPr>
          <w:sz w:val="19"/>
        </w:rPr>
        <w:t>UK NHS-Daten, nationale Kohortenstudie mit Routinedaten; begrenzt übertragbar auf deutsches System mit anderen Organisationsstrukturen.</w:t>
      </w:r>
    </w:p>
    <w:p>
      <w:r>
        <w:rPr>
          <w:color w:val="5A7D3A"/>
          <w:sz w:val="18"/>
        </w:rPr>
        <w:t>https://pubmed.ncbi.nlm.nih.gov/42926795/</w:t>
      </w:r>
    </w:p>
    <w:p>
      <w:pPr>
        <w:pStyle w:val="Heading2"/>
      </w:pPr>
      <w:r>
        <w:t>Antimikrobielle Resistenz in Konfliktgebieten: Diagnostische Herausforderungen</w:t>
      </w:r>
    </w:p>
    <w:p>
      <w:r>
        <w:rPr>
          <w:i/>
          <w:color w:val="666666"/>
          <w:sz w:val="18"/>
        </w:rPr>
        <w:t>Pallett SJ et al.  ·  Commun Med (Lond)  ·  24.10.2026  ·  PMID 42926236</w:t>
      </w:r>
    </w:p>
    <w:p>
      <w:r>
        <w:t>Qualitative Expertenelicitation mit 8 Fachleuten aus verschiedenen Sektoren (Krankenhaus, Umwelt, Tier) zur Extended-Spectrum-β-Lactamase-Übertragung auf Menschen in Konfliktregionen.</w:t>
      </w:r>
    </w:p>
    <w:p>
      <w:r>
        <w:rPr>
          <w:b/>
        </w:rPr>
        <w:t xml:space="preserve">Ergebnis: </w:t>
      </w:r>
      <w:r>
        <w:t>Tägliche Übertragungsrate hospital-zu-Mensch: 1,76 pro Person-Tag (90% CrI 0,10–8,61) unter Leistungsgewichtung; Begleittier-Pfad: 0,03 (90% CrI 0,00–0,11). Gemeindeumwelt-Pfad: 0,81 (90% CrI 0,10–4,12). Expert-Elicitation zeigt Unsicherheit, priorisiert aber Optimierung von Diagnostik, Workload-Tools und Beschaffungspolitik für ressourcenarm eingestellte Gebiete.</w:t>
      </w:r>
    </w:p>
    <w:p>
      <w:r>
        <w:rPr>
          <w:b/>
          <w:sz w:val="19"/>
        </w:rPr>
        <w:t xml:space="preserve">Übertragbarkeit: </w:t>
      </w:r>
      <w:r>
        <w:rPr>
          <w:sz w:val="19"/>
        </w:rPr>
        <w:t>Systemunabhängig: Antibiotika-Resistenz ist globales Versorgungsproblem; Methode und Befunde relevant für ressourcenlimitierte Kontexte einschließlich Deutschland.</w:t>
      </w:r>
    </w:p>
    <w:p>
      <w:r>
        <w:rPr>
          <w:color w:val="5A7D3A"/>
          <w:sz w:val="18"/>
        </w:rPr>
        <w:t>https://pubmed.ncbi.nlm.nih.gov/42926236/</w:t>
      </w:r>
    </w:p>
    <w:p>
      <w:pPr>
        <w:pStyle w:val="Heading2"/>
      </w:pPr>
      <w:r>
        <w:t>Atemwegserreger bei Pneumonie in ländlichen Regionen: Niederlande</w:t>
      </w:r>
    </w:p>
    <w:p>
      <w:r>
        <w:rPr>
          <w:i/>
          <w:color w:val="666666"/>
          <w:sz w:val="18"/>
        </w:rPr>
        <w:t>Roof I et al.  ·  Pneumonia (Nathan)  ·  25.10.2026  ·  PMID 42926196</w:t>
      </w:r>
    </w:p>
    <w:p>
      <w:r>
        <w:t>Niederländische Querschnittsstudie untersuchte 33 Atemwegserreger bei Hausarzt-Pneumoniepatienten (n=108), Bewohnern ohne Pneumonie (n=200) und Ziegenbauern (n=91) mittels Multiplex-PCR.</w:t>
      </w:r>
    </w:p>
    <w:p>
      <w:r>
        <w:rPr>
          <w:b/>
        </w:rPr>
        <w:t xml:space="preserve">Ergebnis: </w:t>
      </w:r>
      <w:r>
        <w:t>94,5% der Pneumoniepatienten waren Pathogen-positiv, 88,8% der Ziegenbauern und 70% der gesunden Bewohner. M. catarrhalis und S. pneumoniae waren signifikant häufiger bei Pneumonie (p&lt;0,05). Nähe zu Ziegenfarmen (&lt;2000m) war nicht assoziiert mit spezifischen Pathogenen trotz erhöhtem Pneumonie-Risiko in diesen Gebieten.</w:t>
      </w:r>
    </w:p>
    <w:p>
      <w:r>
        <w:rPr>
          <w:b/>
          <w:sz w:val="19"/>
        </w:rPr>
        <w:t xml:space="preserve">Übertragbarkeit: </w:t>
      </w:r>
      <w:r>
        <w:rPr>
          <w:sz w:val="19"/>
        </w:rPr>
        <w:t>Niederländische Routinepraxis; Sozialversicherungssystem ähnlich Deutschland, direkt übertragbar für Versorgungsforschung in ländlichen Gebieten.</w:t>
      </w:r>
    </w:p>
    <w:p>
      <w:r>
        <w:rPr>
          <w:color w:val="5A7D3A"/>
          <w:sz w:val="18"/>
        </w:rPr>
        <w:t>https://pubmed.ncbi.nlm.nih.gov/42926196/</w:t>
      </w:r>
    </w:p>
    <w:p>
      <w:pPr>
        <w:pStyle w:val="Heading2"/>
      </w:pPr>
      <w:r>
        <w:t>Krankenhausüberwachung vermeidbarer Krankheiten bei Kindern: Niederlande</w:t>
      </w:r>
    </w:p>
    <w:p>
      <w:r>
        <w:rPr>
          <w:i/>
          <w:color w:val="666666"/>
          <w:sz w:val="18"/>
        </w:rPr>
        <w:t>Heemskerk S et al.  ·  Vaccine  ·  24.10.2026  ·  PMID 42925772</w:t>
      </w:r>
    </w:p>
    <w:p>
      <w:r>
        <w:t>Niederländische Machbarkeitsstudie evaluierte die Realisierbarkeit von Krankenhausüberwachung für Impfstoff-vermeidbare Erkrankungen mittels Routinedaten in einem Universitätsklinikum (Juli 2024–Juni 2025).</w:t>
      </w:r>
    </w:p>
    <w:p>
      <w:r>
        <w:rPr>
          <w:b/>
        </w:rPr>
        <w:t xml:space="preserve">Ergebnis: </w:t>
      </w:r>
      <w:r>
        <w:t>99 Kinder mit 103 Episoden wurden eingeschlossen; 60% benötigten pädiatrische Intensivpflege. Häufigste waren RSV (n=52) und Influenza (n=27). Impfstatus konnte für 84% der Episoden ermittelt werden. 9% der Episoden traten trotz vollständiger Impfung auf; 76% traten bei nicht-geimpften Kindern auf. Datenintegration aus mehreren Quellen war notwendig.</w:t>
      </w:r>
    </w:p>
    <w:p>
      <w:r>
        <w:rPr>
          <w:b/>
          <w:sz w:val="19"/>
        </w:rPr>
        <w:t xml:space="preserve">Übertragbarkeit: </w:t>
      </w:r>
      <w:r>
        <w:rPr>
          <w:sz w:val="19"/>
        </w:rPr>
        <w:t>Niederländische Tertiärversorgung, nationale Impfprogramme vergleichbar; hohes Potenzial für adaptierte Surveillance in Deutschland.</w:t>
      </w:r>
    </w:p>
    <w:p>
      <w:r>
        <w:rPr>
          <w:color w:val="5A7D3A"/>
          <w:sz w:val="18"/>
        </w:rPr>
        <w:t>https://pubmed.ncbi.nlm.nih.gov/42925772/</w:t>
      </w:r>
    </w:p>
    <w:p>
      <w:pPr>
        <w:pStyle w:val="Heading2"/>
      </w:pPr>
      <w:r>
        <w:t>Schwere Erkrankungen bei chirurgischen Patienten: Mehr Wiederaufnahmen und Kosten</w:t>
      </w:r>
    </w:p>
    <w:p>
      <w:r>
        <w:rPr>
          <w:i/>
          <w:color w:val="666666"/>
          <w:sz w:val="18"/>
        </w:rPr>
        <w:t>Fong WJ et al.  ·  Ann Acad Med Singap  ·  22.10.2026  ·  PMID 42921853</w:t>
      </w:r>
    </w:p>
    <w:p>
      <w:r>
        <w:t>Singapurer Registerstudie (n=228.687 stationäre Operationen, April 2019–März 2023) untersuchte, wie Patienten mit "serious illness" (SI) postoperative Gesundheitsnutzung und Kosten beeinflussen.</w:t>
      </w:r>
    </w:p>
    <w:p>
      <w:r>
        <w:rPr>
          <w:b/>
        </w:rPr>
        <w:t xml:space="preserve">Ergebnis: </w:t>
      </w:r>
      <w:r>
        <w:t>17,9% (41.011) erfüllten SI-Kriterien. Gegenüber Patienten ohne SI: SI-Patienten hatten längere Verweildauer (IRR 1,81; 95% CI 1,80–1,83), höhere 30-Tage-Wiederaufnahmen (OR 1,58; 95% CI 1,52–1,64), höhere 1-Jahres-Wiederaufnahmen (OR 2,60; 95% CI 2,53–2,67), höhere 1-Jahres-ED-Besuche (OR 2,08; 95% CI 2,03–2,14) und höhere relative Rechnungssummen (RR 1,64; 95% CI 1,62–1,67).</w:t>
      </w:r>
    </w:p>
    <w:p>
      <w:r>
        <w:rPr>
          <w:b/>
          <w:sz w:val="19"/>
        </w:rPr>
        <w:t xml:space="preserve">Übertragbarkeit: </w:t>
      </w:r>
      <w:r>
        <w:rPr>
          <w:sz w:val="19"/>
        </w:rPr>
        <w:t>Singapur-Routinedaten; System und Fragestellung relevant für deutsches Gesundheitswesen zur Identifikation von Hochrisiko-Patienten in der Versorgung.</w:t>
      </w:r>
    </w:p>
    <w:p>
      <w:r>
        <w:rPr>
          <w:color w:val="5A7D3A"/>
          <w:sz w:val="18"/>
        </w:rPr>
        <w:t>https://pubmed.ncbi.nlm.nih.gov/42921853/</w:t>
      </w:r>
    </w:p>
    <w:p>
      <w:pPr>
        <w:pStyle w:val="Heading1"/>
      </w:pPr>
      <w:r>
        <w:t>Aufgenommen am 25.10.2026</w:t>
      </w:r>
    </w:p>
    <w:p>
      <w:pPr>
        <w:pStyle w:val="Heading2"/>
      </w:pPr>
      <w:r>
        <w:t>Soziale Unterstützung und Zufriedenheit mit Anreizen in Primärversorgung</w:t>
      </w:r>
    </w:p>
    <w:p>
      <w:r>
        <w:rPr>
          <w:i/>
          <w:color w:val="666666"/>
          <w:sz w:val="18"/>
        </w:rPr>
        <w:t>Wang J et al.  ·  BMC Health Serv Res  ·  13.10.2026  ·  PMID 42920143</w:t>
      </w:r>
    </w:p>
    <w:p>
      <w:r>
        <w:t>Querschnittsstudie mit 1154 Beschäftigten in Primärversorgungseinrichtungen (Anhui, China) zur Assoziation zwischen sozialer Unterstützung und Zufriedenheit mit Organisationsanreizen sowie der mediierenden Rolle der psychologischen Ressourcen.</w:t>
      </w:r>
    </w:p>
    <w:p>
      <w:r>
        <w:rPr>
          <w:b/>
        </w:rPr>
        <w:t xml:space="preserve">Ergebnis: </w:t>
      </w:r>
      <w:r>
        <w:t>Positive Korrelation zwischen sozialer Unterstützung und Zufriedenheit (β = 0,257, p &lt; 0,001 in Modell 5; β = 0,178, p &lt; 0,001 in Modell 6). Hoffnung zeigte positiven partiellen Mediatoreffekt (indirekter Effekt = 0,077, 95%-KI [0,042; 0,115]), Selbstwirksamkeit einen maskierenden Effekt (indirekter Effekt = −0,033, 95%-KI [−0,057; −0,009]). Unterschiedliche Wirkpfade von Ressourcen-Subdimensionen identifiziert.</w:t>
      </w:r>
    </w:p>
    <w:p>
      <w:r>
        <w:rPr>
          <w:b/>
          <w:sz w:val="19"/>
        </w:rPr>
        <w:t xml:space="preserve">Übertragbarkeit: </w:t>
      </w:r>
      <w:r>
        <w:rPr>
          <w:sz w:val="19"/>
        </w:rPr>
        <w:t>China-Daten; begrenzt übertragbar auf deutsches Sozialversicherungssystem wegen anderer Systemstruktur</w:t>
      </w:r>
    </w:p>
    <w:p>
      <w:r>
        <w:rPr>
          <w:color w:val="5A7D3A"/>
          <w:sz w:val="18"/>
        </w:rPr>
        <w:t>https://pubmed.ncbi.nlm.nih.gov/42920143/</w:t>
      </w:r>
    </w:p>
    <w:p>
      <w:pPr>
        <w:pStyle w:val="Heading2"/>
      </w:pPr>
      <w:r>
        <w:t>Register als Basis für Value-Based Health Care in Orthopädie</w:t>
      </w:r>
    </w:p>
    <w:p>
      <w:r>
        <w:rPr>
          <w:i/>
          <w:color w:val="666666"/>
          <w:sz w:val="18"/>
        </w:rPr>
        <w:t>Cnudde P et al.  ·  BMC Health Serv Res  ·  15.09.2026  ·  PMID 42920135</w:t>
      </w:r>
    </w:p>
    <w:p>
      <w:r>
        <w:t>Qualitative Studie mit 15 internationalen Experten zu Rolle klinischer Register bei Entwicklung und Umsetzung von Value-Based Health Care anhand orthopädischer Register.</w:t>
      </w:r>
    </w:p>
    <w:p>
      <w:r>
        <w:rPr>
          <w:b/>
        </w:rPr>
        <w:t xml:space="preserve">Ergebnis: </w:t>
      </w:r>
      <w:r>
        <w:t>Register tragen zur Evidence-Based Medicine und Verbesserung von Patientenergebnissen bei durch Unterstützung von Implant-Entscheidungen und Behandlungsregimen für vier Stakeholder (Patient, klinisches Team, Gesundheitssystem, Gesellschaft). Rolle bei Pathways-Entwicklung war variabel. Register reduzieren unerwünschte Variation und verknüpfen Wert mit Versorgung.</w:t>
      </w:r>
    </w:p>
    <w:p>
      <w:r>
        <w:rPr>
          <w:b/>
          <w:sz w:val="19"/>
        </w:rPr>
        <w:t xml:space="preserve">Übertragbarkeit: </w:t>
      </w:r>
      <w:r>
        <w:rPr>
          <w:sz w:val="19"/>
        </w:rPr>
        <w:t>Skandinavische und UK-Register; Konzept übertragbar auf deutsches System mit Sozialversicherungsfinanzierung</w:t>
      </w:r>
    </w:p>
    <w:p>
      <w:r>
        <w:rPr>
          <w:color w:val="5A7D3A"/>
          <w:sz w:val="18"/>
        </w:rPr>
        <w:t>https://pubmed.ncbi.nlm.nih.gov/42920135/</w:t>
      </w:r>
    </w:p>
    <w:p>
      <w:pPr>
        <w:pStyle w:val="Heading2"/>
      </w:pPr>
      <w:r>
        <w:t>Second Victimhood bei Ärztinnen und Ärzten sowie Pflegenden</w:t>
      </w:r>
    </w:p>
    <w:p>
      <w:r>
        <w:rPr>
          <w:i/>
          <w:color w:val="666666"/>
          <w:sz w:val="18"/>
        </w:rPr>
        <w:t>Açıkgöz B et al.  ·  BMC Health Serv Res  ·  30.09.2026  ·  PMID 42920132</w:t>
      </w:r>
    </w:p>
    <w:p>
      <w:r>
        <w:t>Querschnittsstudie mit 366 Beschäftigten eines türkischen Universitätskrankenhauses zur Häufigkeit und Folgen von Second Victimhood nach unerwünschten Ereignissen sowie zu Unterstützungsbedarfen.</w:t>
      </w:r>
    </w:p>
    <w:p>
      <w:r>
        <w:rPr>
          <w:b/>
        </w:rPr>
        <w:t xml:space="preserve">Ergebnis: </w:t>
      </w:r>
      <w:r>
        <w:t>15,0% der Teilnehmenden berichteten Second Victimhood, 75,9% davon berichteten negative Konsequenzen. Alter ≥46 Jahre (aOR = 5,27, 95%-KI 1,97–14,06) und 2–5 Jahre Betriebszugehörigkeit (aOR = 2,82, 95%-KI 1,43–5,56) waren unabhängig mit Second Victimhood assoziiert. Wunsch nach strukturierter institutioneller Unterstützung war hoch.</w:t>
      </w:r>
    </w:p>
    <w:p>
      <w:r>
        <w:rPr>
          <w:b/>
          <w:sz w:val="19"/>
        </w:rPr>
        <w:t xml:space="preserve">Übertragbarkeit: </w:t>
      </w:r>
      <w:r>
        <w:rPr>
          <w:sz w:val="19"/>
        </w:rPr>
        <w:t>Türkische Daten; qualitative Befunde zu psychosozialen Folgen systemunabhängig relevant</w:t>
      </w:r>
    </w:p>
    <w:p>
      <w:r>
        <w:rPr>
          <w:color w:val="5A7D3A"/>
          <w:sz w:val="18"/>
        </w:rPr>
        <w:t>https://pubmed.ncbi.nlm.nih.gov/42920132/</w:t>
      </w:r>
    </w:p>
    <w:p>
      <w:pPr>
        <w:pStyle w:val="Heading2"/>
      </w:pPr>
      <w:r>
        <w:t>Digitale Psychotherapie für Gesundheitsfachpersonen mit Depression und Angst</w:t>
      </w:r>
    </w:p>
    <w:p>
      <w:r>
        <w:rPr>
          <w:i/>
          <w:color w:val="666666"/>
          <w:sz w:val="18"/>
        </w:rPr>
        <w:t>Morgenstern J et al.  ·  BMC Health Serv Res  ·  12.08.2026  ·  PMID 42908008</w:t>
      </w:r>
    </w:p>
    <w:p>
      <w:r>
        <w:t>Prospektive Kohortenstudie mit 496 Beschäftigten eines US-Gesundheitssystems zur Effektivität und Adhärenz bei digital bereitgestellter, arbeitgeberorientierter Evidence-Based Psychotherapy.</w:t>
      </w:r>
    </w:p>
    <w:p>
      <w:r>
        <w:rPr>
          <w:b/>
        </w:rPr>
        <w:t xml:space="preserve">Ergebnis: </w:t>
      </w:r>
      <w:r>
        <w:t>Von 496 Teilnehmenden absolvierten 348 (70,2%) mindestens eine Follow-up-Untersuchung. Mittlere Symptomreduktion: 6,4 Punkte PHQ-9 (95%-KI 5,7–7,1) und 6,3 Punkte GAD-7 (95%-KI 5,8–6,9; beide p &lt; 0,001). Remissionsraten: 36,5% Depression, 48,8% Angststörung. Durchschnittlich 15 Sitzungen besucht, 81,9% Therapie abgeschlossen.</w:t>
      </w:r>
    </w:p>
    <w:p>
      <w:r>
        <w:rPr>
          <w:b/>
          <w:sz w:val="19"/>
        </w:rPr>
        <w:t xml:space="preserve">Übertragbarkeit: </w:t>
      </w:r>
      <w:r>
        <w:rPr>
          <w:sz w:val="19"/>
        </w:rPr>
        <w:t>US-Studie; Implementierungsmodell systemunabhängig für Betriebliche Gesundheitsförderung relevant</w:t>
      </w:r>
    </w:p>
    <w:p>
      <w:r>
        <w:rPr>
          <w:color w:val="5A7D3A"/>
          <w:sz w:val="18"/>
        </w:rPr>
        <w:t>https://pubmed.ncbi.nlm.nih.gov/42908008/</w:t>
      </w:r>
    </w:p>
    <w:p>
      <w:pPr>
        <w:pStyle w:val="Heading2"/>
      </w:pPr>
      <w:r>
        <w:t>Effektivität der RSV-Impfung in der klinischen Praxis</w:t>
      </w:r>
    </w:p>
    <w:p>
      <w:r>
        <w:rPr>
          <w:i/>
          <w:color w:val="666666"/>
          <w:sz w:val="18"/>
        </w:rPr>
        <w:t>Groenendijk RW et al.  ·  Lancet Infect Dis  ·  20.10.2026  ·  PMID 42901195</w:t>
      </w:r>
    </w:p>
    <w:p>
      <w:r>
        <w:t>Narrativer Review zur Real-World-Effektivität und Implementierung von RSV-Impfstoffen für Säuglinge und ältere Erwachsene sowie Zugangsbarrieren insbesondere in Ländern mit niedrigerem Einkommen.</w:t>
      </w:r>
    </w:p>
    <w:p>
      <w:r>
        <w:rPr>
          <w:b/>
        </w:rPr>
        <w:t xml:space="preserve">Ergebnis: </w:t>
      </w:r>
      <w:r>
        <w:t>RSV-Impfstoffe zeigen hohe Real-World-Effektivität mit zusätzlichen Vorteilen (reduzierte kardiovaskuläre Ereignisse bei älteren Erwachsenen). Trotz vergleichbarer Effektivität unterscheiden sich Inanspruchnahmequoten zwischen Produkttypen erheblich. Erfolgreiche Implementierung erfordert Integration in routinierte Versorgung, Empfehlung durch vertraute Anbieter und kontextsensitive Strategien.</w:t>
      </w:r>
    </w:p>
    <w:p>
      <w:r>
        <w:rPr>
          <w:b/>
          <w:sz w:val="19"/>
        </w:rPr>
        <w:t xml:space="preserve">Übertragbarkeit: </w:t>
      </w:r>
      <w:r>
        <w:rPr>
          <w:sz w:val="19"/>
        </w:rPr>
        <w:t>Internationale Evidenz; Zugangs- und Implementierungsaspekte für deutsches Sozialversicherungssystem relevant</w:t>
      </w:r>
    </w:p>
    <w:p>
      <w:r>
        <w:rPr>
          <w:color w:val="5A7D3A"/>
          <w:sz w:val="18"/>
        </w:rPr>
        <w:t>https://pubmed.ncbi.nlm.nih.gov/42901195/</w:t>
      </w:r>
    </w:p>
    <w:p>
      <w:pPr>
        <w:pStyle w:val="Heading2"/>
      </w:pPr>
      <w:r>
        <w:t>Genetische Faktoren und Manifestation von Essstörungssymptomen</w:t>
      </w:r>
    </w:p>
    <w:p>
      <w:r>
        <w:rPr>
          <w:i/>
          <w:color w:val="666666"/>
          <w:sz w:val="18"/>
        </w:rPr>
        <w:t>Davies HL et al.  ·  Br J Psychiatry  ·  07.10.2026  ·  PMID 42841245</w:t>
      </w:r>
    </w:p>
    <w:p>
      <w:r>
        <w:t>Genomische Assoziationsstudie mit 24.973 Personen europäischen Ursprungs zu Häufigkeit, Manifestationsalter und genetischer Heritabilität von Essstörungssymptomen sowie zu polygenen Assoziationen.</w:t>
      </w:r>
    </w:p>
    <w:p>
      <w:r>
        <w:rPr>
          <w:b/>
        </w:rPr>
        <w:t xml:space="preserve">Ergebnis: </w:t>
      </w:r>
      <w:r>
        <w:t>Symptommedian-Onset 16–20 Jahre: Erbrechen (16 Jahre), Fasten/exzessives Training (17 Jahre), Binge Eating (18 Jahre), Abführmittel (19 Jahre), Diuretika (20 Jahre), Untergewicht (20 Jahre). SNP-basierte Heritabilität 0,31–0,78 für Verhaltensweisen; Alter bei Onset weniger heritabel. Frühere Binge-Eating-Exposition bei höherem Adipositas-PGS (~7 Monate).</w:t>
      </w:r>
    </w:p>
    <w:p>
      <w:r>
        <w:rPr>
          <w:b/>
          <w:sz w:val="19"/>
        </w:rPr>
        <w:t xml:space="preserve">Übertragbarkeit: </w:t>
      </w:r>
      <w:r>
        <w:rPr>
          <w:sz w:val="19"/>
        </w:rPr>
        <w:t>UK-Biobankdaten; Symptom-Onset-Profile und Geschlechtsunterschiede für Prävention und Versorgung relevant</w:t>
      </w:r>
    </w:p>
    <w:p>
      <w:r>
        <w:rPr>
          <w:color w:val="5A7D3A"/>
          <w:sz w:val="18"/>
        </w:rPr>
        <w:t>https://pubmed.ncbi.nlm.nih.gov/42841245/</w:t>
      </w:r>
    </w:p>
    <w:p>
      <w:pPr>
        <w:pStyle w:val="Heading1"/>
      </w:pPr>
      <w:r>
        <w:t>Aufgenommen am 24.10.2026</w:t>
      </w:r>
    </w:p>
    <w:p>
      <w:pPr>
        <w:pStyle w:val="Heading2"/>
      </w:pPr>
      <w:r>
        <w:t>Resilienzfaktoren bei Altenpflegekräften: Mixed-Methods-Studie</w:t>
      </w:r>
    </w:p>
    <w:p>
      <w:r>
        <w:rPr>
          <w:i/>
          <w:color w:val="666666"/>
          <w:sz w:val="18"/>
        </w:rPr>
        <w:t>Cantarelli P et al.  ·  BMC Health Serv Res  ·  27.07.2026  ·  PMID 42919231</w:t>
      </w:r>
    </w:p>
    <w:p>
      <w:r>
        <w:t>Die Studie untersuchte persönliche und organisationale Prädiktoren von Resilienz bei Fachkräften in stationären Altenpflegeeinrichtungen in Italien durch eine Querschnittsbefragung (n=231) und vier Fokusgruppen.</w:t>
      </w:r>
    </w:p>
    <w:p>
      <w:r>
        <w:rPr>
          <w:b/>
        </w:rPr>
        <w:t xml:space="preserve">Ergebnis: </w:t>
      </w:r>
      <w:r>
        <w:t>Psychisches Wohlbefinden war der stärkste Prädiktor für individuelle Resilienz (multivariate Analyse), gefolgt von organisationaler Resilienzkapazität. Burnout, Kündigungsabsicht und Selbstbeurteilung der Gesundheit zeigten keine signifikanten Assoziationen mit Resilienz. Qualitative Befunde: Beziehungssinn in der Pflege als Schlüsselquelle für psychologische Belohnung, Teamwork und organisationale Unterstützung als zentral für Resilienz.</w:t>
      </w:r>
    </w:p>
    <w:p>
      <w:r>
        <w:rPr>
          <w:b/>
          <w:sz w:val="19"/>
        </w:rPr>
        <w:t xml:space="preserve">Übertragbarkeit: </w:t>
      </w:r>
      <w:r>
        <w:rPr>
          <w:sz w:val="19"/>
        </w:rPr>
        <w:t>Italien, aber ähnliche Struktur stationärer Altenpflege wie Deutschland</w:t>
      </w:r>
    </w:p>
    <w:p>
      <w:r>
        <w:rPr>
          <w:color w:val="5A7D3A"/>
          <w:sz w:val="18"/>
        </w:rPr>
        <w:t>https://pubmed.ncbi.nlm.nih.gov/42919231/</w:t>
      </w:r>
    </w:p>
    <w:p>
      <w:pPr>
        <w:pStyle w:val="Heading2"/>
      </w:pPr>
      <w:r>
        <w:t>Chatbot zur Telemedizin-Unterstützung bei Diabetes: Mixed-Methods-Studie</w:t>
      </w:r>
    </w:p>
    <w:p>
      <w:r>
        <w:rPr>
          <w:i/>
          <w:color w:val="666666"/>
          <w:sz w:val="18"/>
        </w:rPr>
        <w:t>Ong RHS et al.  ·  J Med Internet Res  ·  23.10.2026  ·  PMID 42913398</w:t>
      </w:r>
    </w:p>
    <w:p>
      <w:r>
        <w:t>Embedded Mixed-Methods-Evaluierung eines klinisch-protokollgestützten Chatbots (Siu Dai) zur Unterstützung von Telecare-Fachkräften und Diabetespatienten (n=14: 7 Patienten, 7 Fachkräfte).</w:t>
      </w:r>
    </w:p>
    <w:p>
      <w:r>
        <w:rPr>
          <w:b/>
        </w:rPr>
        <w:t xml:space="preserve">Ergebnis: </w:t>
      </w:r>
      <w:r>
        <w:t>Patienten: hohe Engagement (79% abgeschlossener Sessions, Median 2:58 Min), hohe Zufriedenheit (86% würden empfehlen). Fachkräfte zurückhaltender (43% befürworten universelle Ausrollung). System Usability Scale 60,3±9,6 (akzeptabel). Qualitativ fünf Themen: Usability, Prozessintegration, Akzeptanzfaktoren, wahrgenommene Effizienz, Verbesserungsvorschläge. Barrieren: fehlende EMR-Integration, Inhaltredundanz.</w:t>
      </w:r>
    </w:p>
    <w:p>
      <w:r>
        <w:rPr>
          <w:b/>
          <w:sz w:val="19"/>
        </w:rPr>
        <w:t xml:space="preserve">Übertragbarkeit: </w:t>
      </w:r>
      <w:r>
        <w:rPr>
          <w:sz w:val="19"/>
        </w:rPr>
        <w:t>Singapur-Daten; telemedizinische Prozesse aber systemunabhängig relevant</w:t>
      </w:r>
    </w:p>
    <w:p>
      <w:r>
        <w:rPr>
          <w:color w:val="5A7D3A"/>
          <w:sz w:val="18"/>
        </w:rPr>
        <w:t>https://pubmed.ncbi.nlm.nih.gov/42913398/</w:t>
      </w:r>
    </w:p>
    <w:p>
      <w:pPr>
        <w:pStyle w:val="Heading2"/>
      </w:pPr>
      <w:r>
        <w:t>PrEP-Adoption bei Sexarbeiterinnen in Äthiopien: Einflussfaktoren</w:t>
      </w:r>
    </w:p>
    <w:p>
      <w:r>
        <w:rPr>
          <w:i/>
          <w:color w:val="666666"/>
          <w:sz w:val="18"/>
        </w:rPr>
        <w:t>Lema M et al.  ·  BMC Health Serv Res  ·  25.07.2026  ·  PMID 42908021</w:t>
      </w:r>
    </w:p>
    <w:p>
      <w:r>
        <w:t>Querschnittsstudie mit 422 HIV-negativen Sexarbeiterinnen zur Untersuchung von Faktoren, die PrEP-Adoption beeinflussen.</w:t>
      </w:r>
    </w:p>
    <w:p>
      <w:r>
        <w:rPr>
          <w:b/>
        </w:rPr>
        <w:t xml:space="preserve">Ergebnis: </w:t>
      </w:r>
      <w:r>
        <w:t>PrEP-Uptake 43,3% (95%-KI 38,6–48,1%). Signifikant assoziiert mit PrEP-Nutzung: Alter &gt;24 Jahre (AOR 2,03), PrEP-Bewusstsein (AOR 2,53), HIV-Risikoperzeption (AOR 1,89), flexible Arbeitszeiten (AOR 2,89). Keine signifikanten Assoziationen mit Substanzabhängigkeit, Kondomnutzung oder religiösen Überzeugungen.</w:t>
      </w:r>
    </w:p>
    <w:p>
      <w:r>
        <w:rPr>
          <w:b/>
          <w:sz w:val="19"/>
        </w:rPr>
        <w:t xml:space="preserve">Übertragbarkeit: </w:t>
      </w:r>
      <w:r>
        <w:rPr>
          <w:sz w:val="19"/>
        </w:rPr>
        <w:t>Begrenzt: Subsahara-Afrika, anderes Gesundheitssystem, Frage aber systemunabhängig</w:t>
      </w:r>
    </w:p>
    <w:p>
      <w:r>
        <w:rPr>
          <w:color w:val="5A7D3A"/>
          <w:sz w:val="18"/>
        </w:rPr>
        <w:t>https://pubmed.ncbi.nlm.nih.gov/42908021/</w:t>
      </w:r>
    </w:p>
    <w:p>
      <w:pPr>
        <w:pStyle w:val="Heading2"/>
      </w:pPr>
      <w:r>
        <w:t>Apothekengestützte Kontinenzversorgung (PRIME): Co-Production-Studie</w:t>
      </w:r>
    </w:p>
    <w:p>
      <w:r>
        <w:rPr>
          <w:i/>
          <w:color w:val="666666"/>
          <w:sz w:val="18"/>
        </w:rPr>
        <w:t>Cotterill N et al.  ·  BMC Health Serv Res  ·  24.07.2026  ·  PMID 42907888</w:t>
      </w:r>
    </w:p>
    <w:p>
      <w:r>
        <w:t>UK-Online-Umfrage mit 29 Apothekern und zwei Workshops mit 16 Stakeholdern (Apotheker, Fachkräfte, Patienten, Kommissare) zur Entwicklung einer Servicespezifikation für Blasen- und Darmgesundheit.</w:t>
      </w:r>
    </w:p>
    <w:p>
      <w:r>
        <w:rPr>
          <w:b/>
        </w:rPr>
        <w:t xml:space="preserve">Ergebnis: </w:t>
      </w:r>
      <w:r>
        <w:t>Umfrage: Apotheken bieten einige Lebensstiländerungsberatung an, substanzielles Ausbaupotenzial erkannt. Workshops entwickelten dreistufige PBBS-Servicespezifikation: Tier 1 (Aufklärung, Signposting), Tier 2 (Bewertung, Selbsthilferatschläge), Tier 3 (spezialisierte Behandlung). Kritische Anforderungen: Informationsaustausch, Schulung, Vergütung.</w:t>
      </w:r>
    </w:p>
    <w:p>
      <w:r>
        <w:rPr>
          <w:b/>
          <w:sz w:val="19"/>
        </w:rPr>
        <w:t xml:space="preserve">Übertragbarkeit: </w:t>
      </w:r>
      <w:r>
        <w:rPr>
          <w:sz w:val="19"/>
        </w:rPr>
        <w:t>UK-Studie, aber Apotheken-Versorgungsforschung auf Primärversorgung übertragbar</w:t>
      </w:r>
    </w:p>
    <w:p>
      <w:r>
        <w:rPr>
          <w:color w:val="5A7D3A"/>
          <w:sz w:val="18"/>
        </w:rPr>
        <w:t>https://pubmed.ncbi.nlm.nih.gov/42907888/</w:t>
      </w:r>
    </w:p>
    <w:p>
      <w:pPr>
        <w:pStyle w:val="Heading2"/>
      </w:pPr>
      <w:r>
        <w:t>Rolle von Gemeindegesundheitshelfern in Delhi: qualitative Erfahrungen</w:t>
      </w:r>
    </w:p>
    <w:p>
      <w:r>
        <w:rPr>
          <w:i/>
          <w:color w:val="666666"/>
          <w:sz w:val="18"/>
        </w:rPr>
        <w:t>Steenbeek A et al.  ·  BMC Health Serv Res  ·  27.07.2026  ·  PMID 42907877</w:t>
      </w:r>
    </w:p>
    <w:p>
      <w:r>
        <w:t>Qualitative Deskriptivanalyse mit 12 Gemeindegesundheitshelfern, 5 Gemeindemitgliedern und 4 Gemeindeleitern in Delhi während und nach COVID-19 (März–Mai 2025).</w:t>
      </w:r>
    </w:p>
    <w:p>
      <w:r>
        <w:rPr>
          <w:b/>
        </w:rPr>
        <w:t xml:space="preserve">Ergebnis: </w:t>
      </w:r>
      <w:r>
        <w:t>Drei Kategorien aus Angebots-Sicht: Vertrauen und Respekt, professionelle Werte, Normen/Kultur/Familie. Eine Kategorie aus Nachfrage-Sicht: Gemeinschaftsbedarf. COVID-19-Auswirkungen und Bedenken zur Versorgungsqualität über alle Domänen evident. Wichtigste Befunde: Notwendigkeit von Forschung zu soziokulturellen Einflüssen, Anreiz-Nachhaltigkeit und digitalen Technologien.</w:t>
      </w:r>
    </w:p>
    <w:p>
      <w:r>
        <w:rPr>
          <w:b/>
          <w:sz w:val="19"/>
        </w:rPr>
        <w:t xml:space="preserve">Übertragbarkeit: </w:t>
      </w:r>
      <w:r>
        <w:rPr>
          <w:sz w:val="19"/>
        </w:rPr>
        <w:t>Indien; qualitative Einsichten zu CHW-Rollen aber teilweise übertragbar</w:t>
      </w:r>
    </w:p>
    <w:p>
      <w:r>
        <w:rPr>
          <w:color w:val="5A7D3A"/>
          <w:sz w:val="18"/>
        </w:rPr>
        <w:t>https://pubmed.ncbi.nlm.nih.gov/42907877/</w:t>
      </w:r>
    </w:p>
    <w:p>
      <w:pPr>
        <w:pStyle w:val="Heading2"/>
      </w:pPr>
      <w:r>
        <w:t>Patientenreisen bei Kindern mit Chronischerkrankungen in Deutschland</w:t>
      </w:r>
    </w:p>
    <w:p>
      <w:r>
        <w:rPr>
          <w:i/>
          <w:color w:val="666666"/>
          <w:sz w:val="18"/>
        </w:rPr>
        <w:t>Herr CJ et al.  ·  Eur J Pediatr  ·  22.10.2026  ·  PMID 42907562</w:t>
      </w:r>
    </w:p>
    <w:p>
      <w:r>
        <w:t>Qualitative Studie mit 22 Fachkräften (7 Ärzte, 8 Therapeuten, 7 Sozialarbeiter) zur Erkundung von Perspektiven auf Versorgungspfade von Kindern mit chronischen Erkrankungen.</w:t>
      </w:r>
    </w:p>
    <w:p>
      <w:r>
        <w:rPr>
          <w:b/>
        </w:rPr>
        <w:t xml:space="preserve">Ergebnis: </w:t>
      </w:r>
      <w:r>
        <w:t>Fünf Themen identifiziert: Versorgung wird als fragmentiert, schwer navigierbar und schlecht koordiniert wahrgenommen. Hauptbarrieren: lange Wartezeiten, unkare Versorgungspfade, begrenzte interprofessionelle Kommunikation. Besondere Schwierigkeiten bei sozioökonomischen Benachteiligungen und Sprachbarrieren. Empfehlung: bessere Systemkoordination und Erreichbarkeit.</w:t>
      </w:r>
    </w:p>
    <w:p>
      <w:r>
        <w:rPr>
          <w:b/>
          <w:sz w:val="19"/>
        </w:rPr>
        <w:t xml:space="preserve">Übertragbarkeit: </w:t>
      </w:r>
      <w:r>
        <w:rPr>
          <w:sz w:val="19"/>
        </w:rPr>
        <w:t>Deutsche Studie mit deutschen Daten und System</w:t>
      </w:r>
    </w:p>
    <w:p>
      <w:r>
        <w:rPr>
          <w:color w:val="5A7D3A"/>
          <w:sz w:val="18"/>
        </w:rPr>
        <w:t>https://pubmed.ncbi.nlm.nih.gov/42907562/</w:t>
      </w:r>
    </w:p>
    <w:p>
      <w:pPr>
        <w:pStyle w:val="Heading1"/>
      </w:pPr>
      <w:r>
        <w:t>Aufgenommen am 23.10.2026</w:t>
      </w:r>
    </w:p>
    <w:p>
      <w:pPr>
        <w:pStyle w:val="Heading2"/>
      </w:pPr>
      <w:r>
        <w:t>Arbeitszeit, Karriere und Zufriedenheit: Ärzte in Deutschland</w:t>
      </w:r>
    </w:p>
    <w:p>
      <w:r>
        <w:rPr>
          <w:i/>
          <w:color w:val="666666"/>
          <w:sz w:val="18"/>
        </w:rPr>
        <w:t>Carolina V et al.  ·  BMC Health Serv Res  ·  21.10.2026  ·  PMID 42908019</w:t>
      </w:r>
    </w:p>
    <w:p>
      <w:r>
        <w:t>Befragung von 898 deutschen Ärzten zu Arbeitszeitmodellen, Karrierechancen und Work-Life-Balance.</w:t>
      </w:r>
    </w:p>
    <w:p>
      <w:r>
        <w:rPr>
          <w:b/>
        </w:rPr>
        <w:t xml:space="preserve">Ergebnis: </w:t>
      </w:r>
      <w:r>
        <w:t>56,8% arbeiteten Vollzeit, 52,8% der Teilzeitbeschäftigten waren zufriedener als 45,3% der Vollzeitbeschäftigten (p = 0,020). Klinikärzte hatten geringere Chancen auf Arbeitszeitzufriedenheit (aOR 0,33), Arbeitgeberunterstützung (aOR 0,24) und gleiche Karrierechancen (aOR 0,31); 58,2% fürchteten negative Karrierefolgen bei Stundenreduktion.</w:t>
      </w:r>
    </w:p>
    <w:p>
      <w:r>
        <w:rPr>
          <w:b/>
          <w:sz w:val="19"/>
        </w:rPr>
        <w:t xml:space="preserve">Übertragbarkeit: </w:t>
      </w:r>
      <w:r>
        <w:rPr>
          <w:sz w:val="19"/>
        </w:rPr>
        <w:t>Deutsche Routinedaten, Ärzte aus allen Fachgruppen und Karrierestufen</w:t>
      </w:r>
    </w:p>
    <w:p>
      <w:r>
        <w:rPr>
          <w:color w:val="5A7D3A"/>
          <w:sz w:val="18"/>
        </w:rPr>
        <w:t>https://pubmed.ncbi.nlm.nih.gov/42908019/</w:t>
      </w:r>
    </w:p>
    <w:p>
      <w:pPr>
        <w:pStyle w:val="Heading2"/>
      </w:pPr>
      <w:r>
        <w:t>Patientenfeedback zur Geburtshilfe: partizipativ entwickeltes Instrument</w:t>
      </w:r>
    </w:p>
    <w:p>
      <w:r>
        <w:rPr>
          <w:i/>
          <w:color w:val="666666"/>
          <w:sz w:val="18"/>
        </w:rPr>
        <w:t>Gondwe MJ et al.  ·  BMC Health Serv Res  ·  24.07.2026  ·  PMID 42908016</w:t>
      </w:r>
    </w:p>
    <w:p>
      <w:r>
        <w:t>Partizipative Co-Design-Studie zur Entwicklung eines Feedback-Tools für Geburtshilfeleistungen mit Stakeholdern in Malawi.</w:t>
      </w:r>
    </w:p>
    <w:p>
      <w:r>
        <w:rPr>
          <w:b/>
        </w:rPr>
        <w:t xml:space="preserve">Ergebnis: </w:t>
      </w:r>
      <w:r>
        <w:t>87 Stakeholder in zwei Workshops erarbeiteten 7 Prioritätsbereiche und 27-32 Indikatoren für ante-, intra- und postpartale Versorgung. Durch iterative Konsensfindung aus ~300 Empfehlungen entstanden: respektvolle Versorgung, Kommunikation/Gesundheitserziehung, emotionale Unterstützung, Zugang und Kontinuität der Versorgung.</w:t>
      </w:r>
    </w:p>
    <w:p>
      <w:r>
        <w:rPr>
          <w:b/>
          <w:sz w:val="19"/>
        </w:rPr>
        <w:t xml:space="preserve">Übertragbarkeit: </w:t>
      </w:r>
      <w:r>
        <w:rPr>
          <w:sz w:val="19"/>
        </w:rPr>
        <w:t>Qualitative Partizipationsstudie, systemunabhängig zur Qualitätssicherung</w:t>
      </w:r>
    </w:p>
    <w:p>
      <w:r>
        <w:rPr>
          <w:color w:val="5A7D3A"/>
          <w:sz w:val="18"/>
        </w:rPr>
        <w:t>https://pubmed.ncbi.nlm.nih.gov/42908016/</w:t>
      </w:r>
    </w:p>
    <w:p>
      <w:pPr>
        <w:pStyle w:val="Heading2"/>
      </w:pPr>
      <w:r>
        <w:t>Shared Decision Making in der Behandlung von Morbus Crohn und Colitis</w:t>
      </w:r>
    </w:p>
    <w:p>
      <w:r>
        <w:rPr>
          <w:i/>
          <w:color w:val="666666"/>
          <w:sz w:val="18"/>
        </w:rPr>
        <w:t>Schoefs E et al.  ·  BMC Health Serv Res  ·  05.10.2026  ·  PMID 42907825</w:t>
      </w:r>
    </w:p>
    <w:p>
      <w:r>
        <w:t>Qualitative Befragung von 15 IBD-Patienten, 11 Gastroenterologen und 12 IBD-Krankenschwestern in Belgien zu Implementierung von Shared Decision Making.</w:t>
      </w:r>
    </w:p>
    <w:p>
      <w:r>
        <w:rPr>
          <w:b/>
        </w:rPr>
        <w:t xml:space="preserve">Ergebnis: </w:t>
      </w:r>
      <w:r>
        <w:t>Gastroenterologen berichten routinemäßige SDM-Integration, Patienten beschreiben Inkonsistenzen, besonders bei emotionaler Unterstützung und Präferenzenfeststellung. IBD-Krankenschwestern als wesentliche Partner identifiziert. Hauptbarrieren: niedrige Gesundheitskompetenz, schlechte Kommunikation, Zeitmangel. Schlüsselfaktoren: SDM-Schulung und Organisationsveränderungen.</w:t>
      </w:r>
    </w:p>
    <w:p>
      <w:r>
        <w:rPr>
          <w:b/>
          <w:sz w:val="19"/>
        </w:rPr>
        <w:t xml:space="preserve">Übertragbarkeit: </w:t>
      </w:r>
      <w:r>
        <w:rPr>
          <w:sz w:val="19"/>
        </w:rPr>
        <w:t>Belgien, vergleichbares Sozialversicherungssystem (Niederlande, Schweiz)</w:t>
      </w:r>
    </w:p>
    <w:p>
      <w:r>
        <w:rPr>
          <w:color w:val="5A7D3A"/>
          <w:sz w:val="18"/>
        </w:rPr>
        <w:t>https://pubmed.ncbi.nlm.nih.gov/42907825/</w:t>
      </w:r>
    </w:p>
    <w:p>
      <w:pPr>
        <w:pStyle w:val="Heading2"/>
      </w:pPr>
      <w:r>
        <w:t>Personalfluktuation in Gesundheitsbehörden: Einflussfaktoren</w:t>
      </w:r>
    </w:p>
    <w:p>
      <w:r>
        <w:rPr>
          <w:i/>
          <w:color w:val="666666"/>
          <w:sz w:val="18"/>
        </w:rPr>
        <w:t>Mohammed FZ et al.  ·  BMC Health Serv Res  ·  25.07.2026  ·  PMID 42907823</w:t>
      </w:r>
    </w:p>
    <w:p>
      <w:r>
        <w:t>Cross-sectional-Studie zu Kündigungsabsichten bei 418 Mitarbeitern regionaler und städtischer Gesundheitsbehörden in Äthiopien.</w:t>
      </w:r>
    </w:p>
    <w:p>
      <w:r>
        <w:rPr>
          <w:b/>
        </w:rPr>
        <w:t xml:space="preserve">Ergebnis: </w:t>
      </w:r>
      <w:r>
        <w:t>55,5% hatten Kündigungsabsicht. Assoziiert: &lt;2 Familienmitglieder (AOR 6,077), Arbeit außerhalb Familienresidenz (AOR 3,241), Trennung von Ehepartner/Kindern (AOR 2,040), Unzufriedenheit mit Gehalt (AOR 7,021) oder Organisation (AOR 2,705). Protektiver Faktor: unzureichende Schulinfrastruktur (AOR 0,411).</w:t>
      </w:r>
    </w:p>
    <w:p>
      <w:r>
        <w:rPr>
          <w:b/>
          <w:sz w:val="19"/>
        </w:rPr>
        <w:t xml:space="preserve">Übertragbarkeit: </w:t>
      </w:r>
      <w:r>
        <w:rPr>
          <w:sz w:val="19"/>
        </w:rPr>
        <w:t>Äthiopien, aber Fragestellung zu Personalmanagement systemunabhängig relevant</w:t>
      </w:r>
    </w:p>
    <w:p>
      <w:r>
        <w:rPr>
          <w:color w:val="5A7D3A"/>
          <w:sz w:val="18"/>
        </w:rPr>
        <w:t>https://pubmed.ncbi.nlm.nih.gov/42907823/</w:t>
      </w:r>
    </w:p>
    <w:p>
      <w:pPr>
        <w:pStyle w:val="Heading2"/>
      </w:pPr>
      <w:r>
        <w:t>Schmerzbehandlung und Angstabbau bei Kindern in der Notaufnahme</w:t>
      </w:r>
    </w:p>
    <w:p>
      <w:r>
        <w:rPr>
          <w:i/>
          <w:color w:val="666666"/>
          <w:sz w:val="18"/>
        </w:rPr>
        <w:t>Kappel RKK et al.  ·  Dan Med J  ·  24.09.2026  ·  PMID 42902749</w:t>
      </w:r>
    </w:p>
    <w:p>
      <w:r>
        <w:t>Prospektive Studie zur Schmerzlinderung bei 184 verletzten Kindern in dänischer Notaufnahme.</w:t>
      </w:r>
    </w:p>
    <w:p>
      <w:r>
        <w:rPr>
          <w:b/>
        </w:rPr>
        <w:t xml:space="preserve">Ergebnis: </w:t>
      </w:r>
      <w:r>
        <w:t>50% (92/184; 95% KI 43-57%) erhielten adequate Schmerzlinderung. Nicht-pharmakologische Maßnahmen selten eingesetzt (57% ≤5 Jahre, 97% &gt;5 Jahre). Pädiatrischer Anästhesist-Konsultation in nur 1,7% (n=3) genutzt. Unerwünschte Arzneimittelwirkungen bei 16,2% (6/37 medikamentös behandelt).</w:t>
      </w:r>
    </w:p>
    <w:p>
      <w:r>
        <w:rPr>
          <w:b/>
          <w:sz w:val="19"/>
        </w:rPr>
        <w:t xml:space="preserve">Übertragbarkeit: </w:t>
      </w:r>
      <w:r>
        <w:rPr>
          <w:sz w:val="19"/>
        </w:rPr>
        <w:t>Dänemark, Nordeuropa, steuerfinanziert, aber Fragestellung zu Patientensicherheit systemunabhängig</w:t>
      </w:r>
    </w:p>
    <w:p>
      <w:r>
        <w:rPr>
          <w:color w:val="5A7D3A"/>
          <w:sz w:val="18"/>
        </w:rPr>
        <w:t>https://pubmed.ncbi.nlm.nih.gov/42902749/</w:t>
      </w:r>
    </w:p>
    <w:p>
      <w:pPr>
        <w:pStyle w:val="Heading2"/>
      </w:pPr>
      <w:r>
        <w:t>Krebsversorgung in Deutschland: Inzidenz und Inanspruchnahme 2003-2016</w:t>
      </w:r>
    </w:p>
    <w:p>
      <w:r>
        <w:rPr>
          <w:i/>
          <w:color w:val="666666"/>
          <w:sz w:val="18"/>
        </w:rPr>
        <w:t>Nowossadeck E et al.  ·  BMC Health Serv Res  ·  14.10.2026  ·  PMID 42902261</w:t>
      </w:r>
    </w:p>
    <w:p>
      <w:r>
        <w:t>Analyse von deutschen Krebsregisterdaten und Versorgungsstatistiken zu Hospitalisierung und Rehabilitation (2003-2016).</w:t>
      </w:r>
    </w:p>
    <w:p>
      <w:r>
        <w:rPr>
          <w:b/>
        </w:rPr>
        <w:t xml:space="preserve">Ergebnis: </w:t>
      </w:r>
      <w:r>
        <w:t>Krebsinzidenz 2003-2016: +9,6% Frauen, +7,0% Männer. Stationäre Fälle: -0,4% Frauen, +4,5% Männer. 2016: 2,46 stationäre Fälle pro Krebsneufall (Frauen), 2,72 (Männer). Rehabilitation pro 100 1-Jahr-Überlebende: Frauen 2003-2016 von 59,2 auf 57,2 gesunken, Männer von 50,8 auf 46,9.</w:t>
      </w:r>
    </w:p>
    <w:p>
      <w:r>
        <w:rPr>
          <w:b/>
          <w:sz w:val="19"/>
        </w:rPr>
        <w:t xml:space="preserve">Übertragbarkeit: </w:t>
      </w:r>
      <w:r>
        <w:rPr>
          <w:sz w:val="19"/>
        </w:rPr>
        <w:t>Deutsche Routinedaten, Krebsregister und statistische Bundesämter</w:t>
      </w:r>
    </w:p>
    <w:p>
      <w:r>
        <w:rPr>
          <w:color w:val="5A7D3A"/>
          <w:sz w:val="18"/>
        </w:rPr>
        <w:t>https://pubmed.ncbi.nlm.nih.gov/42902261/</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2026-10-30T06:00:00Z</dcterms:created>
  <dcterms:modified xsi:type="dcterms:W3CDTF">2026-10-30T06:00:00Z</dcterms:modified>
  <cp:category/>
</cp:coreProperties>
</file>