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07.09.2026  |  5 Studien  |  wissen.m-vf.de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Depressive Symptom Networks bei älteren Erwachsenen: Episodische versus persistente Symptome</w:t>
      </w:r>
    </w:p>
    <w:p>
      <w:r>
        <w:rPr>
          <w:i/>
          <w:color w:val="666666"/>
          <w:sz w:val="18"/>
        </w:rPr>
        <w:t>Stratmann MW et al.  ·  Int Psychogeriatr  ·  05.09.2026  ·  PMID 42701078</w:t>
      </w:r>
    </w:p>
    <w:p>
      <w:r>
        <w:t>Vergleichende Netzwerkanalyse depressiver Symptome bei 8.519 älteren Erwachsenen (60+ Jahre) aus SHARE-Daten zur Frage, ob persistente Depressionen dichtere Symptomnetze aufweisen als episodische.</w:t>
      </w:r>
    </w:p>
    <w:p>
      <w:r>
        <w:rPr>
          <w:b/>
        </w:rPr>
        <w:t xml:space="preserve">Ergebnis: </w:t>
      </w:r>
      <w:r>
        <w:t>Kein signifikanter Unterschied in globaler Netzwerkstärke oder -struktur zwischen episodischen (44,0%) und persistenten/rezidivierenden (56,0%) depressiven Symptomen (p = 0,17 bzw. p = 0,60). Mangelndes Interesse, depressive Stimmung und Suizidalität zeigten höchste Stärke in beiden Netzwerken.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SHARE-Daten, gesetzlich Versicherte ab 60 Jahren, europäisches Sozialversicherungssystem</w:t>
      </w:r>
    </w:p>
    <w:p>
      <w:r>
        <w:rPr>
          <w:color w:val="5A7D3A"/>
          <w:sz w:val="18"/>
        </w:rPr>
        <w:t>https://pubmed.ncbi.nlm.nih.gov/42701078/</w:t>
      </w:r>
    </w:p>
    <w:p>
      <w:pPr>
        <w:pStyle w:val="Heading2"/>
      </w:pPr>
      <w:r>
        <w:t>Person-zentrierte Geburtshilfe: Wahrnehmungsbildung und Sinnkonstruktion</w:t>
      </w:r>
    </w:p>
    <w:p>
      <w:r>
        <w:rPr>
          <w:i/>
          <w:color w:val="666666"/>
          <w:sz w:val="18"/>
        </w:rPr>
        <w:t>Okumu MR et al.  ·  Eur J Midwifery  ·  04.09.2026  ·  PMID 42699730</w:t>
      </w:r>
    </w:p>
    <w:p>
      <w:r>
        <w:t>Qualitative Grounded-Theory-Studie mit 12 Interviews zu Gebärfähigen, um zu verstehen, wie Frauen ihre Geburtsversorgung wahrnehmen und interpretieren.</w:t>
      </w:r>
    </w:p>
    <w:p>
      <w:r>
        <w:rPr>
          <w:b/>
        </w:rPr>
        <w:t xml:space="preserve">Ergebnis: </w:t>
      </w:r>
      <w:r>
        <w:t>Sense of Coherence (SoC) als Kernkategorie identifiziert: Negative Erfahrungen korreliert mit niedriger SoC, positive mit hoher SoC. Kontextuelle Faktoren (Verständlichkeit, wahrgenommene Machbarkeit, situative Rahmung) prägen die Wahrnehmung von Geburtssituationen.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Deutsche Hochschulkliniken, qualitative Versorgungsforschung zur Patientenperspektive</w:t>
      </w:r>
    </w:p>
    <w:p>
      <w:r>
        <w:rPr>
          <w:color w:val="5A7D3A"/>
          <w:sz w:val="18"/>
        </w:rPr>
        <w:t>https://pubmed.ncbi.nlm.nih.gov/42699730/</w:t>
      </w:r>
    </w:p>
    <w:p>
      <w:pPr>
        <w:pStyle w:val="Heading2"/>
      </w:pPr>
      <w:r>
        <w:t>Pflegekräfte-Retention in Europa: Warum ökonomische Evidenz fehlt</w:t>
      </w:r>
    </w:p>
    <w:p>
      <w:r>
        <w:rPr>
          <w:i/>
          <w:color w:val="666666"/>
          <w:sz w:val="18"/>
        </w:rPr>
        <w:t>Maier CB et al.  ·  Lancet Reg Health Eur  ·  25.08.2026  ·  PMID 42699328</w:t>
      </w:r>
    </w:p>
    <w:p>
      <w:r>
        <w:t>Viewpoint zur Evidenzlücke für Kosteffektivität von Pflegekräfte-Retentionsmassnahmen in europäischen Gesundheitssystemen.</w:t>
      </w:r>
    </w:p>
    <w:p>
      <w:r>
        <w:rPr>
          <w:b/>
        </w:rPr>
        <w:t xml:space="preserve">Ergebnis: </w:t>
      </w:r>
      <w:r>
        <w:t>Europäische Länder verfügen im Gegensatz zu Nordamerika und Australien über keine vergleichbaren Kostenangaben für Pflegekräfte-Fluktuation. Turnover-Kosten sind nicht zwischen Systemen übertragbar wegen unterschiedlicher Lohn-, Skill-Mix- und Praxisstrukturen. Europäische Forschungsagenda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Österreich, Schweiz: Hohe Übertragbarkeit für deutsche Krankenhausversorgung und Personalmanagement</w:t>
      </w:r>
    </w:p>
    <w:p>
      <w:r>
        <w:rPr>
          <w:color w:val="5A7D3A"/>
          <w:sz w:val="18"/>
        </w:rPr>
        <w:t>https://pubmed.ncbi.nlm.nih.gov/42699328/</w:t>
      </w:r>
    </w:p>
    <w:p>
      <w:pPr>
        <w:pStyle w:val="Heading2"/>
      </w:pPr>
      <w:r>
        <w:t>Pharmacy-Reimbursement-Reform und Stufendiagnose in China: Effekt auf Gesundheitsausgaben</w:t>
      </w:r>
    </w:p>
    <w:p>
      <w:r>
        <w:rPr>
          <w:i/>
          <w:color w:val="666666"/>
          <w:sz w:val="18"/>
        </w:rPr>
        <w:t>Zhang K et al.  ·  BMC Health Serv Res  ·  22.08.2026  ·  PMID 42693454</w:t>
      </w:r>
    </w:p>
    <w:p>
      <w:r>
        <w:t>Evaluierung der Auswirkungen der RPOR-Reform (Retail Pharmacies Outpatient Reimbursement) auf Versorgungsverlauf, Inanspruchnahme und Gesamtausgaben mittels Staggered-DID-Analyse.</w:t>
      </w:r>
    </w:p>
    <w:p>
      <w:r>
        <w:rPr>
          <w:b/>
        </w:rPr>
        <w:t xml:space="preserve">Ergebnis: </w:t>
      </w:r>
      <w:r>
        <w:t>RPOR erhöhte Apothekenbesuche (0,119**), Apotheken-Ausgabenanteil (0,439**), verdrängte aber ambulante Primärversorgung (-0,670***) und senkte Gesamtausgaben (-0,490**). Effekte variierten nach Alter, Einkommen und regionalen Ressourcen.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Bedingt: China-Daten, anderes Sozialversicherungssystem und Ressourcenkontext, aber Fragestellung zu Versorgungssteuerung übertragbar</w:t>
      </w:r>
    </w:p>
    <w:p>
      <w:r>
        <w:rPr>
          <w:color w:val="5A7D3A"/>
          <w:sz w:val="18"/>
        </w:rPr>
        <w:t>https://pubmed.ncbi.nlm.nih.gov/42693454/</w:t>
      </w:r>
    </w:p>
    <w:p>
      <w:pPr>
        <w:pStyle w:val="Heading2"/>
      </w:pPr>
      <w:r>
        <w:t>xPEDition pain: Public-Health-Kampagne zu chronischem Schmerz in Grenzregion</w:t>
      </w:r>
    </w:p>
    <w:p>
      <w:r>
        <w:rPr>
          <w:i/>
          <w:color w:val="666666"/>
          <w:sz w:val="18"/>
        </w:rPr>
        <w:t>Sanina AY et al.  ·  BMJ Open  ·  03.09.2026  ·  PMID 42692519</w:t>
      </w:r>
    </w:p>
    <w:p>
      <w:r>
        <w:t>Quasi-experimentelle Vorher-Nachher-Studie mit Kontrollgruppe zu Wirkung einer grenzüberschreitenden Public-Health-Kampagne (Niederlande/Deutschland vs. Flandern) auf Schmerzwissen und -einstellungen.</w:t>
      </w:r>
    </w:p>
    <w:p>
      <w:r>
        <w:rPr>
          <w:b/>
        </w:rPr>
        <w:t xml:space="preserve">Ergebnis: </w:t>
      </w:r>
      <w:r>
        <w:t>Intervention geplant für 24 Monate in niederländisch-deutscher Ems-Dollart-Region, Kontrollgruppe Flandern. Messungen bei 3.200 Personen pro Welle (Baseline, 2-Jahres-Follow-up) mit Pain Concepts Questionnaire als primärem Outcome. Primäranalyse: Difference-in-Differences.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Deutschland: Direkt übertragbar auf deutsches Gesundheitssystem, grenzüberschreitend, Versorgungsforschungsmethodik</w:t>
      </w:r>
    </w:p>
    <w:p>
      <w:r>
        <w:rPr>
          <w:color w:val="5A7D3A"/>
          <w:sz w:val="18"/>
        </w:rPr>
        <w:t>https://pubmed.ncbi.nlm.nih.gov/42692519/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