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21.09.2026  |  6 Studien  |  wissen.m-vf.de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Geburtshilfe-Standardisierung: Ballonkatheter und Wehenmuster nach Einleitung</w:t>
      </w:r>
    </w:p>
    <w:p>
      <w:r>
        <w:rPr>
          <w:i/>
          <w:color w:val="666666"/>
          <w:sz w:val="18"/>
        </w:rPr>
        <w:t>Baboeuf A et al.  ·  J Gynecol Obstet Hum Reprod  ·  19.09.2026  ·  PMID 42762855</w:t>
      </w:r>
    </w:p>
    <w:p>
      <w:r>
        <w:t>Retrospektive Evaluierung eines standardisierten Induktionsprotokolls mit Ballonkatheter zur Zervixreifung als Erstlinientherapie vs. freie Wahl in französischer Tertiärklinik.</w:t>
      </w:r>
    </w:p>
    <w:p>
      <w:r>
        <w:rPr>
          <w:b/>
        </w:rPr>
        <w:t xml:space="preserve">Ergebnis: </w:t>
      </w:r>
      <w:r>
        <w:t>Vaginale Geburt innerhalb 24h: 27,3% (Protokoll) vs. 34,0% (Baseline), p=0,18; nächtliche Epiduralanalgesie signifikant weniger häufig nach Protokoll (35,6% vs. 46,2%, p=0,008); 77,4% der Frauen mit Gesamtzufriedenheit einverstanden.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Französische Tertiärklinik, übertragbare Implementierungsfrage, aber begrenzte klinische Effekte</w:t>
      </w:r>
    </w:p>
    <w:p>
      <w:r>
        <w:rPr>
          <w:color w:val="5A7D3A"/>
          <w:sz w:val="18"/>
        </w:rPr>
        <w:t>https://pubmed.ncbi.nlm.nih.gov/42762855/</w:t>
      </w:r>
    </w:p>
    <w:p>
      <w:pPr>
        <w:pStyle w:val="Heading2"/>
      </w:pPr>
      <w:r>
        <w:t>Palliativversorgungsqualität für Patienten mit schweren psychischen Störungen</w:t>
      </w:r>
    </w:p>
    <w:p>
      <w:r>
        <w:rPr>
          <w:i/>
          <w:color w:val="666666"/>
          <w:sz w:val="18"/>
        </w:rPr>
        <w:t>Bøndergaard K et al.  ·  Omega (Westport)  ·  19.09.2026  ·  PMID 42762069</w:t>
      </w:r>
    </w:p>
    <w:p>
      <w:r>
        <w:t>Querschnitts-Fragebogenstudie mit dänischen Hausärzten und Palliativmedizinern zu Qualität der Palliativbetreuung bei verstorbenen Patienten mit schweren psychischen Störungen.</w:t>
      </w:r>
    </w:p>
    <w:p>
      <w:r>
        <w:rPr>
          <w:b/>
        </w:rPr>
        <w:t xml:space="preserve">Ergebnis: </w:t>
      </w:r>
      <w:r>
        <w:t>123 Fragebogen von 162 (76% Rücklaufquote); die meisten Verläufe als gut oder sehr gut bewertet; qualitative Analyse enthüllte drei Themen: Zusammenarbeit/Timing, Kommunikation/Beziehungen, Komplexität; Koordination und Kommunikation bei Lebensende-Entscheidungen teilweise herausfordernd.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skandinavisches steuerfinanziertes System mit Hausarztfokus</w:t>
      </w:r>
    </w:p>
    <w:p>
      <w:r>
        <w:rPr>
          <w:color w:val="5A7D3A"/>
          <w:sz w:val="18"/>
        </w:rPr>
        <w:t>https://pubmed.ncbi.nlm.nih.gov/42762069/</w:t>
      </w:r>
    </w:p>
    <w:p>
      <w:pPr>
        <w:pStyle w:val="Heading2"/>
      </w:pPr>
      <w:r>
        <w:t>Angiotensin-Inhibitoren vor elektiver Chirurgie: RCT-Absetzen vs. Fortführen</w:t>
      </w:r>
    </w:p>
    <w:p>
      <w:r>
        <w:rPr>
          <w:i/>
          <w:color w:val="666666"/>
          <w:sz w:val="18"/>
        </w:rPr>
        <w:t>Scott IA et al.  ·  J Hosp Med  ·  19.09.2026  ·  PMID 42762066</w:t>
      </w:r>
    </w:p>
    <w:p>
      <w:r>
        <w:t>Single-Center-RCT zu kardiovaskulären Komplikationen nach elektiver, nicht-kardischer Chirurgie unter Fortführung vs. 24h-Absetzen von ACE-Inhibitoren/ARBs.</w:t>
      </w:r>
    </w:p>
    <w:p>
      <w:r>
        <w:rPr>
          <w:b/>
        </w:rPr>
        <w:t xml:space="preserve">Ergebnis: </w:t>
      </w:r>
      <w:r>
        <w:t>667 Patienten randomisiert (325 Fortführung, 313 Absetzen); primärer Outcome MACE: 2,8% vs. 2,9% (Differenz 0,1%, 95% CI −2,5% bis 2,8%, p=1,00); intraop. Hypotonie 63,5% vs. 60,7%, AKI 7,4% vs. 4,8%; keine signifikanten Unterschiede; Absetzen reduzierte nicht MACE, Hypotonie oder AKI.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 Tertiärklinik, aber klinische Prozessfrage systemunabhängig</w:t>
      </w:r>
    </w:p>
    <w:p>
      <w:r>
        <w:rPr>
          <w:color w:val="5A7D3A"/>
          <w:sz w:val="18"/>
        </w:rPr>
        <w:t>https://pubmed.ncbi.nlm.nih.gov/42762066/</w:t>
      </w:r>
    </w:p>
    <w:p>
      <w:pPr>
        <w:pStyle w:val="Heading2"/>
      </w:pPr>
      <w:r>
        <w:t>Frühe Krebsinzidenz in Nordischen Ländern 2003–2022 mit Projektion bis 2050</w:t>
      </w:r>
    </w:p>
    <w:p>
      <w:r>
        <w:rPr>
          <w:i/>
          <w:color w:val="666666"/>
          <w:sz w:val="18"/>
        </w:rPr>
        <w:t>Johansson AL et al.  ·  Lancet Reg Health Eur  ·  12.09.2026  ·  PMID 42761845</w:t>
      </w:r>
    </w:p>
    <w:p>
      <w:r>
        <w:t>Bevölkerungsbasierte Trendstudie der Inzidenz früher Krebserkrankungen (Alter 20–49) in Nordischen Ländern über 20 Jahre mit Vorhersagen bis 2050.</w:t>
      </w:r>
    </w:p>
    <w:p>
      <w:r>
        <w:rPr>
          <w:b/>
        </w:rPr>
        <w:t xml:space="preserve">Ergebnis: </w:t>
      </w:r>
      <w:r>
        <w:t>Signifikante Inzidenzzunahme bei 12 von 18 Krebsarten; Darmkrebs &lt;35 Jahren höchster EAPC (&gt;2%), mit 9.174 zusätzlichen Fällen (2003–2007 zu 2018–2022: 47.491 zu 56.665); regionale Variation Appalachien und Südosten USA.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Nordische Länder, vergleichbare Gesundheitssysteme mit guten Datenregistern</w:t>
      </w:r>
    </w:p>
    <w:p>
      <w:r>
        <w:rPr>
          <w:color w:val="5A7D3A"/>
          <w:sz w:val="18"/>
        </w:rPr>
        <w:t>https://pubmed.ncbi.nlm.nih.gov/42761845/</w:t>
      </w:r>
    </w:p>
    <w:p>
      <w:pPr>
        <w:pStyle w:val="Heading2"/>
      </w:pPr>
      <w:r>
        <w:t>Darmkrebsscreening bei sexuellen Minderheiten nach US-Guidelines 2021</w:t>
      </w:r>
    </w:p>
    <w:p>
      <w:r>
        <w:rPr>
          <w:i/>
          <w:color w:val="666666"/>
          <w:sz w:val="18"/>
        </w:rPr>
        <w:t>George L et al.  ·  AJPM Focus  ·  12.05.2026  ·  PMID 42761516</w:t>
      </w:r>
    </w:p>
    <w:p>
      <w:r>
        <w:t>Querschnittsanalyse der Screening-Compliance für Darmkrebs bei sexuellen Minderheiten nach Aktualisierung der USPSTF-Richtlinien (2021), USA 2022.</w:t>
      </w:r>
    </w:p>
    <w:p>
      <w:r>
        <w:rPr>
          <w:b/>
        </w:rPr>
        <w:t xml:space="preserve">Ergebnis: </w:t>
      </w:r>
      <w:r>
        <w:t>Screening-Rate insgesamt: 69,0% (gay/lesbian), 62,7% (bisexual), 58,4% (andere Orientierung), 68,8% (heterosexuell); Personen mit anderer Orientierung signifikant niedriger als heterosexuell (aPR=0,90, 95% CI 0,84–0,97); Dispariät besonders in Alter 65–75 und Frauen.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Screeningdisparität bei Minderheiten systemunabhängig relevant</w:t>
      </w:r>
    </w:p>
    <w:p>
      <w:r>
        <w:rPr>
          <w:color w:val="5A7D3A"/>
          <w:sz w:val="18"/>
        </w:rPr>
        <w:t>https://pubmed.ncbi.nlm.nih.gov/42761516/</w:t>
      </w:r>
    </w:p>
    <w:p>
      <w:pPr>
        <w:pStyle w:val="Heading2"/>
      </w:pPr>
      <w:r>
        <w:t>Kulturelle Diabetes-Schulung: Kosteneffektivität für Marshallese-Bevölkerung</w:t>
      </w:r>
    </w:p>
    <w:p>
      <w:r>
        <w:rPr>
          <w:i/>
          <w:color w:val="666666"/>
          <w:sz w:val="18"/>
        </w:rPr>
        <w:t>Lamprecht-Carson D et al.  ·  Diabetes Obes Metab  ·  17.09.2026  ·  PMID 42755138</w:t>
      </w:r>
    </w:p>
    <w:p>
      <w:r>
        <w:t>Markov-Modell zur Kosteneffektivität eines kulturell angepassten Diabetes-Selbstmanagement-Programms vs. Standard-DSME für Marshallese-Erwachsene mit Typ-2-Diabetes.</w:t>
      </w:r>
    </w:p>
    <w:p>
      <w:r>
        <w:rPr>
          <w:b/>
        </w:rPr>
        <w:t xml:space="preserve">Ergebnis: </w:t>
      </w:r>
      <w:r>
        <w:t>Kulturell angepasstes Programm cost-effective mit ICER von 3.083 Dollar pro QALY; in 87,1% der Simulationen bevorzugte Strategie bei WTP 50.000 Dollar pro QALY; bescheidene aber relevante Unterschiede zwischen Interventionszenarien.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Fragestellung zur Kultursensitivität systemunabhängig transferierbar</w:t>
      </w:r>
    </w:p>
    <w:p>
      <w:r>
        <w:rPr>
          <w:color w:val="5A7D3A"/>
          <w:sz w:val="18"/>
        </w:rPr>
        <w:t>https://pubmed.ncbi.nlm.nih.gov/42755138/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2026-09-21T06:00:00Z</dcterms:created>
  <dcterms:modified xsi:type="dcterms:W3CDTF">2026-09-21T06:00:00Z</dcterms:modified>
  <cp:category/>
</cp:coreProperties>
</file>