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10.09.2026  |  5 Studien  |  wissen.m-vf.de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Sentiment analysis mit BERT-Modell für Patientenerfahrungen in der Primärversorgung</w:t>
      </w:r>
    </w:p>
    <w:p>
      <w:r>
        <w:rPr>
          <w:i/>
          <w:color w:val="666666"/>
          <w:sz w:val="18"/>
        </w:rPr>
        <w:t>Norman RM et al.  ·  Fam Pract  ·  31.07.2026  ·  PMID 42713859</w:t>
      </w:r>
    </w:p>
    <w:p>
      <w:r>
        <w:t>Fine-tuning eines Sprachmodells (NorBERT3) zur automatisierten Sentimentanalyse von Patientenerfahrungen in norwegischen Hausarztpraxen.</w:t>
      </w:r>
    </w:p>
    <w:p>
      <w:r>
        <w:rPr>
          <w:b/>
        </w:rPr>
        <w:t xml:space="preserve">Ergebnis: </w:t>
      </w:r>
      <w:r>
        <w:t>Das optimierte Modell erzielte hohe F1-Scores auf Testdaten (0,80 AUC für Online-Bewertungen), übertraf traditionelle Methoden und ein großes Sprachmodell. Konstruktvalidität wurde durch erwartete Korrelationen mit Patientenerfahrungsscores und bekannte Subgruppenunterschiede unterstützt.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ähnliche Primärversorgungsstruktur wie Deutschland</w:t>
      </w:r>
    </w:p>
    <w:p>
      <w:r>
        <w:rPr>
          <w:color w:val="5A7D3A"/>
          <w:sz w:val="18"/>
        </w:rPr>
        <w:t>https://pubmed.ncbi.nlm.nih.gov/42713859/</w:t>
      </w:r>
    </w:p>
    <w:p>
      <w:pPr>
        <w:pStyle w:val="Heading2"/>
      </w:pPr>
      <w:r>
        <w:t>Unterstützungsmodell für sichere Medikamentennutzung bei Migranten mit Sprachbarrieren</w:t>
      </w:r>
    </w:p>
    <w:p>
      <w:r>
        <w:rPr>
          <w:i/>
          <w:color w:val="666666"/>
          <w:sz w:val="18"/>
        </w:rPr>
        <w:t>Hjelm K et al.  ·  BMC Health Serv Res  ·  07.09.2026  ·  PMID 42711692</w:t>
      </w:r>
    </w:p>
    <w:p>
      <w:r>
        <w:t>Co-creation Partizipative Aktionsforschung identifizierte Unterstützungsbedarfe für sichere Medikamentennutzung bei fremdgeborenen Personen mit Sprachschwierigkeiten in Schweden.</w:t>
      </w:r>
    </w:p>
    <w:p>
      <w:r>
        <w:rPr>
          <w:b/>
        </w:rPr>
        <w:t xml:space="preserve">Ergebnis: </w:t>
      </w:r>
      <w:r>
        <w:t>Sieben Handlungsfelder identifiziert: Routinen für sichere Medikamentennutzung, Kontinuität, Sprachenunterstützung, Ressourcen, Patienteneducation, Mitarbeiterschulung und nationale Maßnahmen. Kern: Koordiniertes interdisziplinäres Team in der Primärversorgung mit erreichbarer Kontaktperson.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Sozialversicherungssystem, Migrationskontexte zentral</w:t>
      </w:r>
    </w:p>
    <w:p>
      <w:r>
        <w:rPr>
          <w:color w:val="5A7D3A"/>
          <w:sz w:val="18"/>
        </w:rPr>
        <w:t>https://pubmed.ncbi.nlm.nih.gov/42711692/</w:t>
      </w:r>
    </w:p>
    <w:p>
      <w:pPr>
        <w:pStyle w:val="Heading2"/>
      </w:pPr>
      <w:r>
        <w:t>Dementenangebot und Ergebnisse in japanischen Akutkrankenhäusern nach Finanzierungsanreiz</w:t>
      </w:r>
    </w:p>
    <w:p>
      <w:r>
        <w:rPr>
          <w:i/>
          <w:color w:val="666666"/>
          <w:sz w:val="18"/>
        </w:rPr>
        <w:t>Wu J et al.  ·  Geriatr Gerontol Int  ·  Sept. 2026  ·  PMID 42711657</w:t>
      </w:r>
    </w:p>
    <w:p>
      <w:r>
        <w:t>Nationale Analyse der Patienten, die für Japans Dementatax-Anreiz (DCA) berechtigt sind, und deren klinische Versorgungsergebnisse 2016–2019.</w:t>
      </w:r>
    </w:p>
    <w:p>
      <w:r>
        <w:rPr>
          <w:b/>
        </w:rPr>
        <w:t xml:space="preserve">Ergebnis: </w:t>
      </w:r>
      <w:r>
        <w:t>1.046.652 Hospitalisierungen von Personen über 65 Jahren mit Dementia. DCA-Abrechnungen stiegen von 6,4% (DCA1) und 13,2% (DCA2) 2016 auf 20,8% und 32,8% 2019. Verweildauer sank von 33,7 auf 27,8 Tage, Krankenhaussterblichkeit von 13,9% auf 12,9%, unangemessene Medikation von 16,2% auf 14,0%.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begrenzt übertragbar; Fragestellung zu Finanzierungseffekten in Gesundheitssystemen mit anderen Anreizstrukturen</w:t>
      </w:r>
    </w:p>
    <w:p>
      <w:r>
        <w:rPr>
          <w:color w:val="5A7D3A"/>
          <w:sz w:val="18"/>
        </w:rPr>
        <w:t>https://pubmed.ncbi.nlm.nih.gov/42711657/</w:t>
      </w:r>
    </w:p>
    <w:p>
      <w:pPr>
        <w:pStyle w:val="Heading2"/>
      </w:pPr>
      <w:r>
        <w:t>Auswirkungen von Fortbildung auf Personalfluktuation in US-Veteranenkliniken</w:t>
      </w:r>
    </w:p>
    <w:p>
      <w:r>
        <w:rPr>
          <w:i/>
          <w:color w:val="666666"/>
          <w:sz w:val="18"/>
        </w:rPr>
        <w:t>Sterling R et al.  ·  J Rural Health  ·  Juni 2026  ·  PMID 42708822</w:t>
      </w:r>
    </w:p>
    <w:p>
      <w:r>
        <w:t>Quasi-experimentelle Studie der Rural Interprofessional Faculty Development Initiative (RIFDI) auf Mitarbeiterkontinuität in VHA-Kliniken landesweit 2019–2024.</w:t>
      </w:r>
    </w:p>
    <w:p>
      <w:r>
        <w:rPr>
          <w:b/>
        </w:rPr>
        <w:t xml:space="preserve">Ergebnis: </w:t>
      </w:r>
      <w:r>
        <w:t>Fluktuationsrate &lt;1 Jahr nach RIFDI-Abschluss: 12,8% (geringe Engagements), &lt;1,0% (hohe Engagements), 11,3% (keine RIFDI). Hochengagierte Teilnehmer hatten 11-fach niedrigere Fluktuationsquoten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USA-Veteranensystem; Fragestellung zu Personalentwicklung systemunabhängig</w:t>
      </w:r>
    </w:p>
    <w:p>
      <w:r>
        <w:rPr>
          <w:color w:val="5A7D3A"/>
          <w:sz w:val="18"/>
        </w:rPr>
        <w:t>https://pubmed.ncbi.nlm.nih.gov/42708822/</w:t>
      </w:r>
    </w:p>
    <w:p>
      <w:pPr>
        <w:pStyle w:val="Heading2"/>
      </w:pPr>
      <w:r>
        <w:t>Exposition gegenüber Passivrauchen und durch GBD 2023 verursachte Krankheitslast</w:t>
      </w:r>
    </w:p>
    <w:p>
      <w:r>
        <w:rPr>
          <w:i/>
          <w:color w:val="666666"/>
          <w:sz w:val="18"/>
        </w:rPr>
        <w:t>GBD 2023 Second-hand smoke Collaborators  ·  Lancet Public Health  ·  07.09.2026  ·  PMID 42705247</w:t>
      </w:r>
    </w:p>
    <w:p>
      <w:r>
        <w:t>Globale, regionale und nationale Prävalenz der Passivrauchwirkung und der zurechenbaren Krankheitslast in 204 Ländern 1990–2023, GBD 2023 Studie.</w:t>
      </w:r>
    </w:p>
    <w:p>
      <w:r>
        <w:rPr>
          <w:b/>
        </w:rPr>
        <w:t xml:space="preserve">Ergebnis: </w:t>
      </w:r>
      <w:r>
        <w:t>2,71 Mrd. Menschen 2023 exponiert (767 Mio. Kinder 0–14 Jahre); 22,2% Rückgang der altersstandartisierten Prävalenz seit 1990. Absolute Fallzahlen stabil global, aber +98,5% in Sub-Sahara-Afrika, +72,1% Nordafrika/Naher Osten. 1,66 Mio. Todesfälle, 44,8 Mio. DALYs; ischämische Herzerkrankung und pädiatrische Infektionen der Atemwege führend.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Daten; Public-Health-Fragestellung systemunabhängig relevant</w:t>
      </w:r>
    </w:p>
    <w:p>
      <w:r>
        <w:rPr>
          <w:color w:val="5A7D3A"/>
          <w:sz w:val="18"/>
        </w:rPr>
        <w:t>https://pubmed.ncbi.nlm.nih.gov/42705247/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