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19.08.2026  |  5 Studien  |  wissen.m-vf.de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Diagnostische Genauigkeit des PHQ-9 in der hausärztlichen Praxis bei Patienten mit Depressionsrisiken</w:t>
      </w:r>
    </w:p>
    <w:p>
      <w:r>
        <w:rPr>
          <w:i/>
          <w:color w:val="666666"/>
          <w:sz w:val="18"/>
        </w:rPr>
        <w:t>Thake M et al.  ·  Gen Hosp Psychiatry  ·  13.08.2026  ·  PMID 42612565</w:t>
      </w:r>
    </w:p>
    <w:p>
      <w:r>
        <w:t>Studie zur diagnostischen Genauigkeit des PHQ-9 für die Erkennung von Major Depression bei Hausarztpatienten mit unterschiedlichen Depressionsrisikofaktoren.</w:t>
      </w:r>
    </w:p>
    <w:p>
      <w:r>
        <w:rPr>
          <w:b/>
        </w:rPr>
        <w:t xml:space="preserve">Ergebnis: </w:t>
      </w:r>
      <w:r>
        <w:t>PHQ-9 zeigte hohe diagnostische Genauigkeit (AUC 0,92–0,97) in Primärversorgung. Optimal-Cutoffs variierten je nach Risikofaktoren (7–13 Punkte). Sensitivität 0,78–0,99; Spezifität 0,80–0,91; NPW 0,80–0,99. Ergebnisse unterstützen risikoadaptiertes Screening mittels PHQ-9 in der Hausarztpraxis.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aus Primärversorgung, gesetzlich Versicherte</w:t>
      </w:r>
    </w:p>
    <w:p>
      <w:r>
        <w:rPr>
          <w:color w:val="5A7D3A"/>
          <w:sz w:val="18"/>
        </w:rPr>
        <w:t>https://pubmed.ncbi.nlm.nih.gov/42612565/</w:t>
      </w:r>
    </w:p>
    <w:p>
      <w:pPr>
        <w:pStyle w:val="Heading2"/>
      </w:pPr>
      <w:r>
        <w:t>PROMIS GH-10 als Patient-Reported Outcome Maß in Rehabilitationskliniken: Mixed-Methods-Studie zur Implementierungseignung</w:t>
      </w:r>
    </w:p>
    <w:p>
      <w:r>
        <w:rPr>
          <w:i/>
          <w:color w:val="666666"/>
          <w:sz w:val="18"/>
        </w:rPr>
        <w:t>Utsch M et al.  ·  BMC Health Serv Res  ·  12.08.2026  ·  PMID 42608694</w:t>
      </w:r>
    </w:p>
    <w:p>
      <w:r>
        <w:t>Erprobung des PROMIS GH-10 zur Messung patientenberichteter Gesundheitsergebnisse in stationärer Schweizer Rehabilitation mit Fokus auf Responsivität und praktische Umsetzbarkeit.</w:t>
      </w:r>
    </w:p>
    <w:p>
      <w:r>
        <w:rPr>
          <w:b/>
        </w:rPr>
        <w:t xml:space="preserve">Ergebnis: </w:t>
      </w:r>
      <w:r>
        <w:t>2.083 Patienten, 1.217 vollständige Messungen. Signifikante Verbesserungen: Physische Gesundheit d=0,68 (p&lt;0,001); Psychische Gesundheit d=0,48 (p&lt;0,001). Effektstärken je Setting 0,50–0,95 bzw. 0,33–1,19. 41% der Patienten brauchten Unterstützung. Barrieren: Unsicherheit über Nutzen, fehlende Ressourcen. PROMIS GH-10 zeigte adäquate Responsivität.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Sozialversicherungssystem, direkt auf deutsches System übertragbar</w:t>
      </w:r>
    </w:p>
    <w:p>
      <w:r>
        <w:rPr>
          <w:color w:val="5A7D3A"/>
          <w:sz w:val="18"/>
        </w:rPr>
        <w:t>https://pubmed.ncbi.nlm.nih.gov/42608694/</w:t>
      </w:r>
    </w:p>
    <w:p>
      <w:pPr>
        <w:pStyle w:val="Heading2"/>
      </w:pPr>
      <w:r>
        <w:t>Kosten-Nutzen-Parameter für Magnet®-Zertifizierung in deutschen Krankenhäusern</w:t>
      </w:r>
    </w:p>
    <w:p>
      <w:r>
        <w:rPr>
          <w:i/>
          <w:color w:val="666666"/>
          <w:sz w:val="18"/>
        </w:rPr>
        <w:t>Gurisch C et al.  ·  BMC Health Serv Res  ·  12.08.2026  ·  PMID 42608687</w:t>
      </w:r>
    </w:p>
    <w:p>
      <w:r>
        <w:t>Analyse relevanter Parameter für eine Kosten-Nutzen-Analyse der Magnet®-Designation (Organisationsintervention zur Verbesserung der Pflegefachkräftearbeitsbedingungen) im deutschen Kontext.</w:t>
      </w:r>
    </w:p>
    <w:p>
      <w:r>
        <w:rPr>
          <w:b/>
        </w:rPr>
        <w:t xml:space="preserve">Ergebnis: </w:t>
      </w:r>
      <w:r>
        <w:t>Potenzielle Kosten: ANCC-Gebühren, Benchmarking, Fortbildungen, Ressourcen und Datenverwaltung. Kostenersparnisse durch: Verbesserung pflegefachkraftsensibler Indikatoren, Personalindikatoren, Krankenhausleistung. Für Deutschland zusätzlich relevant: Kosten der Akademisierung von Pflegekräften und Datenmanagement. Erhebliche Datenlücken bremsen aktuelle Kosten-Nutzen-Analyse.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deutsches Krankenhaussystem; deutsche Stakeholder-Interviews</w:t>
      </w:r>
    </w:p>
    <w:p>
      <w:r>
        <w:rPr>
          <w:color w:val="5A7D3A"/>
          <w:sz w:val="18"/>
        </w:rPr>
        <w:t>https://pubmed.ncbi.nlm.nih.gov/42608687/</w:t>
      </w:r>
    </w:p>
    <w:p>
      <w:pPr>
        <w:pStyle w:val="Heading2"/>
      </w:pPr>
      <w:r>
        <w:t>Erfahrungen von Nutzern mit Kriseninterventionen und Peer-Support in der Psychiatrie: qualitative Studie</w:t>
      </w:r>
    </w:p>
    <w:p>
      <w:r>
        <w:rPr>
          <w:i/>
          <w:color w:val="666666"/>
          <w:sz w:val="18"/>
        </w:rPr>
        <w:t>Oeltjen LK et al.  ·  BMC Health Serv Res  ·  11.08.2026  ·  PMID 42608682</w:t>
      </w:r>
    </w:p>
    <w:p>
      <w:r>
        <w:t>Qualitative Studie über Erfahrungen von Menschen mit schweren psychischen Erkrankungen während psychiatrischer Kriseninterventionen mit oder ohne Peer-Unterstützung.</w:t>
      </w:r>
    </w:p>
    <w:p>
      <w:r>
        <w:rPr>
          <w:b/>
        </w:rPr>
        <w:t xml:space="preserve">Ergebnis: </w:t>
      </w:r>
      <w:r>
        <w:t>25 Interviews. Als hilfreich erlebt: empathisches Zuhören, ruhige Kommunikation, transparente Erklärungen, Partizipation in Entscheidungen. Als belastend: konfrontative Kommunikation, unzureichende Information. Peer-Support: überwiegend positiv wahrgenommen wegen Authentizität und Hoffnungsgebung. Erfahrungen mit Polizei ambivalent. Strukturfaktoren (Kontinuität, Warteumgebung) prägten Erlebnis.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(Bremen), deutsches Sektor-Setting der Psychiatrie; qualitativ hochrelevant</w:t>
      </w:r>
    </w:p>
    <w:p>
      <w:r>
        <w:rPr>
          <w:color w:val="5A7D3A"/>
          <w:sz w:val="18"/>
        </w:rPr>
        <w:t>https://pubmed.ncbi.nlm.nih.gov/42608682/</w:t>
      </w:r>
    </w:p>
    <w:p>
      <w:pPr>
        <w:pStyle w:val="Heading2"/>
      </w:pPr>
      <w:r>
        <w:t>Vorhersagefaktoren von Überzeugungen zu Antipsychotika bei Psychosestörungen: longitudinale Beobachtungsstudie</w:t>
      </w:r>
    </w:p>
    <w:p>
      <w:r>
        <w:rPr>
          <w:i/>
          <w:color w:val="666666"/>
          <w:sz w:val="18"/>
        </w:rPr>
        <w:t>Skaare-Fatland K et al.  ·  Patient Prefer Adherence  ·  12.08.2026  ·  PMID 42605315</w:t>
      </w:r>
    </w:p>
    <w:p>
      <w:r>
        <w:t>Longitudinale Studie über Faktoren, die Notwendigkeits- und Besorgnis-Überzeugungen bezüglich antipsychotischer Medikamente bei psychotischen Störungen vorhersagen (12-Monats-Follow-up).</w:t>
      </w:r>
    </w:p>
    <w:p>
      <w:r>
        <w:rPr>
          <w:b/>
        </w:rPr>
        <w:t xml:space="preserve">Ergebnis: </w:t>
      </w:r>
      <w:r>
        <w:t>Baseline (N=310): Höhere Medikations-Unterstützung assoziiert mit höheren Notwendigkeits-Scores (β=0,18; 95% KI 0,04–0,33) und niedriger Besorgnis (β=-0,29; 95% KI -0,42 bis -0,16). Nach 12 Monaten: Notwendigkeits-Scores fielen (β=-0,35; 95% KI -0,60 bis -0,11), Besorgnis stiegen (β=0,25; 95% KI 0,05–0,45). Höhere Symptombelastung und Nebenwirkungen mit höherer Besorgnis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 (Norwegen), steuerfinanziert; Prozesse und Patientenperspektive relevant</w:t>
      </w:r>
    </w:p>
    <w:p>
      <w:r>
        <w:rPr>
          <w:color w:val="5A7D3A"/>
          <w:sz w:val="18"/>
        </w:rPr>
        <w:t>https://pubmed.ncbi.nlm.nih.gov/42605315/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2026-08-19T06:00:00Z</dcterms:created>
  <dcterms:modified xsi:type="dcterms:W3CDTF">2026-08-19T06:00:00Z</dcterms:modified>
  <cp:category/>
</cp:coreProperties>
</file>