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28.10.2026  |  6 Studien  |  wissen.m-vf.de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Ungleichheiten bei Krebsfrüherkennung und Diagnosestadium bei psychischen Erkrankungen</w:t>
      </w:r>
    </w:p>
    <w:p>
      <w:r>
        <w:rPr>
          <w:i/>
          <w:color w:val="666666"/>
          <w:sz w:val="18"/>
        </w:rPr>
        <w:t>Wang YH et al.  ·  PLoS One  ·  27.10.2026  ·  PMID 42945295</w:t>
      </w:r>
    </w:p>
    <w:p>
      <w:r>
        <w:t>Populationsbasierte Kohortenstudie zu Screening-Teilnahme und Diagnosestadium bei Brust- und Darmkrebs für Personen mit vs. ohne psychischen Erkrankungen in Taiwan.</w:t>
      </w:r>
    </w:p>
    <w:p>
      <w:r>
        <w:rPr>
          <w:b/>
        </w:rPr>
        <w:t xml:space="preserve">Ergebnis: </w:t>
      </w:r>
      <w:r>
        <w:t>Bei allgemeiner psychischer Erkrankung: höhere Screening-Teilnahme (aOR 1,04-1,12) und reduzierte Odds für metastasierten Krebs (aOR 0,72-0,93). Bei schwerer psychischer Erkrankung: niedrigere Screening-Odds (aOR 0,81-0,88) trotz hohem ambulantem Nutzungsgrad.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universales Gesundheitssystem, andere Zugangssteuerung als Deutschland</w:t>
      </w:r>
    </w:p>
    <w:p>
      <w:r>
        <w:rPr>
          <w:color w:val="5A7D3A"/>
          <w:sz w:val="18"/>
        </w:rPr>
        <w:t>https://pubmed.ncbi.nlm.nih.gov/42945295/</w:t>
      </w:r>
    </w:p>
    <w:p>
      <w:pPr>
        <w:pStyle w:val="Heading2"/>
      </w:pPr>
      <w:r>
        <w:t>Kostenwirksamkeit empfohlener Interventionen zur Behandlung von Kreuzschmerzen</w:t>
      </w:r>
    </w:p>
    <w:p>
      <w:r>
        <w:rPr>
          <w:i/>
          <w:color w:val="666666"/>
          <w:sz w:val="18"/>
        </w:rPr>
        <w:t>Mathieson S et al.  ·  PLoS Med  ·  27.10.2026  ·  PMID 42945153</w:t>
      </w:r>
    </w:p>
    <w:p>
      <w:r>
        <w:t>Systematischer Review zur Kosteneffektivität nichtmedikamentöser, nichtchirurgischer Interventionen für Kreuzschmerzen im Vergleich zu standardmäßiger Versorgung.</w:t>
      </w:r>
    </w:p>
    <w:p>
      <w:r>
        <w:rPr>
          <w:b/>
        </w:rPr>
        <w:t xml:space="preserve">Ergebnis: </w:t>
      </w:r>
      <w:r>
        <w:t>Die meisten Interventionen gelten bei einer Zahlungsbereitschaft von £20.000 pro QALY als kosteneffektiv. Psychologische Unterstützung, Yoga, Akupunktur und Self-Management-Support sind potenziell kostenersparend (gleichzeitig wirksamer und günstiger als Standardversorgung).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Hocheinkommensländer, begrenzte Evidenz aus Niedrig- und Mittellohnländern</w:t>
      </w:r>
    </w:p>
    <w:p>
      <w:r>
        <w:rPr>
          <w:color w:val="5A7D3A"/>
          <w:sz w:val="18"/>
        </w:rPr>
        <w:t>https://pubmed.ncbi.nlm.nih.gov/42945153/</w:t>
      </w:r>
    </w:p>
    <w:p>
      <w:pPr>
        <w:pStyle w:val="Heading2"/>
      </w:pPr>
      <w:r>
        <w:t>Aktivitäten des täglichen Lebens nach verkürzter stationärer Geriatrischer Rehabilitation durch Home-Care</w:t>
      </w:r>
    </w:p>
    <w:p>
      <w:r>
        <w:rPr>
          <w:i/>
          <w:color w:val="666666"/>
          <w:sz w:val="18"/>
        </w:rPr>
        <w:t>Gamble CJ et al.  ·  Eur Geriatr Med  ·  27.10.2026  ·  PMID 42945046</w:t>
      </w:r>
    </w:p>
    <w:p>
      <w:r>
        <w:t>Prospektive Kohortenstudie zur Aktivitätsunabhängigkeit nach strukturiertem Home-based geriatric rehabilitation (Better@Home) versus konventioneller stationärer Rehabilitation bei älteren Patienten.</w:t>
      </w:r>
    </w:p>
    <w:p>
      <w:r>
        <w:rPr>
          <w:b/>
        </w:rPr>
        <w:t xml:space="preserve">Ergebnis: </w:t>
      </w:r>
      <w:r>
        <w:t>Keine signifikanten Unterschiede zwischen Better@Home und Kontrolle bei der Aktivitätsunabhängigkeit (Barthel-Index): mittlere Differenz 0,48 Punkte (95%-KI -0,323-1,282; p=0,240). Strukturiertes Home-based Programm erzielte vergleichbare Ergebnisse zu stationärer Rehabilitation.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 und Gesundheitswesen</w:t>
      </w:r>
    </w:p>
    <w:p>
      <w:r>
        <w:rPr>
          <w:color w:val="5A7D3A"/>
          <w:sz w:val="18"/>
        </w:rPr>
        <w:t>https://pubmed.ncbi.nlm.nih.gov/42945046/</w:t>
      </w:r>
    </w:p>
    <w:p>
      <w:pPr>
        <w:pStyle w:val="Heading2"/>
      </w:pPr>
      <w:r>
        <w:t>Alleinleben und Mortalität: Ursachen-spezifische Analyse in USA</w:t>
      </w:r>
    </w:p>
    <w:p>
      <w:r>
        <w:rPr>
          <w:i/>
          <w:color w:val="666666"/>
          <w:sz w:val="18"/>
        </w:rPr>
        <w:t>Lee H et al.  ·  Int J Epidemiol  ·  14.10.2026  ·  PMID 42937267</w:t>
      </w:r>
    </w:p>
    <w:p>
      <w:r>
        <w:t>Nationale Kohortenstudie (NHIS-NDI 1998-2019) zur Assoziation zwischen Alleinleben und Mortalität nach Todesursachen bei US-Erwachsenen.</w:t>
      </w:r>
    </w:p>
    <w:p>
      <w:r>
        <w:rPr>
          <w:b/>
        </w:rPr>
        <w:t xml:space="preserve">Ergebnis: </w:t>
      </w:r>
      <w:r>
        <w:t>Alleinlebende Erwachsene (18-64 Jahre): höhere Gesamtmortalität (HR 1,22), Herzerkrankungen (HR 1,41), Suizid (HR 1,58) und Verletzungen (HR 1,27). Soziodemografische und Gesundheitsfaktoren erklärten 57,1 % der Differenz (18-64 Jahre) bzw. 85,4 % (≥65 Jahre).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– Fragestellung aber systemunabhängig bezüglich Patientensicherheit</w:t>
      </w:r>
    </w:p>
    <w:p>
      <w:r>
        <w:rPr>
          <w:color w:val="5A7D3A"/>
          <w:sz w:val="18"/>
        </w:rPr>
        <w:t>https://pubmed.ncbi.nlm.nih.gov/42937267/</w:t>
      </w:r>
    </w:p>
    <w:p>
      <w:pPr>
        <w:pStyle w:val="Heading2"/>
      </w:pPr>
      <w:r>
        <w:t>Prädiktoren für Therapieabbruch und Ansprechen bei Psoriasis-Arthritis</w:t>
      </w:r>
    </w:p>
    <w:p>
      <w:r>
        <w:rPr>
          <w:i/>
          <w:color w:val="666666"/>
          <w:sz w:val="18"/>
        </w:rPr>
        <w:t>Rotariu O et al.  ·  Rheumatology (Oxford)  ·  27.10.2026  ·  PMID 42937132</w:t>
      </w:r>
    </w:p>
    <w:p>
      <w:r>
        <w:t>Register-basierte Kohortenstudie zu Prädiktoren für Diskontinuation und 12-Monats-Behandlungsansprechen bei biologischen/zielgerichteten synthetischen DMARDs bei Psoriasis-Arthritis.</w:t>
      </w:r>
    </w:p>
    <w:p>
      <w:r>
        <w:rPr>
          <w:b/>
        </w:rPr>
        <w:t xml:space="preserve">Ergebnis: </w:t>
      </w:r>
      <w:r>
        <w:t>815 Teilnehmer: 65 % verblieben bei Indextherapie (Median 31 Monate); Abbruch hauptsächlich wegen Unwirksamkeit (55 %) oder Unverträglichkeit (26 %). PDE4-Inhibitoren zeigten 2,25-fach erhöhtes Abbruchrisiko vs. TNF-Inhibitoren. Nur 24 % erreichten minimale Krankheitsaktivität, Männer und jüngere Patienten hatten bessere Chancen.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 mit Deutschland bezüglich Versorgungsstrukturen</w:t>
      </w:r>
    </w:p>
    <w:p>
      <w:r>
        <w:rPr>
          <w:color w:val="5A7D3A"/>
          <w:sz w:val="18"/>
        </w:rPr>
        <w:t>https://pubmed.ncbi.nlm.nih.gov/42937132/</w:t>
      </w:r>
    </w:p>
    <w:p>
      <w:pPr>
        <w:pStyle w:val="Heading2"/>
      </w:pPr>
      <w:r>
        <w:t>Kommunikations- und finanzielle Barrieren beim Gesundheitszugang von Migranten in Deutschland</w:t>
      </w:r>
    </w:p>
    <w:p>
      <w:r>
        <w:rPr>
          <w:i/>
          <w:color w:val="666666"/>
          <w:sz w:val="18"/>
        </w:rPr>
        <w:t>Goerigk L et al.  ·  BMC Health Serv Res  ·  24.10.2026  ·  PMID 42934686</w:t>
      </w:r>
    </w:p>
    <w:p>
      <w:r>
        <w:t>Querschnittsstudie zu Faktoren, die mit Kommunikations- und Finanzbarrieren beim Gesundheitszugang bei Migranten mit kroatischer, italienischer, polnischer, syrischer oder türkischer Staatsangehörigkeit in Deutschland assoziiert sind.</w:t>
      </w:r>
    </w:p>
    <w:p>
      <w:r>
        <w:rPr>
          <w:b/>
        </w:rPr>
        <w:t xml:space="preserve">Ergebnis: </w:t>
      </w:r>
      <w:r>
        <w:t>Von 6.038 Teilnehmern: 16,2 % berichteten Kommunikationsbarrieren, 9,0 % Finanzbarrieren. Assoziationen mit Geschlecht, Alter, Deutschkenntnissen, Rassismuserfahrungen (Kommunikation) sowie Geschlecht, Bildung, Diskriminierungserfahrungen (Finanzen). Geschlecht und Diskriminierungserfahrung korreliert mit beiden Barrierentypen.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mit Migrationshintergrund</w:t>
      </w:r>
    </w:p>
    <w:p>
      <w:r>
        <w:rPr>
          <w:color w:val="5A7D3A"/>
          <w:sz w:val="18"/>
        </w:rPr>
        <w:t>https://pubmed.ncbi.nlm.nih.gov/42934686/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