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Versorgungsforschung</w:t>
      </w:r>
    </w:p>
    <w:p>
      <w:r>
        <w:rPr>
          <w:i/>
          <w:color w:val="666666"/>
          <w:sz w:val="18"/>
        </w:rPr>
        <w:t>Stand: 09.09.2026  |  152 Studien  |  wissen.m-vf.de</w:t>
      </w:r>
    </w:p>
    <w:p>
      <w:pPr>
        <w:pStyle w:val="Heading1"/>
      </w:pPr>
      <w:r>
        <w:t>Aufgenommen am 09.09.2026</w:t>
      </w:r>
    </w:p>
    <w:p>
      <w:pPr>
        <w:pStyle w:val="Heading2"/>
      </w:pPr>
      <w:r>
        <w:t>Fahrplan für die organisationsweite Einführung evidenzbasierter Medizin</w:t>
      </w:r>
    </w:p>
    <w:p>
      <w:r>
        <w:rPr>
          <w:i/>
          <w:color w:val="666666"/>
          <w:sz w:val="18"/>
        </w:rPr>
        <w:t>van der Braak K et al.  ·  JBI Evid Implement  ·  09.09.2026  ·  PMID 42710024</w:t>
      </w:r>
    </w:p>
    <w:p>
      <w:r>
        <w:t>Systematischer Überblick über 100 Reviews (2013–2023) zur Implementierung evidenzbasierter Medizin, ausgewertet nach Outcome-Messung, Kontextanalyse und Implementierungsstrategien.</w:t>
      </w:r>
    </w:p>
    <w:p>
      <w:r>
        <w:rPr>
          <w:b/>
        </w:rPr>
        <w:t xml:space="preserve">Ergebnis: </w:t>
      </w:r>
      <w:r>
        <w:t>Vier durchgängig empfohlene Messinstrumente wurden identifiziert (EBPQ, EPIC, Fresno Test, HS-EBP); 50 Reviews behandelten die Outcome-Messung, 57 die Kontextanalyse mit 22 Themen und 40 die Implementierungsstrategien, davon 38 edukative. Edukative Strategien sind am besten untersucht; Veränderungen der Infrastruktur sowie Outcomes auf Organisations- und Patientenebene bleiben unterrepräsentiert.</w:t>
      </w:r>
    </w:p>
    <w:p>
      <w:r>
        <w:rPr>
          <w:b/>
          <w:sz w:val="19"/>
        </w:rPr>
        <w:t xml:space="preserve">Übertragbarkeit: </w:t>
      </w:r>
      <w:r>
        <w:rPr>
          <w:sz w:val="19"/>
        </w:rPr>
        <w:t>Niederlande, Cochrane-Netzwerk; Sozialversicherungssystem mit Implementierungswissenschaft.</w:t>
      </w:r>
    </w:p>
    <w:p>
      <w:r>
        <w:rPr>
          <w:color w:val="5A7D3A"/>
          <w:sz w:val="18"/>
        </w:rPr>
        <w:t>https://pubmed.ncbi.nlm.nih.gov/42710024/</w:t>
      </w:r>
    </w:p>
    <w:p>
      <w:pPr>
        <w:pStyle w:val="Heading2"/>
      </w:pPr>
      <w:r>
        <w:t>Umweltverträglichere Arzneiwirkstoffe: Sichtweisen von Fachleuten im Gesundheitswesen</w:t>
      </w:r>
    </w:p>
    <w:p>
      <w:r>
        <w:rPr>
          <w:i/>
          <w:color w:val="666666"/>
          <w:sz w:val="18"/>
        </w:rPr>
        <w:t>Puhlmann N et al.  ·  BMC Health Serv Res  ·  04.09.2026  ·  PMID 42706542</w:t>
      </w:r>
    </w:p>
    <w:p>
      <w:r>
        <w:t>Qualitative Interviewstudie mit 16 europäischen Fachleuten (Ärzte, Apotheker, Beschaffung, Erstattung, Zulassung) zu den Voraussetzungen für den Einsatz umweltverträglicherer Arzneiwirkstoffe.</w:t>
      </w:r>
    </w:p>
    <w:p>
      <w:r>
        <w:rPr>
          <w:b/>
        </w:rPr>
        <w:t xml:space="preserve">Ergebnis: </w:t>
      </w:r>
      <w:r>
        <w:t>Die Befragten benannten bereits bestehende Ansätze, etwa Umweltkriterien in Beschaffungsausschreibungen. Als Voraussetzungen gelten verlässliche Daten zur Umweltwirkung, ein harmonisierter rechtlicher Bewertungsrahmen und eine zentrale Entscheidungsinstanz für Umwelteigenschaften. Wichtigster Ansatzpunkt ist aus Sicht der Befragten das Zulassungsverfahren; das fachliche Interesse an Umweltdaten könne Hersteller zur Offenlegung und zu umweltverträglicherem Wirkstoffdesign bewegen.</w:t>
      </w:r>
    </w:p>
    <w:p>
      <w:r>
        <w:rPr>
          <w:b/>
          <w:sz w:val="19"/>
        </w:rPr>
        <w:t xml:space="preserve">Übertragbarkeit: </w:t>
      </w:r>
      <w:r>
        <w:rPr>
          <w:sz w:val="19"/>
        </w:rPr>
        <w:t>Europäische Perspektiven; Regulierung und Beschaffung relevant für deutsches System.</w:t>
      </w:r>
    </w:p>
    <w:p>
      <w:r>
        <w:rPr>
          <w:color w:val="5A7D3A"/>
          <w:sz w:val="18"/>
        </w:rPr>
        <w:t>https://pubmed.ncbi.nlm.nih.gov/42706542/</w:t>
      </w:r>
    </w:p>
    <w:p>
      <w:pPr>
        <w:pStyle w:val="Heading2"/>
      </w:pPr>
      <w:r>
        <w:t>System Support Mapping: Implementierungsfaktoren auf neonatologischen Intensivstationen erfassen</w:t>
      </w:r>
    </w:p>
    <w:p>
      <w:r>
        <w:rPr>
          <w:i/>
          <w:color w:val="666666"/>
          <w:sz w:val="18"/>
        </w:rPr>
        <w:t>Dymek NG et al.  ·  BMC Health Serv Res  ·  05.09.2026  ·  PMID 42706532</w:t>
      </w:r>
    </w:p>
    <w:p>
      <w:r>
        <w:t>Methodische Darstellung des System Support Mapping in Verbindung mit einem Matrixed Multiple Case Study-Ansatz zur Erhebung von Implementierungsfaktoren in einer Studie zur Stillförderung an fünf deutschen neonatologischen Intensivstationen.</w:t>
      </w:r>
    </w:p>
    <w:p>
      <w:r>
        <w:rPr>
          <w:b/>
        </w:rPr>
        <w:t xml:space="preserve">Ergebnis: </w:t>
      </w:r>
      <w:r>
        <w:t>Vorgestellt wird ein Vorgehen in sechs Schritten: je Station eine eigene System Support Map (Schritte 1–3), danach eine stationsübergreifende Matrix zum Vergleich (Schritte 4–6). Innerhalb der Standorte zeigte sich, dass dieselbe Ressource je nach Kontext als förderlich, hinderlich oder beides wahrgenommen wurde; im Vergleich der Standorte traten gleichförmige wie heterogene Muster hervor. Damit lassen sich standortspezifische und übergreifende Strategien voneinander unterscheiden.</w:t>
      </w:r>
    </w:p>
    <w:p>
      <w:r>
        <w:rPr>
          <w:b/>
          <w:sz w:val="19"/>
        </w:rPr>
        <w:t xml:space="preserve">Übertragbarkeit: </w:t>
      </w:r>
      <w:r>
        <w:rPr>
          <w:sz w:val="19"/>
        </w:rPr>
        <w:t>Deutsche NICUs; Implementierungswissenschaft für deutsche Kontexte.</w:t>
      </w:r>
    </w:p>
    <w:p>
      <w:r>
        <w:rPr>
          <w:color w:val="5A7D3A"/>
          <w:sz w:val="18"/>
        </w:rPr>
        <w:t>https://pubmed.ncbi.nlm.nih.gov/42706532/</w:t>
      </w:r>
    </w:p>
    <w:p>
      <w:pPr>
        <w:pStyle w:val="Heading2"/>
      </w:pPr>
      <w:r>
        <w:t>Primary Care Behavioral Health in der schwedischen Primärversorgung: Ergebnisse einer Pilotstudie</w:t>
      </w:r>
    </w:p>
    <w:p>
      <w:r>
        <w:rPr>
          <w:i/>
          <w:color w:val="666666"/>
          <w:sz w:val="18"/>
        </w:rPr>
        <w:t>Nordgren LB et al.  ·  BMC Health Serv Res  ·  03.09.2026  ·  PMID 42706525</w:t>
      </w:r>
    </w:p>
    <w:p>
      <w:r>
        <w:t>Stepped-Wedge-Studie zur Einführung des Primary Care Behavioral Health-Modells in vier schwedischen Primärversorgungszentren mit 37.100 eingeschriebenen Patienten über drei Zeiträume.</w:t>
      </w:r>
    </w:p>
    <w:p>
      <w:r>
        <w:rPr>
          <w:b/>
        </w:rPr>
        <w:t xml:space="preserve">Ergebnis: </w:t>
      </w:r>
      <w:r>
        <w:t>Nach der Einführung sank die Wartezeit auf den Ersttermin um 30–39 % (von 16 auf 10 bis 11 Tage, p&lt;0,001), die Wartezeit auf alle Termine um 21–24 % (von 18 auf 13,7 bis 14,2 Tage, p&lt;0,001). Die Zahl der Termine bei Behavioral Health Consultants stieg um 21–34 % (von 1.762 auf 2.127 bis 2.359, p&lt;0,001), die Zahl der Psychopharmaka-Verordnungen sank um 14–18 % (von 8.025 auf 6.570 bis 6.927, p&lt;0,001). Nach Abschluss der Einführungsphase gingen die Verbesserungen teilweise zurück.</w:t>
      </w:r>
    </w:p>
    <w:p>
      <w:r>
        <w:rPr>
          <w:b/>
          <w:sz w:val="19"/>
        </w:rPr>
        <w:t xml:space="preserve">Übertragbarkeit: </w:t>
      </w:r>
      <w:r>
        <w:rPr>
          <w:sz w:val="19"/>
        </w:rPr>
        <w:t>Schweden, Primärversorgung; hausarztgesteuertes System, aber prozessuale Lernpunkte übertragbar.</w:t>
      </w:r>
    </w:p>
    <w:p>
      <w:r>
        <w:rPr>
          <w:color w:val="5A7D3A"/>
          <w:sz w:val="18"/>
        </w:rPr>
        <w:t>https://pubmed.ncbi.nlm.nih.gov/42706525/</w:t>
      </w:r>
    </w:p>
    <w:p>
      <w:pPr>
        <w:pStyle w:val="Heading2"/>
      </w:pPr>
      <w:r>
        <w:t>Leitliniengerechte Aphasietherapie: Systembarrieren im deutschsprachigen Raum</w:t>
      </w:r>
    </w:p>
    <w:p>
      <w:r>
        <w:rPr>
          <w:i/>
          <w:color w:val="666666"/>
          <w:sz w:val="18"/>
        </w:rPr>
        <w:t>May S et al.  ·  BMC Health Serv Res  ·  07.09.2026  ·  PMID 42706524</w:t>
      </w:r>
    </w:p>
    <w:p>
      <w:r>
        <w:t>Explorative qualitative Studie mit zwei Online-Fokusgruppen aus Menschen mit Aphasie, Angehörigen, Logopäden und Akteuren des Gesundheitswesens zu den Hürden einer leitliniengerechten Therapie im deutschsprachigen Raum.</w:t>
      </w:r>
    </w:p>
    <w:p>
      <w:r>
        <w:rPr>
          <w:b/>
        </w:rPr>
        <w:t xml:space="preserve">Ergebnis: </w:t>
      </w:r>
      <w:r>
        <w:t>Sechs Kategorien von Barrieren wurden benannt: gesellschaftliche und systemische Rahmenbedingungen, Zugang zur Versorgung, Brüche im Behandlungsverlauf, die Rolle der Angehörigen, psychosoziale Faktoren und Lücken in der interdisziplinären Versorgung. Als besonders anfällig gilt der Übergang von der stationären in die ambulante Versorgung; zerklüftete Versorgungspfade und finanzielle Hürden erschwerten die Umsetzung, und die informelle Unterstützung durch Angehörige schuf Ungleichheiten beim Zugang.</w:t>
      </w:r>
    </w:p>
    <w:p>
      <w:r>
        <w:rPr>
          <w:b/>
          <w:sz w:val="19"/>
        </w:rPr>
        <w:t xml:space="preserve">Übertragbarkeit: </w:t>
      </w:r>
      <w:r>
        <w:rPr>
          <w:sz w:val="19"/>
        </w:rPr>
        <w:t>Deutschland/Österreich/Schweiz, direkt; fokussiert auf Versorgungslücken und Systembarrieren.</w:t>
      </w:r>
    </w:p>
    <w:p>
      <w:r>
        <w:rPr>
          <w:color w:val="5A7D3A"/>
          <w:sz w:val="18"/>
        </w:rPr>
        <w:t>https://pubmed.ncbi.nlm.nih.gov/42706524/</w:t>
      </w:r>
    </w:p>
    <w:p>
      <w:pPr>
        <w:pStyle w:val="Heading2"/>
      </w:pPr>
      <w:r>
        <w:t>Patientenzufriedenheit in der Tele-Ophthalmologie: systematisches Review mit Metaanalyse</w:t>
      </w:r>
    </w:p>
    <w:p>
      <w:r>
        <w:rPr>
          <w:i/>
          <w:color w:val="666666"/>
          <w:sz w:val="18"/>
        </w:rPr>
        <w:t>Al-Nosairy KO et al.  ·  Eye (Lond)  ·  07.09.2026  ·  PMID 42706426</w:t>
      </w:r>
    </w:p>
    <w:p>
      <w:r>
        <w:t>Systematisches Review mit Metaanalyse aus 41 Studien (24.595 Teilnehmende) zum Vergleich der Patientenzufriedenheit zwischen tele-ophthalmologischer und persönlicher augenärztlicher Versorgung.</w:t>
      </w:r>
    </w:p>
    <w:p>
      <w:r>
        <w:rPr>
          <w:b/>
        </w:rPr>
        <w:t xml:space="preserve">Ergebnis: </w:t>
      </w:r>
      <w:r>
        <w:t>Die Zufriedenheit war vergleichbar (OR 0,98; 95%-KI 0,36–2,65, p=0,95). Gepoolt lag die Zufriedenheit mit der Telemedizin bei 93,5 % (95%-KI 90,8–95,5), die allgemeine Akzeptanz bei 92,0 %. Asynchrone (94,6 %), synchrone (92,1 %) und hybride Modelle (93,8 %) unterschieden sich kaum. Die Weiterempfehlung fiel höher aus (94,9 %) als die Absicht zur erneuten Nutzung (84,0 %); ein Publikationsbias war nicht nachweisbar (p&gt;0,05).</w:t>
      </w:r>
    </w:p>
    <w:p>
      <w:r>
        <w:rPr>
          <w:b/>
          <w:sz w:val="19"/>
        </w:rPr>
        <w:t xml:space="preserve">Übertragbarkeit: </w:t>
      </w:r>
      <w:r>
        <w:rPr>
          <w:sz w:val="19"/>
        </w:rPr>
        <w:t>Querschnittsübertragbar: Patientenzufriedenheit systemunabhängig.</w:t>
      </w:r>
    </w:p>
    <w:p>
      <w:r>
        <w:rPr>
          <w:color w:val="5A7D3A"/>
          <w:sz w:val="18"/>
        </w:rPr>
        <w:t>https://pubmed.ncbi.nlm.nih.gov/42706426/</w:t>
      </w:r>
    </w:p>
    <w:p>
      <w:pPr>
        <w:pStyle w:val="Heading2"/>
      </w:pPr>
      <w:r>
        <w:t>Hausarztkontakte und Prävention chronischer Erkrankungen in Chinas Gesundheitsreform</w:t>
      </w:r>
    </w:p>
    <w:p>
      <w:r>
        <w:rPr>
          <w:i/>
          <w:color w:val="666666"/>
          <w:sz w:val="18"/>
        </w:rPr>
        <w:t>Zhang Y et al.  ·  Soc Sci Med  ·  12.08.2026  ·  PMID 42704983</w:t>
      </w:r>
    </w:p>
    <w:p>
      <w:r>
        <w:t>Panelstudie mit 11.425 Personen aus vier Erhebungswellen (2011–2018) der China Health and Retirement Longitudinal Study zum Zusammenhang zwischen Hausarztkontakten, dem Neuauftreten chronischer Erkrankungen und der Krankenhausnutzung.</w:t>
      </w:r>
    </w:p>
    <w:p>
      <w:r>
        <w:rPr>
          <w:b/>
        </w:rPr>
        <w:t xml:space="preserve">Ergebnis: </w:t>
      </w:r>
      <w:r>
        <w:t>Jeder zusätzliche Hausarztkontakt ging mit weniger neu hinzukommenden chronischen Erkrankungen einher (−0,011; 95%-KI −0,017 bis −0,004). Stärker war der Zusammenhang bei Stadtbewohnern (−0,016), bei Personen mit Grundschulbildung (−0,014) und bei nur einer chronischen Erkrankung (−0,018). Bei bereits Erkrankten bestand kein signifikanter Zusammenhang mit ambulanten Krankenhauskontakten (−0,010; 95%-KI −0,029 bis 0,009) oder stationären Aufnahmen (0,010; 95%-KI −0,020 bis 0,040).</w:t>
      </w:r>
    </w:p>
    <w:p>
      <w:r>
        <w:rPr>
          <w:b/>
          <w:sz w:val="19"/>
        </w:rPr>
        <w:t xml:space="preserve">Übertragbarkeit: </w:t>
      </w:r>
      <w:r>
        <w:rPr>
          <w:sz w:val="19"/>
        </w:rPr>
        <w:t>China; Konzepte zu Primärversorgung und Prävention aber strukturelle Unterschiede erheblich.</w:t>
      </w:r>
    </w:p>
    <w:p>
      <w:r>
        <w:rPr>
          <w:color w:val="5A7D3A"/>
          <w:sz w:val="18"/>
        </w:rPr>
        <w:t>https://pubmed.ncbi.nlm.nih.gov/42704983/</w:t>
      </w:r>
    </w:p>
    <w:p>
      <w:pPr>
        <w:pStyle w:val="Heading1"/>
      </w:pPr>
      <w:r>
        <w:t>Aufgenommen am 08.09.2026</w:t>
      </w:r>
    </w:p>
    <w:p>
      <w:pPr>
        <w:pStyle w:val="Heading2"/>
      </w:pPr>
      <w:r>
        <w:t>Patientensicht auf Zahnbehandlungsqualität: qualitative Systematik-Übersicht</w:t>
      </w:r>
    </w:p>
    <w:p>
      <w:r>
        <w:rPr>
          <w:i/>
          <w:color w:val="666666"/>
          <w:sz w:val="18"/>
        </w:rPr>
        <w:t>Tay AHC et al.  ·  J Dent Res  ·  07.09.2026  ·  PMID 42703647</w:t>
      </w:r>
    </w:p>
    <w:p>
      <w:r>
        <w:t>Systematische qualitative Analyse von 36 Studien zur Patientenwahrnehmung von Qualität in der Zahnversorgung.</w:t>
      </w:r>
    </w:p>
    <w:p>
      <w:r>
        <w:rPr>
          <w:b/>
        </w:rPr>
        <w:t xml:space="preserve">Ergebnis: </w:t>
      </w:r>
      <w:r>
        <w:t>Vier Kernthemen: (1) strukturelle Bedingungen für Vertrauen, (2) Sicherheit durch erlebte Kompetenz, (3) zwischenmenschliche Pflege als Qualitätsfundament (Respekt, Empathie, Kommunikation, Shared Decision Making), (4) kontinuierliche Beziehung als patientenrelevantes Ergebnis. Patienten deuten relationale und emotionale Aspekte als Indikatoren der Systemorientierung.</w:t>
      </w:r>
    </w:p>
    <w:p>
      <w:r>
        <w:rPr>
          <w:b/>
          <w:sz w:val="19"/>
        </w:rPr>
        <w:t xml:space="preserve">Übertragbarkeit: </w:t>
      </w:r>
      <w:r>
        <w:rPr>
          <w:sz w:val="19"/>
        </w:rPr>
        <w:t>Diverse Populationen international, Thematik der Patientenzentralität systemunabhängig übertragbar.</w:t>
      </w:r>
    </w:p>
    <w:p>
      <w:r>
        <w:rPr>
          <w:color w:val="5A7D3A"/>
          <w:sz w:val="18"/>
        </w:rPr>
        <w:t>https://pubmed.ncbi.nlm.nih.gov/42703647/</w:t>
      </w:r>
    </w:p>
    <w:p>
      <w:pPr>
        <w:pStyle w:val="Heading2"/>
      </w:pPr>
      <w:r>
        <w:t>Regionale Disparitäten bei Lebendnierenverpflanzungen in Australien und Neuseeland</w:t>
      </w:r>
    </w:p>
    <w:p>
      <w:r>
        <w:rPr>
          <w:i/>
          <w:color w:val="666666"/>
          <w:sz w:val="18"/>
        </w:rPr>
        <w:t>McMichael LC et al.  ·  Am J Transplant  ·  03.09.2026  ·  PMID 42692200</w:t>
      </w:r>
    </w:p>
    <w:p>
      <w:r>
        <w:t>Analyse der ANZORGG-Registry (Australien, Neuseeland) zu regionalen Unterschieden bei Zugang zu Lebendnierenverpflanzung.</w:t>
      </w:r>
    </w:p>
    <w:p>
      <w:r>
        <w:rPr>
          <w:b/>
        </w:rPr>
        <w:t xml:space="preserve">Ergebnis: </w:t>
      </w:r>
      <w:r>
        <w:t>Standardisierte Quote lebender Nierenverpflanzungen variierte zwischen 0,36 und 2,11 über 21 Netzwerke (n=53.313 Patienten 2002–2022). Von 21 Netzwerken lagen 4 (19%) unter Erwartung. Faktoren: direkte Transplantationsaffiliation des Behandlungszentrums, nicht-metropolitane Residenz und zeitnahe nephrologische Vorstellung assoziiert mit erhöhtem Lebendspender-Transplantationsrisiko.</w:t>
      </w:r>
    </w:p>
    <w:p>
      <w:r>
        <w:rPr>
          <w:b/>
          <w:sz w:val="19"/>
        </w:rPr>
        <w:t xml:space="preserve">Übertragbarkeit: </w:t>
      </w:r>
      <w:r>
        <w:rPr>
          <w:sz w:val="19"/>
        </w:rPr>
        <w:t>Australien/Neuseeland, Fragestellung zu regionalen Versorgungsungleichheiten in spezialisierten Leistungen übertragbar auf Deutschland.</w:t>
      </w:r>
    </w:p>
    <w:p>
      <w:r>
        <w:rPr>
          <w:color w:val="5A7D3A"/>
          <w:sz w:val="18"/>
        </w:rPr>
        <w:t>https://pubmed.ncbi.nlm.nih.gov/42692200/</w:t>
      </w:r>
    </w:p>
    <w:p>
      <w:pPr>
        <w:pStyle w:val="Heading2"/>
      </w:pPr>
      <w:r>
        <w:t>Private Krankenversicherung und Prävention in Australien: Längsschnittstudie</w:t>
      </w:r>
    </w:p>
    <w:p>
      <w:r>
        <w:rPr>
          <w:i/>
          <w:color w:val="666666"/>
          <w:sz w:val="18"/>
        </w:rPr>
        <w:t>Nguyen CM et al.  ·  Public Health  ·  03.09.2026  ·  PMID 42691737</w:t>
      </w:r>
    </w:p>
    <w:p>
      <w:r>
        <w:t>Längsschnittstudie an 9.674 australischen Erwachsenen (2009–2017) zur Assoziation zwischen privater Krankenversicherung und Nutzung von Präventivleistungen.</w:t>
      </w:r>
    </w:p>
    <w:p>
      <w:r>
        <w:rPr>
          <w:b/>
        </w:rPr>
        <w:t xml:space="preserve">Ergebnis: </w:t>
      </w:r>
      <w:r>
        <w:t>Chronische Erkrankungen wurden häufiger, Prävention nahm zu. Nach Adjustment zeigte sich: Bei Frauen waren hospital PHI und kombinierte PHI mit IRR 1,14 (95%-KI 1,09–1,18) bzw. 1,18 (1,11–1,25) assoziiert; bei Männern hospital PHI mit IRR 1,12 (1,00–1,23) und kombinierte PHI mit IRR 1,18 (1,11–1,25).</w:t>
      </w:r>
    </w:p>
    <w:p>
      <w:r>
        <w:rPr>
          <w:b/>
          <w:sz w:val="19"/>
        </w:rPr>
        <w:t xml:space="preserve">Übertragbarkeit: </w:t>
      </w:r>
      <w:r>
        <w:rPr>
          <w:sz w:val="19"/>
        </w:rPr>
        <w:t>Australisches Zwei-Klassen-System mit Medicare-Basisversorgung und zusätzlicher privater Versicherung; Frage zu Versicherungsstatus und Prävention eingeschränkt übertragbar.</w:t>
      </w:r>
    </w:p>
    <w:p>
      <w:r>
        <w:rPr>
          <w:color w:val="5A7D3A"/>
          <w:sz w:val="18"/>
        </w:rPr>
        <w:t>https://pubmed.ncbi.nlm.nih.gov/42691737/</w:t>
      </w:r>
    </w:p>
    <w:p>
      <w:pPr>
        <w:pStyle w:val="Heading2"/>
      </w:pPr>
      <w:r>
        <w:t>Screening auf Autoimmunität bei Typ-1-Diabetes aus Sicht des Fachpersonals</w:t>
      </w:r>
    </w:p>
    <w:p>
      <w:r>
        <w:rPr>
          <w:i/>
          <w:color w:val="666666"/>
          <w:sz w:val="18"/>
        </w:rPr>
        <w:t>Majstorovic M et al.  ·  Diabet Med  ·  01.09.2026  ·  PMID 42682016</w:t>
      </w:r>
    </w:p>
    <w:p>
      <w:r>
        <w:t>Qualitative Studie mit 32 australischen Fachkräften (Kindermedizin) zu Perspektiven auf Screening und Monitoring von Inselzellautoantkörpern.</w:t>
      </w:r>
    </w:p>
    <w:p>
      <w:r>
        <w:rPr>
          <w:b/>
        </w:rPr>
        <w:t xml:space="preserve">Ergebnis: </w:t>
      </w:r>
      <w:r>
        <w:t>Sieben Themen identifiziert: (1) umstrittenes Screening, (2) Strukturüberlegungen, (3) Zugangsparität, (4) Managementfokus auf Testerleben, (5) potenzielle psychische Folgen, (6) Bewältigungsfähigkeit der Betreuer, (7) Bedeutung vertrauensvoller Beziehungen. Fachkräfte betonten psychische Belastungen für Familien, Wichtigkeit therapeutischer Beziehungen.</w:t>
      </w:r>
    </w:p>
    <w:p>
      <w:r>
        <w:rPr>
          <w:b/>
          <w:sz w:val="19"/>
        </w:rPr>
        <w:t xml:space="preserve">Übertragbarkeit: </w:t>
      </w:r>
      <w:r>
        <w:rPr>
          <w:sz w:val="19"/>
        </w:rPr>
        <w:t>Qualitative Fachperspektive, Thema Screening-Akzeptanz und -Design systemunabhängig relevant.</w:t>
      </w:r>
    </w:p>
    <w:p>
      <w:r>
        <w:rPr>
          <w:color w:val="5A7D3A"/>
          <w:sz w:val="18"/>
        </w:rPr>
        <w:t>https://pubmed.ncbi.nlm.nih.gov/42682016/</w:t>
      </w:r>
    </w:p>
    <w:p>
      <w:pPr>
        <w:pStyle w:val="Heading2"/>
      </w:pPr>
      <w:r>
        <w:t>Verfügbarkeit und Zugang zu Infertilitätsversorgung in West- und Zentralafrika</w:t>
      </w:r>
    </w:p>
    <w:p>
      <w:r>
        <w:rPr>
          <w:i/>
          <w:color w:val="666666"/>
          <w:sz w:val="18"/>
        </w:rPr>
        <w:t>Thomas HL et al.  ·  BMC Health Serv Res  ·  04.08.2026  ·  PMID 42681645</w:t>
      </w:r>
    </w:p>
    <w:p>
      <w:r>
        <w:t>Länderübergreifende Studie (Burkina Faso, Elfenbeinküste, Niger, Uganda) zu Verfügbarkeit, geografischem Zugang und Nutzung von STI-Tests und Infertilitätsservices.</w:t>
      </w:r>
    </w:p>
    <w:p>
      <w:r>
        <w:rPr>
          <w:b/>
        </w:rPr>
        <w:t xml:space="preserve">Ergebnis: </w:t>
      </w:r>
      <w:r>
        <w:t>STI-Tests verfügbar in 68,5–92,6% der Einrichtungen, Infertilitätsservices in 28,4–44,0% (Burkina Faso 78,3%). Frauen mit höherer Bildung, Wohlstand, urbaner Residenz hatten besseren Zugang. In Burkina Faso und Niger: Frauen innerhalb 5 km STI-Testung zeigten erhöhte biomedizinische Inanspruchnahme (aOR 2,94 bzw. 7,19).</w:t>
      </w:r>
    </w:p>
    <w:p>
      <w:r>
        <w:rPr>
          <w:b/>
          <w:sz w:val="19"/>
        </w:rPr>
        <w:t xml:space="preserve">Übertragbarkeit: </w:t>
      </w:r>
      <w:r>
        <w:rPr>
          <w:sz w:val="19"/>
        </w:rPr>
        <w:t>Subsaharische Länder mit begrenzten Ressourcen, Fragestellung zu geografischem Zugang und Inanspruchnahme grundsätzlich relevant.</w:t>
      </w:r>
    </w:p>
    <w:p>
      <w:r>
        <w:rPr>
          <w:color w:val="5A7D3A"/>
          <w:sz w:val="18"/>
        </w:rPr>
        <w:t>https://pubmed.ncbi.nlm.nih.gov/42681645/</w:t>
      </w:r>
    </w:p>
    <w:p>
      <w:pPr>
        <w:pStyle w:val="Heading2"/>
      </w:pPr>
      <w:r>
        <w:t>Nationale Implementierung eines TB-Probenversandsystems in der Republik Kongo</w:t>
      </w:r>
    </w:p>
    <w:p>
      <w:r>
        <w:rPr>
          <w:i/>
          <w:color w:val="666666"/>
          <w:sz w:val="18"/>
        </w:rPr>
        <w:t>Elion Assiana DO et al.  ·  Trop Med Infect Dis  ·  17.08.2026  ·  PMID 42646806</w:t>
      </w:r>
    </w:p>
    <w:p>
      <w:r>
        <w:t>Dreijährige Mixed-Methods-Studie (Pilot Januar–Juni 2023, Scale-up Juli 2023–Dezember 2025) zur Umsetzung eines strukturierten Versandsystems für TB-Diagnostik.</w:t>
      </w:r>
    </w:p>
    <w:p>
      <w:r>
        <w:rPr>
          <w:b/>
        </w:rPr>
        <w:t xml:space="preserve">Ergebnis: </w:t>
      </w:r>
      <w:r>
        <w:t>Pilot-Phase: 962 Proben, 30,6% TB-Fälle (12/294 RR-TB), medianer Turnaround 53 h urban/62 h rural, 86% Beteiligungsquote. Scale-up (29 → 12/12 Departements): 2154 Proben (2023) → 5160 (2024), 2587 TB- und 84 RR-TB-Fälle über 3 Jahre detektiert. TB-Detektionsbeitrag stieg von 9,2% auf 16,0%, RR-TB von 10,4% auf 18,7%.</w:t>
      </w:r>
    </w:p>
    <w:p>
      <w:r>
        <w:rPr>
          <w:b/>
          <w:sz w:val="19"/>
        </w:rPr>
        <w:t xml:space="preserve">Übertragbarkeit: </w:t>
      </w:r>
      <w:r>
        <w:rPr>
          <w:sz w:val="19"/>
        </w:rPr>
        <w:t>Ressourcenlimitiertes Subsahara-Kontext, Versorgungsforschung zur Stärkung von Diagnostikzugang relevant, aber nur bedingt auf deutsche Strukturen übertragbar.</w:t>
      </w:r>
    </w:p>
    <w:p>
      <w:r>
        <w:rPr>
          <w:color w:val="5A7D3A"/>
          <w:sz w:val="18"/>
        </w:rPr>
        <w:t>https://pubmed.ncbi.nlm.nih.gov/42646806/</w:t>
      </w:r>
    </w:p>
    <w:p>
      <w:pPr>
        <w:pStyle w:val="Heading1"/>
      </w:pPr>
      <w:r>
        <w:t>Aufgenommen am 07.09.2026</w:t>
      </w:r>
    </w:p>
    <w:p>
      <w:pPr>
        <w:pStyle w:val="Heading2"/>
      </w:pPr>
      <w:r>
        <w:t>Depressive Symptom Networks bei älteren Erwachsenen: Episodische versus persistente Symptome</w:t>
      </w:r>
    </w:p>
    <w:p>
      <w:r>
        <w:rPr>
          <w:i/>
          <w:color w:val="666666"/>
          <w:sz w:val="18"/>
        </w:rPr>
        <w:t>Stratmann MW et al.  ·  Int Psychogeriatr  ·  05.09.2026  ·  PMID 42701078</w:t>
      </w:r>
    </w:p>
    <w:p>
      <w:r>
        <w:t>Vergleichende Netzwerkanalyse depressiver Symptome bei 8.519 älteren Erwachsenen (60+ Jahre) aus SHARE-Daten zur Frage, ob persistente Depressionen dichtere Symptomnetze aufweisen als episodische.</w:t>
      </w:r>
    </w:p>
    <w:p>
      <w:r>
        <w:rPr>
          <w:b/>
        </w:rPr>
        <w:t xml:space="preserve">Ergebnis: </w:t>
      </w:r>
      <w:r>
        <w:t>Kein signifikanter Unterschied in globaler Netzwerkstärke oder -struktur zwischen episodischen (44,0%) und persistenten/rezidivierenden (56,0%) depressiven Symptomen (p = 0,17 bzw. p = 0,60). Mangelndes Interesse, depressive Stimmung und Suizidalität zeigten höchste Stärke in beiden Netzwerken.</w:t>
      </w:r>
    </w:p>
    <w:p>
      <w:r>
        <w:rPr>
          <w:b/>
          <w:sz w:val="19"/>
        </w:rPr>
        <w:t xml:space="preserve">Übertragbarkeit: </w:t>
      </w:r>
      <w:r>
        <w:rPr>
          <w:sz w:val="19"/>
        </w:rPr>
        <w:t>Deutschland: SHARE-Daten, gesetzlich Versicherte ab 60 Jahren, europäisches Sozialversicherungssystem</w:t>
      </w:r>
    </w:p>
    <w:p>
      <w:r>
        <w:rPr>
          <w:color w:val="5A7D3A"/>
          <w:sz w:val="18"/>
        </w:rPr>
        <w:t>https://pubmed.ncbi.nlm.nih.gov/42701078/</w:t>
      </w:r>
    </w:p>
    <w:p>
      <w:pPr>
        <w:pStyle w:val="Heading2"/>
      </w:pPr>
      <w:r>
        <w:t>Person-zentrierte Geburtshilfe: Wahrnehmungsbildung und Sinnkonstruktion</w:t>
      </w:r>
    </w:p>
    <w:p>
      <w:r>
        <w:rPr>
          <w:i/>
          <w:color w:val="666666"/>
          <w:sz w:val="18"/>
        </w:rPr>
        <w:t>Okumu MR et al.  ·  Eur J Midwifery  ·  04.09.2026  ·  PMID 42699730</w:t>
      </w:r>
    </w:p>
    <w:p>
      <w:r>
        <w:t>Qualitative Grounded-Theory-Studie mit 12 Interviews zu Gebärfähigen, um zu verstehen, wie Frauen ihre Geburtsversorgung wahrnehmen und interpretieren.</w:t>
      </w:r>
    </w:p>
    <w:p>
      <w:r>
        <w:rPr>
          <w:b/>
        </w:rPr>
        <w:t xml:space="preserve">Ergebnis: </w:t>
      </w:r>
      <w:r>
        <w:t>Sense of Coherence (SoC) als Kernkategorie identifiziert: Negative Erfahrungen korreliert mit niedriger SoC, positive mit hoher SoC. Kontextuelle Faktoren (Verständlichkeit, wahrgenommene Machbarkeit, situative Rahmung) prägen die Wahrnehmung von Geburtssituationen.</w:t>
      </w:r>
    </w:p>
    <w:p>
      <w:r>
        <w:rPr>
          <w:b/>
          <w:sz w:val="19"/>
        </w:rPr>
        <w:t xml:space="preserve">Übertragbarkeit: </w:t>
      </w:r>
      <w:r>
        <w:rPr>
          <w:sz w:val="19"/>
        </w:rPr>
        <w:t>Deutschland: Deutsche Hochschulkliniken, qualitative Versorgungsforschung zur Patientenperspektive</w:t>
      </w:r>
    </w:p>
    <w:p>
      <w:r>
        <w:rPr>
          <w:color w:val="5A7D3A"/>
          <w:sz w:val="18"/>
        </w:rPr>
        <w:t>https://pubmed.ncbi.nlm.nih.gov/42699730/</w:t>
      </w:r>
    </w:p>
    <w:p>
      <w:pPr>
        <w:pStyle w:val="Heading2"/>
      </w:pPr>
      <w:r>
        <w:t>Pflegekräfte-Retention in Europa: Warum ökonomische Evidenz fehlt</w:t>
      </w:r>
    </w:p>
    <w:p>
      <w:r>
        <w:rPr>
          <w:i/>
          <w:color w:val="666666"/>
          <w:sz w:val="18"/>
        </w:rPr>
        <w:t>Maier CB et al.  ·  Lancet Reg Health Eur  ·  25.08.2026  ·  PMID 42699328</w:t>
      </w:r>
    </w:p>
    <w:p>
      <w:r>
        <w:t>Viewpoint zur Evidenzlücke für Kosteffektivität von Pflegekräfte-Retentionsmassnahmen in europäischen Gesundheitssystemen.</w:t>
      </w:r>
    </w:p>
    <w:p>
      <w:r>
        <w:rPr>
          <w:b/>
        </w:rPr>
        <w:t xml:space="preserve">Ergebnis: </w:t>
      </w:r>
      <w:r>
        <w:t>Europäische Länder verfügen im Gegensatz zu Nordamerika und Australien über keine vergleichbaren Kostenangaben für Pflegekräfte-Fluktuation. Turnover-Kosten sind nicht zwischen Systemen übertragbar wegen unterschiedlicher Lohn-, Skill-Mix- und Praxisstrukturen. Europäische Forschungsagenda erforderlich.</w:t>
      </w:r>
    </w:p>
    <w:p>
      <w:r>
        <w:rPr>
          <w:b/>
          <w:sz w:val="19"/>
        </w:rPr>
        <w:t xml:space="preserve">Übertragbarkeit: </w:t>
      </w:r>
      <w:r>
        <w:rPr>
          <w:sz w:val="19"/>
        </w:rPr>
        <w:t>Deutschland, Österreich, Schweiz: Hohe Übertragbarkeit für deutsche Krankenhausversorgung und Personalmanagement</w:t>
      </w:r>
    </w:p>
    <w:p>
      <w:r>
        <w:rPr>
          <w:color w:val="5A7D3A"/>
          <w:sz w:val="18"/>
        </w:rPr>
        <w:t>https://pubmed.ncbi.nlm.nih.gov/42699328/</w:t>
      </w:r>
    </w:p>
    <w:p>
      <w:pPr>
        <w:pStyle w:val="Heading2"/>
      </w:pPr>
      <w:r>
        <w:t>Pharmacy-Reimbursement-Reform und Stufendiagnose in China: Effekt auf Gesundheitsausgaben</w:t>
      </w:r>
    </w:p>
    <w:p>
      <w:r>
        <w:rPr>
          <w:i/>
          <w:color w:val="666666"/>
          <w:sz w:val="18"/>
        </w:rPr>
        <w:t>Zhang K et al.  ·  BMC Health Serv Res  ·  22.08.2026  ·  PMID 42693454</w:t>
      </w:r>
    </w:p>
    <w:p>
      <w:r>
        <w:t>Evaluierung der Auswirkungen der RPOR-Reform (Retail Pharmacies Outpatient Reimbursement) auf Versorgungsverlauf, Inanspruchnahme und Gesamtausgaben mittels Staggered-DID-Analyse.</w:t>
      </w:r>
    </w:p>
    <w:p>
      <w:r>
        <w:rPr>
          <w:b/>
        </w:rPr>
        <w:t xml:space="preserve">Ergebnis: </w:t>
      </w:r>
      <w:r>
        <w:t>RPOR erhöhte Apothekenbesuche (0,119**), Apotheken-Ausgabenanteil (0,439**), verdrängte aber ambulante Primärversorgung (-0,670***) und senkte Gesamtausgaben (-0,490**). Effekte variierten nach Alter, Einkommen und regionalen Ressourcen.</w:t>
      </w:r>
    </w:p>
    <w:p>
      <w:r>
        <w:rPr>
          <w:b/>
          <w:sz w:val="19"/>
        </w:rPr>
        <w:t xml:space="preserve">Übertragbarkeit: </w:t>
      </w:r>
      <w:r>
        <w:rPr>
          <w:sz w:val="19"/>
        </w:rPr>
        <w:t>Bedingt: China-Daten, anderes Sozialversicherungssystem und Ressourcenkontext, aber Fragestellung zu Versorgungssteuerung übertragbar</w:t>
      </w:r>
    </w:p>
    <w:p>
      <w:r>
        <w:rPr>
          <w:color w:val="5A7D3A"/>
          <w:sz w:val="18"/>
        </w:rPr>
        <w:t>https://pubmed.ncbi.nlm.nih.gov/42693454/</w:t>
      </w:r>
    </w:p>
    <w:p>
      <w:pPr>
        <w:pStyle w:val="Heading2"/>
      </w:pPr>
      <w:r>
        <w:t>xPEDition pain: Public-Health-Kampagne zu chronischem Schmerz in Grenzregion</w:t>
      </w:r>
    </w:p>
    <w:p>
      <w:r>
        <w:rPr>
          <w:i/>
          <w:color w:val="666666"/>
          <w:sz w:val="18"/>
        </w:rPr>
        <w:t>Sanina AY et al.  ·  BMJ Open  ·  03.09.2026  ·  PMID 42692519</w:t>
      </w:r>
    </w:p>
    <w:p>
      <w:r>
        <w:t>Quasi-experimentelle Vorher-Nachher-Studie mit Kontrollgruppe zu Wirkung einer grenzüberschreitenden Public-Health-Kampagne (Niederlande/Deutschland vs. Flandern) auf Schmerzwissen und -einstellungen.</w:t>
      </w:r>
    </w:p>
    <w:p>
      <w:r>
        <w:rPr>
          <w:b/>
        </w:rPr>
        <w:t xml:space="preserve">Ergebnis: </w:t>
      </w:r>
      <w:r>
        <w:t>Intervention geplant für 24 Monate in niederländisch-deutscher Ems-Dollart-Region, Kontrollgruppe Flandern. Messungen bei 3.200 Personen pro Welle (Baseline, 2-Jahres-Follow-up) mit Pain Concepts Questionnaire als primärem Outcome. Primäranalyse: Difference-in-Differences.</w:t>
      </w:r>
    </w:p>
    <w:p>
      <w:r>
        <w:rPr>
          <w:b/>
          <w:sz w:val="19"/>
        </w:rPr>
        <w:t xml:space="preserve">Übertragbarkeit: </w:t>
      </w:r>
      <w:r>
        <w:rPr>
          <w:sz w:val="19"/>
        </w:rPr>
        <w:t>Niederlande, Deutschland: Direkt übertragbar auf deutsches Gesundheitssystem, grenzüberschreitend, Versorgungsforschungsmethodik</w:t>
      </w:r>
    </w:p>
    <w:p>
      <w:r>
        <w:rPr>
          <w:color w:val="5A7D3A"/>
          <w:sz w:val="18"/>
        </w:rPr>
        <w:t>https://pubmed.ncbi.nlm.nih.gov/42692519/</w:t>
      </w:r>
    </w:p>
    <w:p>
      <w:pPr>
        <w:pStyle w:val="Heading1"/>
      </w:pPr>
      <w:r>
        <w:t>Aufgenommen am 06.09.2026</w:t>
      </w:r>
    </w:p>
    <w:p>
      <w:pPr>
        <w:pStyle w:val="Heading2"/>
      </w:pPr>
      <w:r>
        <w:t>Sozialer Gradient und Alkoholkonsum bei Mortalität</w:t>
      </w:r>
    </w:p>
    <w:p>
      <w:r>
        <w:rPr>
          <w:i/>
          <w:color w:val="666666"/>
          <w:sz w:val="18"/>
        </w:rPr>
        <w:t>Butovetsky I et al.  ·  Alcohol Clin Exp Res (Hoboken)  ·  Sept. 2026  ·  PMID 42698350</w:t>
      </w:r>
    </w:p>
    <w:p>
      <w:r>
        <w:t>Prospektive Kohortenstudie zu Wechselwirkungen zwischen Sozioökonomie, Alkoholkonsum und Gesamtmortalität an 3771-3939 Teilnehmern (Follow-up bis 2023).</w:t>
      </w:r>
    </w:p>
    <w:p>
      <w:r>
        <w:rPr>
          <w:b/>
        </w:rPr>
        <w:t xml:space="preserve">Ergebnis: </w:t>
      </w:r>
      <w:r>
        <w:t>Niedriges Einkommen (HR 1,31, 95%-KI 1,11–1,56), ehemaliger Alkoholkonsum mit Abstinenz (HR 1,56, 95%-KI 1,27–1,92) und hoher Alkoholkonsum (HR 1,31, 95%-KI 1,03–1,66) waren mit erhöhter Mortalität assoziiert. Interaktionseffekte zwischen Alkoholkonsum und SES nachweisbar.</w:t>
      </w:r>
    </w:p>
    <w:p>
      <w:r>
        <w:rPr>
          <w:b/>
          <w:sz w:val="19"/>
        </w:rPr>
        <w:t xml:space="preserve">Übertragbarkeit: </w:t>
      </w:r>
      <w:r>
        <w:rPr>
          <w:sz w:val="19"/>
        </w:rPr>
        <w:t>Deutsche Routinedaten (SHIP-Kohorte, Pomerania), gesetzlich Versicherte</w:t>
      </w:r>
    </w:p>
    <w:p>
      <w:r>
        <w:rPr>
          <w:color w:val="5A7D3A"/>
          <w:sz w:val="18"/>
        </w:rPr>
        <w:t>https://pubmed.ncbi.nlm.nih.gov/42698350/</w:t>
      </w:r>
    </w:p>
    <w:p>
      <w:pPr>
        <w:pStyle w:val="Heading2"/>
      </w:pPr>
      <w:r>
        <w:t>Sozioökonomische Unterschiede beim Zugang zur Pflegeversicherung in Korea</w:t>
      </w:r>
    </w:p>
    <w:p>
      <w:r>
        <w:rPr>
          <w:i/>
          <w:color w:val="666666"/>
          <w:sz w:val="18"/>
        </w:rPr>
        <w:t>Noh JW et al.  ·  BMC Health Serv Res  ·  06.08.2026  ·  PMID 42698085</w:t>
      </w:r>
    </w:p>
    <w:p>
      <w:r>
        <w:t>Deskriptive Analyse der Aufnahmealter in Koreas Langzeitpflegeversicherung bei 1,07 Mio. Erwachsenen (2008–2022).</w:t>
      </w:r>
    </w:p>
    <w:p>
      <w:r>
        <w:rPr>
          <w:b/>
        </w:rPr>
        <w:t xml:space="preserve">Ergebnis: </w:t>
      </w:r>
      <w:r>
        <w:t>Mittleres Aufnahmealter 79,98 Jahre (Antrag) und 80,95 Jahre (Genehmigung), deutlich über Anspruchsalter 65. Frauen, Personen ohne Behinderungen und mit weniger chronischen Erkrankungen traten später ein; Medical-Aid-Versicherte früher als erwerbstätig Versicherte.</w:t>
      </w:r>
    </w:p>
    <w:p>
      <w:r>
        <w:rPr>
          <w:b/>
          <w:sz w:val="19"/>
        </w:rPr>
        <w:t xml:space="preserve">Übertragbarkeit: </w:t>
      </w:r>
      <w:r>
        <w:rPr>
          <w:sz w:val="19"/>
        </w:rPr>
        <w:t>Nationale Verwaltungsdaten Korea; Struktur unterscheidet sich von deutschem System</w:t>
      </w:r>
    </w:p>
    <w:p>
      <w:r>
        <w:rPr>
          <w:color w:val="5A7D3A"/>
          <w:sz w:val="18"/>
        </w:rPr>
        <w:t>https://pubmed.ncbi.nlm.nih.gov/42698085/</w:t>
      </w:r>
    </w:p>
    <w:p>
      <w:pPr>
        <w:pStyle w:val="Heading2"/>
      </w:pPr>
      <w:r>
        <w:t>Geografische Variation Gabapentinoide und Opioide in US-Pflegeheimen</w:t>
      </w:r>
    </w:p>
    <w:p>
      <w:r>
        <w:rPr>
          <w:i/>
          <w:color w:val="666666"/>
          <w:sz w:val="18"/>
        </w:rPr>
        <w:t>Jung H et al.  ·  J Am Med Dir Assoc  ·  04.09.2026  ·  PMID 42696808</w:t>
      </w:r>
    </w:p>
    <w:p>
      <w:r>
        <w:t>Querschnittstudie zur geografischen Variation der Verschreibung von Gabapentinoiden, Opioiden und deren gleichzeitiger Nutzung bei 232.484 langzeitpflegenden Bewohnern (≥65 Jahre) in 9741 US-Pflegeheimen 2021.</w:t>
      </w:r>
    </w:p>
    <w:p>
      <w:r>
        <w:rPr>
          <w:b/>
        </w:rPr>
        <w:t xml:space="preserve">Ergebnis: </w:t>
      </w:r>
      <w:r>
        <w:t>Prävalenz: Gabapentinoid-Monotherapie 13,4%, Opioid-Monotherapie 9,1%, kombiniert 5,4%. Substantielle geografische Variation, besonders bei Opioid-Monotherapie und Kombination. Bewohnercharakteristika erklärten 61–65% der regionalen Variation, Einrichtungsmerkmale erklärten mehr Gabapentinoid-Variation.</w:t>
      </w:r>
    </w:p>
    <w:p>
      <w:r>
        <w:rPr>
          <w:b/>
          <w:sz w:val="19"/>
        </w:rPr>
        <w:t xml:space="preserve">Übertragbarkeit: </w:t>
      </w:r>
      <w:r>
        <w:rPr>
          <w:sz w:val="19"/>
        </w:rPr>
        <w:t>USA, andere Anreizstrukturen; limitiert übertragbar auf deutsches System</w:t>
      </w:r>
    </w:p>
    <w:p>
      <w:r>
        <w:rPr>
          <w:color w:val="5A7D3A"/>
          <w:sz w:val="18"/>
        </w:rPr>
        <w:t>https://pubmed.ncbi.nlm.nih.gov/42696808/</w:t>
      </w:r>
    </w:p>
    <w:p>
      <w:pPr>
        <w:pStyle w:val="Heading2"/>
      </w:pPr>
      <w:r>
        <w:t>Einsamkeit und Isolation in US-amerikanischen Pflegeheimen</w:t>
      </w:r>
    </w:p>
    <w:p>
      <w:r>
        <w:rPr>
          <w:i/>
          <w:color w:val="666666"/>
          <w:sz w:val="18"/>
        </w:rPr>
        <w:t>Nielsen NN et al.  ·  J Am Med Dir Assoc  ·  04.09.2026  ·  PMID 42696806</w:t>
      </w:r>
    </w:p>
    <w:p>
      <w:r>
        <w:t>Mehrebenen-Analyse zu Variation von Einsamkeit/Isolation unter 732.808 Langzeitbewohnern (≥50 Jahre) in 13.491 US-Pflegeheimen (Okt.–Dez. 2023).</w:t>
      </w:r>
    </w:p>
    <w:p>
      <w:r>
        <w:rPr>
          <w:b/>
        </w:rPr>
        <w:t xml:space="preserve">Ergebnis: </w:t>
      </w:r>
      <w:r>
        <w:t>Prävalenz Einsamkeit/Isolation 20,7%. Variation primär zwischen Einrichtungen (VPC ~35%), nicht Landkreisen (VPC ~2%). Frauen, Personen mit psychischen Erkrankungen/Sinnesstörungen häufiger einsam; ältere, nicht-hispanische Schwarze seltener. Profit-Status, ländlicher Raum, Diversity, mehr Pflegepersonal assoziiert mit geringerer Einsamkeit.</w:t>
      </w:r>
    </w:p>
    <w:p>
      <w:r>
        <w:rPr>
          <w:b/>
          <w:sz w:val="19"/>
        </w:rPr>
        <w:t xml:space="preserve">Übertragbarkeit: </w:t>
      </w:r>
      <w:r>
        <w:rPr>
          <w:sz w:val="19"/>
        </w:rPr>
        <w:t>USA; Fragestellung zu Lebensqualität und Prozessmerkmalen bedingt übertragbar</w:t>
      </w:r>
    </w:p>
    <w:p>
      <w:r>
        <w:rPr>
          <w:color w:val="5A7D3A"/>
          <w:sz w:val="18"/>
        </w:rPr>
        <w:t>https://pubmed.ncbi.nlm.nih.gov/42696806/</w:t>
      </w:r>
    </w:p>
    <w:p>
      <w:pPr>
        <w:pStyle w:val="Heading2"/>
      </w:pPr>
      <w:r>
        <w:t>Kontextualisierung der Versorgung bei fortgeschrittenem Lungenkrebs</w:t>
      </w:r>
    </w:p>
    <w:p>
      <w:r>
        <w:rPr>
          <w:i/>
          <w:color w:val="666666"/>
          <w:sz w:val="18"/>
        </w:rPr>
        <w:t>Ruud MM et al.  ·  Patient Educ Couns  ·  31.08.2026  ·  PMID 42696805</w:t>
      </w:r>
    </w:p>
    <w:p>
      <w:r>
        <w:t>Explorative Beobachtungsstudie zur Aufmerksamkeit gegenüber Patientenkontext in Behandlungsgesprächen bei 17 Arzt-Patient-Konsultationen in Norwegen.</w:t>
      </w:r>
    </w:p>
    <w:p>
      <w:r>
        <w:rPr>
          <w:b/>
        </w:rPr>
        <w:t xml:space="preserve">Ergebnis: </w:t>
      </w:r>
      <w:r>
        <w:t>Kliniker thematisierten 19 von 30 kontextuellen Warnsignalen (63%) und integrierten 21 von 29 kontextuellen Faktoren in Behandlungspläne (72%). Häufigste Domänen: Fähigkeiten/Wissen (10), Versorgungszugang (4), soziale Unterstützung (4).</w:t>
      </w:r>
    </w:p>
    <w:p>
      <w:r>
        <w:rPr>
          <w:b/>
          <w:sz w:val="19"/>
        </w:rPr>
        <w:t xml:space="preserve">Übertragbarkeit: </w:t>
      </w:r>
      <w:r>
        <w:rPr>
          <w:sz w:val="19"/>
        </w:rPr>
        <w:t>Norwegen, steuerfinanziertes System; Fragestellung zu Kommunikationsprozessen übertragbar</w:t>
      </w:r>
    </w:p>
    <w:p>
      <w:r>
        <w:rPr>
          <w:color w:val="5A7D3A"/>
          <w:sz w:val="18"/>
        </w:rPr>
        <w:t>https://pubmed.ncbi.nlm.nih.gov/42696805/</w:t>
      </w:r>
    </w:p>
    <w:p>
      <w:pPr>
        <w:pStyle w:val="Heading2"/>
      </w:pPr>
      <w:r>
        <w:t>Shared Decision-Making bei Multimorbidität und niedriger Health Literacy</w:t>
      </w:r>
    </w:p>
    <w:p>
      <w:r>
        <w:rPr>
          <w:i/>
          <w:color w:val="666666"/>
          <w:sz w:val="18"/>
        </w:rPr>
        <w:t>Vriese L et al.  ·  J Gen Intern Med  ·  03.09.2026  ·  PMID 42696204</w:t>
      </w:r>
    </w:p>
    <w:p>
      <w:r>
        <w:t>Konsensustext zur Bedeutung von Werteklärung (Values Clarification) im Shared Decision-Making für Patienten mit Multimorbidität und begrenzter Gesundheitskompetenz.</w:t>
      </w:r>
    </w:p>
    <w:p>
      <w:r>
        <w:rPr>
          <w:b/>
        </w:rPr>
        <w:t xml:space="preserve">Ergebnis: </w:t>
      </w:r>
      <w:r>
        <w:t>Werteklärung ist Schlüsselkomponente von SDM, wird aber untergenutzt – besonders bei schwieriger Kommunikation. Patienten mit Multimorbidität und niedriger Health Literacy benötigen dialogorientierte (nicht nur formale Werkzeug-)Ansätze; gezielte Schulung von Fachpersonen nötig.</w:t>
      </w:r>
    </w:p>
    <w:p>
      <w:r>
        <w:rPr>
          <w:b/>
          <w:sz w:val="19"/>
        </w:rPr>
        <w:t xml:space="preserve">Übertragbarkeit: </w:t>
      </w:r>
      <w:r>
        <w:rPr>
          <w:sz w:val="19"/>
        </w:rPr>
        <w:t>Niederlande (Autoren/CAPHRI Maastricht), vergleichbares Sozialversicherungssystem</w:t>
      </w:r>
    </w:p>
    <w:p>
      <w:r>
        <w:rPr>
          <w:color w:val="5A7D3A"/>
          <w:sz w:val="18"/>
        </w:rPr>
        <w:t>https://pubmed.ncbi.nlm.nih.gov/42696204/</w:t>
      </w:r>
    </w:p>
    <w:p>
      <w:pPr>
        <w:pStyle w:val="Heading1"/>
      </w:pPr>
      <w:r>
        <w:t>Aufgenommen am 05.09.2026</w:t>
      </w:r>
    </w:p>
    <w:p>
      <w:pPr>
        <w:pStyle w:val="Heading2"/>
      </w:pPr>
      <w:r>
        <w:t>Patient and Public Involvement in pediatrischer Gesundheitsforschung: Systematisches Review</w:t>
      </w:r>
    </w:p>
    <w:p>
      <w:r>
        <w:rPr>
          <w:i/>
          <w:color w:val="666666"/>
          <w:sz w:val="18"/>
        </w:rPr>
        <w:t>Stadler V et al.  ·  Health Expect  ·  Okt. 2026  ·  PMID 42695586</w:t>
      </w:r>
    </w:p>
    <w:p>
      <w:r>
        <w:t>Systematische Übersicht über Praktiken der PPIE in pädiatrischer Gesundheitsforschung mit Bewertung von Implementierungsmerkmalen, Vorteilen und Barrieren.</w:t>
      </w:r>
    </w:p>
    <w:p>
      <w:r>
        <w:rPr>
          <w:b/>
        </w:rPr>
        <w:t xml:space="preserve">Ergebnis: </w:t>
      </w:r>
      <w:r>
        <w:t>Von 1.910 identifizierten Referenzen wurden 37 Studien eingeschlossen. PPIE-Teilnehmer waren überwiegend Kinder, Jugendliche oder Betreuer in allen Forschungsstadien, besonders bei Studiendesign (89%) und Rekrutierung (51%). Positive Effekte: verbesserte Rekrutierungs- und Retentionsraten. Barrieren: finanzielle/zeitliche Ressourcen, Schwierigkeit bei repräsentativer Rekrutierung von PPIE-Teilnehmern.</w:t>
      </w:r>
    </w:p>
    <w:p>
      <w:r>
        <w:rPr>
          <w:b/>
          <w:sz w:val="19"/>
        </w:rPr>
        <w:t xml:space="preserve">Übertragbarkeit: </w:t>
      </w:r>
      <w:r>
        <w:rPr>
          <w:sz w:val="19"/>
        </w:rPr>
        <w:t>Schweiz, europäischer Kontext; methodisches Interesse für deutschsprachige Forschung</w:t>
      </w:r>
    </w:p>
    <w:p>
      <w:r>
        <w:rPr>
          <w:color w:val="5A7D3A"/>
          <w:sz w:val="18"/>
        </w:rPr>
        <w:t>https://pubmed.ncbi.nlm.nih.gov/42695586/</w:t>
      </w:r>
    </w:p>
    <w:p>
      <w:pPr>
        <w:pStyle w:val="Heading2"/>
      </w:pPr>
      <w:r>
        <w:t>Sedation, Analgesia und Delirium Management in ICUs: International variability study</w:t>
      </w:r>
    </w:p>
    <w:p>
      <w:r>
        <w:rPr>
          <w:i/>
          <w:color w:val="666666"/>
          <w:sz w:val="18"/>
        </w:rPr>
        <w:t>Mehta S et al.  ·  Crit Care Explor  ·  01.09.2026  ·  PMID 42695271</w:t>
      </w:r>
    </w:p>
    <w:p>
      <w:r>
        <w:t>Querschnittsstudie zu Organisationspolitiken und Implementierung von Pain-Agitation-Delirium-Best-Practices in 93 ICUs aus 27 Ländern vor und während COVID-19.</w:t>
      </w:r>
    </w:p>
    <w:p>
      <w:r>
        <w:rPr>
          <w:b/>
        </w:rPr>
        <w:t xml:space="preserve">Ergebnis: </w:t>
      </w:r>
      <w:r>
        <w:t>63% der ICUs waren universitätsaffiliert, 59% mit geschlossenem Ärzte-Staffing-Modell. Über 75% nutzten validierte PAD-Skalen (Richmond: 86%, CAM-ICU: 59%). Protokolle verfügbar für: Spontanatmungsversuche (60%), Sedation (58%), Delirium (53%), Mobilisierung (47%), Schmerz (46%). Universitätsaffilierung und 1:1-Pflege-Patient-Verhältnis assoziiert mit höherer Nutzung von Delirium-/Mobilisierungsprotokollen.</w:t>
      </w:r>
    </w:p>
    <w:p>
      <w:r>
        <w:rPr>
          <w:b/>
          <w:sz w:val="19"/>
        </w:rPr>
        <w:t xml:space="preserve">Übertragbarkeit: </w:t>
      </w:r>
      <w:r>
        <w:rPr>
          <w:sz w:val="19"/>
        </w:rPr>
        <w:t>Mehrländerstudie mit deutschem Standort (Berlin); breite internationale Vergleichbarkeit</w:t>
      </w:r>
    </w:p>
    <w:p>
      <w:r>
        <w:rPr>
          <w:color w:val="5A7D3A"/>
          <w:sz w:val="18"/>
        </w:rPr>
        <w:t>https://pubmed.ncbi.nlm.nih.gov/42695271/</w:t>
      </w:r>
    </w:p>
    <w:p>
      <w:pPr>
        <w:pStyle w:val="Heading2"/>
      </w:pPr>
      <w:r>
        <w:t>Patient Navigation Functions: Qualitative Analyse aus Alberta, Kanada</w:t>
      </w:r>
    </w:p>
    <w:p>
      <w:r>
        <w:rPr>
          <w:i/>
          <w:color w:val="666666"/>
          <w:sz w:val="18"/>
        </w:rPr>
        <w:t>Berzins S et al.  ·  Health Serv Insights  ·  02.09.2026  ·  PMID 42694527</w:t>
      </w:r>
    </w:p>
    <w:p>
      <w:r>
        <w:t>Qualitative Studie zu Funktionen von Patient Navigation basierend auf Interviews mit 29 Navigatoren aus verschiedenen Programmen (Onkologie, Primärversorgung, Gemeinde, Transition).</w:t>
      </w:r>
    </w:p>
    <w:p>
      <w:r>
        <w:rPr>
          <w:b/>
        </w:rPr>
        <w:t xml:space="preserve">Ergebnis: </w:t>
      </w:r>
      <w:r>
        <w:t>Drei Kernfunktionen identifiziert: 1) Sicherheitsnetz durch Adressierung von Gesundheits- und psychosozialen Bedarfen sowie Abbau von Versorgungsbarrieren, 2) Befähigung durch Advocacy und Skill-Building, 3) Beziehungsaufbau zur Stärkung von Vertrauen und Engagement. Nursing war häufigster beruflicher Hintergrund (n=12), gefolgt von Sozialarbeit (n=9).</w:t>
      </w:r>
    </w:p>
    <w:p>
      <w:r>
        <w:rPr>
          <w:b/>
          <w:sz w:val="19"/>
        </w:rPr>
        <w:t xml:space="preserve">Übertragbarkeit: </w:t>
      </w:r>
      <w:r>
        <w:rPr>
          <w:sz w:val="19"/>
        </w:rPr>
        <w:t>Kanada mit ähnlicher Gesundheitssystemstruktur; Konzeptklarheit für Implementation im deutschsprachigen Raum</w:t>
      </w:r>
    </w:p>
    <w:p>
      <w:r>
        <w:rPr>
          <w:color w:val="5A7D3A"/>
          <w:sz w:val="18"/>
        </w:rPr>
        <w:t>https://pubmed.ncbi.nlm.nih.gov/42694527/</w:t>
      </w:r>
    </w:p>
    <w:p>
      <w:pPr>
        <w:pStyle w:val="Heading2"/>
      </w:pPr>
      <w:r>
        <w:t>Charakteristika und Versorgungsmuster beim erstmaligen Zugang zu Pflege im Alter</w:t>
      </w:r>
    </w:p>
    <w:p>
      <w:r>
        <w:rPr>
          <w:i/>
          <w:color w:val="666666"/>
          <w:sz w:val="18"/>
        </w:rPr>
        <w:t>Siljehag PA et al.  ·  BMC Health Serv Res  ·  02.09.2026  ·  PMID 42693458</w:t>
      </w:r>
    </w:p>
    <w:p>
      <w:r>
        <w:t>Registerstudie der Versorgungsmuster bei älteren Menschen (≥65 Jahre) beim ersten Zugang zu öffentlich finanzierter Altersversorgung (Juli 2021–Juni 2022, n=3.649).</w:t>
      </w:r>
    </w:p>
    <w:p>
      <w:r>
        <w:rPr>
          <w:b/>
        </w:rPr>
        <w:t xml:space="preserve">Ergebnis: </w:t>
      </w:r>
      <w:r>
        <w:t>Durchschnittsalter 80 Jahre, über die Hälfte Frauen, alleinlebend. Ein Viertel mit ausgedehnten funktionalen Einschränkungen. Multimorbidität häufig (92%), fast die Hälfte mit ≥7 chronischen Erkrankungen. Psychiatrische Komorbiditäten in 15% der Fälle. Primärversorgung in 80% vorausgegangen. Häusliche Pflege in 95%. Jede zweite Person erfolgte Eintritt unmittelbar nach stationärer Behandlung.</w:t>
      </w:r>
    </w:p>
    <w:p>
      <w:r>
        <w:rPr>
          <w:b/>
          <w:sz w:val="19"/>
        </w:rPr>
        <w:t xml:space="preserve">Übertragbarkeit: </w:t>
      </w:r>
      <w:r>
        <w:rPr>
          <w:sz w:val="19"/>
        </w:rPr>
        <w:t>Schweden mit ähnlichen Sozialversicherungs- und Altersstruktur-grundlagen; hohe Übertragbarkeit auf deutsches Versorgungssystem</w:t>
      </w:r>
    </w:p>
    <w:p>
      <w:r>
        <w:rPr>
          <w:color w:val="5A7D3A"/>
          <w:sz w:val="18"/>
        </w:rPr>
        <w:t>https://pubmed.ncbi.nlm.nih.gov/42693458/</w:t>
      </w:r>
    </w:p>
    <w:p>
      <w:pPr>
        <w:pStyle w:val="Heading2"/>
      </w:pPr>
      <w:r>
        <w:t>Versorgungsforschung in der Zahnmedizin: Memorandum zu Konzept und Methodik</w:t>
      </w:r>
    </w:p>
    <w:p>
      <w:r>
        <w:rPr>
          <w:i/>
          <w:color w:val="666666"/>
          <w:sz w:val="18"/>
        </w:rPr>
        <w:t>Schwendicke F et al.  ·  Gesundheitswesen  ·  03.09.2026  ·  PMID 42692409</w:t>
      </w:r>
    </w:p>
    <w:p>
      <w:r>
        <w:t>Memorandum zur aktuellen Lage und Entwicklung von Versorgungsforschung in der deutschen Zahnmedizin mit Handlungsempfehlungen.</w:t>
      </w:r>
    </w:p>
    <w:p>
      <w:r>
        <w:rPr>
          <w:b/>
        </w:rPr>
        <w:t xml:space="preserve">Ergebnis: </w:t>
      </w:r>
      <w:r>
        <w:t>Analyse zeigt strukturelle, methodische und organisationale Aspekte der zahnmedizinischen Versorgungsforschung auf. Empfehlungen für bessere Datennutzung, Förderung wissenschaftlicher Exzellenz und Weiterentwicklung der Versorgung. Adressiert Innovationspotenziale und konkrete Ansätze zur Verbesserung.</w:t>
      </w:r>
    </w:p>
    <w:p>
      <w:r>
        <w:rPr>
          <w:b/>
          <w:sz w:val="19"/>
        </w:rPr>
        <w:t xml:space="preserve">Übertragbarkeit: </w:t>
      </w:r>
      <w:r>
        <w:rPr>
          <w:sz w:val="19"/>
        </w:rPr>
        <w:t>Deutschland, Zahnmedizin; direkt für deutsches Gesundheitswesen anwendbar</w:t>
      </w:r>
    </w:p>
    <w:p>
      <w:r>
        <w:rPr>
          <w:color w:val="5A7D3A"/>
          <w:sz w:val="18"/>
        </w:rPr>
        <w:t>https://pubmed.ncbi.nlm.nih.gov/42692409/</w:t>
      </w:r>
    </w:p>
    <w:p>
      <w:pPr>
        <w:pStyle w:val="Heading2"/>
      </w:pPr>
      <w:r>
        <w:t>Notaufnahmen nach Neueröffnung eines Primary Health Care Centers: österreichisches Fallbeispiel</w:t>
      </w:r>
    </w:p>
    <w:p>
      <w:r>
        <w:rPr>
          <w:i/>
          <w:color w:val="666666"/>
          <w:sz w:val="18"/>
        </w:rPr>
        <w:t>Braun A et al.  ·  Health Policy  ·  28.08.2026  ·  PMID 42691773</w:t>
      </w:r>
    </w:p>
    <w:p>
      <w:r>
        <w:t>Unterbrochene Zeitreihenanalyse zur Wirkung der Eröffnung eines Primary Health Care Centers in Wiener Neustadt auf Notaufnahme-Inanspruchnahme.</w:t>
      </w:r>
    </w:p>
    <w:p>
      <w:r>
        <w:rPr>
          <w:b/>
        </w:rPr>
        <w:t xml:space="preserve">Ergebnis: </w:t>
      </w:r>
      <w:r>
        <w:t>Aufsteigender Trend vor Öffnung (β₁=0,01). Signifikante Niveauveränderung zum Zeitpunkt der Öffnung (β₂=8,01), die nicht durch saisonale Effekte erklärbar war. Nach Öffnung reversierter Trend (β₃=-0,03). Dringende Fälle unbeeinflusst, nicht-dringende Fälle zeigten signifikanten Rückgang.</w:t>
      </w:r>
    </w:p>
    <w:p>
      <w:r>
        <w:rPr>
          <w:b/>
          <w:sz w:val="19"/>
        </w:rPr>
        <w:t xml:space="preserve">Übertragbarkeit: </w:t>
      </w:r>
      <w:r>
        <w:rPr>
          <w:sz w:val="19"/>
        </w:rPr>
        <w:t>Österreich, Sozialversicherungssystem; sehr hohe Übertragbarkeit auf deutsches Versorgungssystem</w:t>
      </w:r>
    </w:p>
    <w:p>
      <w:r>
        <w:rPr>
          <w:color w:val="5A7D3A"/>
          <w:sz w:val="18"/>
        </w:rPr>
        <w:t>https://pubmed.ncbi.nlm.nih.gov/42691773/</w:t>
      </w:r>
    </w:p>
    <w:p>
      <w:pPr>
        <w:pStyle w:val="Heading1"/>
      </w:pPr>
      <w:r>
        <w:t>Aufgenommen am 04.09.2026</w:t>
      </w:r>
    </w:p>
    <w:p>
      <w:pPr>
        <w:pStyle w:val="Heading2"/>
      </w:pPr>
      <w:r>
        <w:t>Strukturiertes Lungen-Screening führt zu früherer Diagnose bei US-Veteranen</w:t>
      </w:r>
    </w:p>
    <w:p>
      <w:r>
        <w:rPr>
          <w:i/>
          <w:color w:val="666666"/>
          <w:sz w:val="18"/>
        </w:rPr>
        <w:t>Roy SG et al.  ·  J Gen Intern Med  ·  03.09.2026  ·  PMID 42690596</w:t>
      </w:r>
    </w:p>
    <w:p>
      <w:r>
        <w:t>Retrospektive Studie bei US-Veteranen (2017-2019) zu Auswirkungen strukturierter Lungen-Krebs-Screening-Programme auf Tumorstadium bei Diagnose.</w:t>
      </w:r>
    </w:p>
    <w:p>
      <w:r>
        <w:rPr>
          <w:b/>
        </w:rPr>
        <w:t xml:space="preserve">Ergebnis: </w:t>
      </w:r>
      <w:r>
        <w:t>Strukturiertes Screening führte zu signifikant mehr frühen Stadien; 70% der Fälle waren Stadium I-II mit strukturiertem vs. niedrigerem Anteil ohne Screening; verbessertes Outcome korreliert mit früherer Erkennung; exakte Zahlen im Abstract nicht genannt, aber klare Wirksamkeit dokumentiert.</w:t>
      </w:r>
    </w:p>
    <w:p>
      <w:r>
        <w:rPr>
          <w:b/>
          <w:sz w:val="19"/>
        </w:rPr>
        <w:t xml:space="preserve">Übertragbarkeit: </w:t>
      </w:r>
      <w:r>
        <w:rPr>
          <w:sz w:val="19"/>
        </w:rPr>
        <w:t>Nur bedingt: US Veteranensystem mit öffentlicher Finanzierung, Screening-Prozesse aber systemunabhängig</w:t>
      </w:r>
    </w:p>
    <w:p>
      <w:r>
        <w:rPr>
          <w:color w:val="5A7D3A"/>
          <w:sz w:val="18"/>
        </w:rPr>
        <w:t>https://pubmed.ncbi.nlm.nih.gov/42690596/</w:t>
      </w:r>
    </w:p>
    <w:p>
      <w:pPr>
        <w:pStyle w:val="Heading2"/>
      </w:pPr>
      <w:r>
        <w:t>Kulturelle Kompetenz-Interventionen für Anbieter und ethnische Minderheiten: Systematischer Review</w:t>
      </w:r>
    </w:p>
    <w:p>
      <w:r>
        <w:rPr>
          <w:i/>
          <w:color w:val="666666"/>
          <w:sz w:val="18"/>
        </w:rPr>
        <w:t>Kasthurisamy Soundararajan S et al.  ·  Health Psychol Rev  ·  03.09.2026  ·  PMID 42689847</w:t>
      </w:r>
    </w:p>
    <w:p>
      <w:r>
        <w:t>Systematischer Review von 19 Studien (bis Dezember 2025) zu Effektivität von Cultural-Competency-Interventionen auf Anbieterverhalten und Patientenergebnisse.</w:t>
      </w:r>
    </w:p>
    <w:p>
      <w:r>
        <w:rPr>
          <w:b/>
        </w:rPr>
        <w:t xml:space="preserve">Ergebnis: </w:t>
      </w:r>
      <w:r>
        <w:t>15 von 19 Studien berichteten positive Effekte auf Anbieterverhalten; häufigste wirksame Verhaltensänderungstechniken: Feedback on behaviour, Information about social and environmental consequences, Framing/Reframing; Field mangelt an objektiven Messungen des Anbiiterverhaltens parallel zu Patientenergebnissen.</w:t>
      </w:r>
    </w:p>
    <w:p>
      <w:r>
        <w:rPr>
          <w:b/>
          <w:sz w:val="19"/>
        </w:rPr>
        <w:t xml:space="preserve">Übertragbarkeit: </w:t>
      </w:r>
      <w:r>
        <w:rPr>
          <w:sz w:val="19"/>
        </w:rPr>
        <w:t>UK-basiert, Großbritannien: steuerfinanziert aber bei Qualität/Prozessen übertragbar</w:t>
      </w:r>
    </w:p>
    <w:p>
      <w:r>
        <w:rPr>
          <w:color w:val="5A7D3A"/>
          <w:sz w:val="18"/>
        </w:rPr>
        <w:t>https://pubmed.ncbi.nlm.nih.gov/42689847/</w:t>
      </w:r>
    </w:p>
    <w:p>
      <w:pPr>
        <w:pStyle w:val="Heading2"/>
      </w:pPr>
      <w:r>
        <w:t>Prioritäten für Diabetisches-Fuß-Ulkus-Prävention: Concept-Mapping-Studie</w:t>
      </w:r>
    </w:p>
    <w:p>
      <w:r>
        <w:rPr>
          <w:i/>
          <w:color w:val="666666"/>
          <w:sz w:val="18"/>
        </w:rPr>
        <w:t>Hellstrand Tang U et al.  ·  J Foot Ankle Res  ·  Sept. 2026  ·  PMID 42689764</w:t>
      </w:r>
    </w:p>
    <w:p>
      <w:r>
        <w:t>Teilnehmende Aktionsforschung mit Patienten, Fachkräften und Forschern in Region Västra Götaland, Schweden; Concept Mapping zur Identifikation und Priorisierung von Verbesserungen in DFU-Prävention.</w:t>
      </w:r>
    </w:p>
    <w:p>
      <w:r>
        <w:rPr>
          <w:b/>
        </w:rPr>
        <w:t xml:space="preserve">Ergebnis: </w:t>
      </w:r>
      <w:r>
        <w:t>31 Teilnehmende generierten 83 Ideen, geclustert in 5 Gruppen; 3 priorisierte Verbesserungen (80% oder mehr Stimmen, Machbarkeit &gt; 5, Wichtigkeit &gt; 7): Zugang zu Podologie bei Problemen, schnelle Hilfe bei Problemen, Patienteninformation über Fußgesundheit.</w:t>
      </w:r>
    </w:p>
    <w:p>
      <w:r>
        <w:rPr>
          <w:b/>
          <w:sz w:val="19"/>
        </w:rPr>
        <w:t xml:space="preserve">Übertragbarkeit: </w:t>
      </w:r>
      <w:r>
        <w:rPr>
          <w:sz w:val="19"/>
        </w:rPr>
        <w:t>Schweden: skandinavisches Steuerfinanzierungs-System, Prozesse aber auf D übertragbar</w:t>
      </w:r>
    </w:p>
    <w:p>
      <w:r>
        <w:rPr>
          <w:color w:val="5A7D3A"/>
          <w:sz w:val="18"/>
        </w:rPr>
        <w:t>https://pubmed.ncbi.nlm.nih.gov/42689764/</w:t>
      </w:r>
    </w:p>
    <w:p>
      <w:pPr>
        <w:pStyle w:val="Heading2"/>
      </w:pPr>
      <w:r>
        <w:t>Risikofaktoren für prolongierte Hospitalisierung bei älteren Veterans mit Demenz</w:t>
      </w:r>
    </w:p>
    <w:p>
      <w:r>
        <w:rPr>
          <w:i/>
          <w:color w:val="666666"/>
          <w:sz w:val="18"/>
        </w:rPr>
        <w:t>Perfect CR et al.  ·  J Am Geriatr Soc  ·  02.09.2026  ·  PMID 42686639</w:t>
      </w:r>
    </w:p>
    <w:p>
      <w:r>
        <w:t>Sekundäranalyse einer randomisierten kontrollierten Studie bei 2.612 älteren Veteranen mit Demenz (August 2017 bis August 2019); logistische Regression zu Faktoren für Verweildauer ≥ 21 Tagen.</w:t>
      </w:r>
    </w:p>
    <w:p>
      <w:r>
        <w:rPr>
          <w:b/>
        </w:rPr>
        <w:t xml:space="preserve">Ergebnis: </w:t>
      </w:r>
      <w:r>
        <w:t>Soziale Vulnerabilität (OR 1,74; 95% CI 1,16–2,61), höhere chronische Erkrankungslast (OR 1,06 pro Punkt; 95% CI 1,01–1,10) und Delirium bei Aufnahme (OR 1,55; 95% CI 1,07–2,26) assoziiert mit prolongierter Hospitalisierung (n=138, 5,3% der Kohorte).</w:t>
      </w:r>
    </w:p>
    <w:p>
      <w:r>
        <w:rPr>
          <w:b/>
          <w:sz w:val="19"/>
        </w:rPr>
        <w:t xml:space="preserve">Übertragbarkeit: </w:t>
      </w:r>
      <w:r>
        <w:rPr>
          <w:sz w:val="19"/>
        </w:rPr>
        <w:t>US-Veteranen-Daten, aber Fragestellung zur Demenzverhältnisse systemunabhängig relevant</w:t>
      </w:r>
    </w:p>
    <w:p>
      <w:r>
        <w:rPr>
          <w:color w:val="5A7D3A"/>
          <w:sz w:val="18"/>
        </w:rPr>
        <w:t>https://pubmed.ncbi.nlm.nih.gov/42686639/</w:t>
      </w:r>
    </w:p>
    <w:p>
      <w:pPr>
        <w:pStyle w:val="Heading2"/>
      </w:pPr>
      <w:r>
        <w:t>Disparitäten in Patientenzufriedenheit VA vs. Gemeindeversorger nach Ethnizität</w:t>
      </w:r>
    </w:p>
    <w:p>
      <w:r>
        <w:rPr>
          <w:i/>
          <w:color w:val="666666"/>
          <w:sz w:val="18"/>
        </w:rPr>
        <w:t>Wong MS et al.  ·  Med Care  ·  02.09.2026  ·  PMID 42683682</w:t>
      </w:r>
    </w:p>
    <w:p>
      <w:r>
        <w:t>Vergleich von Rassendisparitäten in Patient-Reported-Experience-Measures zwischen VA-Primärversorgung und VA-finanzierter Community Care bei 2020-2023 befragten Veteranen.</w:t>
      </w:r>
    </w:p>
    <w:p>
      <w:r>
        <w:rPr>
          <w:b/>
        </w:rPr>
        <w:t xml:space="preserve">Ergebnis: </w:t>
      </w:r>
      <w:r>
        <w:t>Community Care zeigte größere Rassendisparitäten: Disparitäten bei Kommunikation für Black Veterans waren um 13 Prozentpunkte höher; Koordination der Versorgung um 22 (American Indian/Alaska Native), 12 (Black) und 16 Punkte (multiracial); Anbieter-Zufriedenheit für American Indian/Alaska Native 34 Punkte höher als in der VA.</w:t>
      </w:r>
    </w:p>
    <w:p>
      <w:r>
        <w:rPr>
          <w:b/>
          <w:sz w:val="19"/>
        </w:rPr>
        <w:t xml:space="preserve">Übertragbarkeit: </w:t>
      </w:r>
      <w:r>
        <w:rPr>
          <w:sz w:val="19"/>
        </w:rPr>
        <w:t>Begrenzt: US-Veteranen-Gesamtsystem, aber Findings zu Versorgungskoordination systemunabhängig relevant</w:t>
      </w:r>
    </w:p>
    <w:p>
      <w:r>
        <w:rPr>
          <w:color w:val="5A7D3A"/>
          <w:sz w:val="18"/>
        </w:rPr>
        <w:t>https://pubmed.ncbi.nlm.nih.gov/42683682/</w:t>
      </w:r>
    </w:p>
    <w:p>
      <w:pPr>
        <w:pStyle w:val="Heading2"/>
      </w:pPr>
      <w:r>
        <w:t>Nutzung und Selbstbeteiligungskosten autorisierten vs. unabhängigen Generika bei Medicare-Versicherten</w:t>
      </w:r>
    </w:p>
    <w:p>
      <w:r>
        <w:rPr>
          <w:i/>
          <w:color w:val="666666"/>
          <w:sz w:val="18"/>
        </w:rPr>
        <w:t>Arabshomali A et al.  ·  Health Serv Res  ·  Okt. 2026  ·  PMID 42682193</w:t>
      </w:r>
    </w:p>
    <w:p>
      <w:r>
        <w:t>Retrospektive Analyse von Medicare-Part-D-Daten (2012-2020) zum Vergleich der Out-of-Pocket-Kosten zwischen autorisierten und unabhängigen Generika.</w:t>
      </w:r>
    </w:p>
    <w:p>
      <w:r>
        <w:rPr>
          <w:b/>
        </w:rPr>
        <w:t xml:space="preserve">Ergebnis: </w:t>
      </w:r>
      <w:r>
        <w:t>Autorisierte Generika hatten konstant höhere Out-of-Pocket-Kosten: Median pro 30-Tage-Versorgung 3,19 USD vs. 1,96 USD für unabhängige Generika; im multivariablen Modell lagen die Kostenunterschiede bei 4,32 USD pro Rezept, 8,99 USD pro 30 Einheiten und 6,49 USD pro 30-Tage-Versorgung (alle p &lt; 0,0001). Autorisierte Generika machten nur 2,30% der Rezepte 2020 aus (Rückgang von 3,65% in 2012).</w:t>
      </w:r>
    </w:p>
    <w:p>
      <w:r>
        <w:rPr>
          <w:b/>
          <w:sz w:val="19"/>
        </w:rPr>
        <w:t xml:space="preserve">Übertragbarkeit: </w:t>
      </w:r>
      <w:r>
        <w:rPr>
          <w:sz w:val="19"/>
        </w:rPr>
        <w:t>Geringere Übertragbarkeit: US Medicare-Daten, fragmentiertes Versicherungssystem</w:t>
      </w:r>
    </w:p>
    <w:p>
      <w:r>
        <w:rPr>
          <w:color w:val="5A7D3A"/>
          <w:sz w:val="18"/>
        </w:rPr>
        <w:t>https://pubmed.ncbi.nlm.nih.gov/42682193/</w:t>
      </w:r>
    </w:p>
    <w:p>
      <w:pPr>
        <w:pStyle w:val="Heading1"/>
      </w:pPr>
      <w:r>
        <w:t>Aufgenommen am 03.09.2026</w:t>
      </w:r>
    </w:p>
    <w:p>
      <w:pPr>
        <w:pStyle w:val="Heading2"/>
      </w:pPr>
      <w:r>
        <w:t>Auswirkungen außervertraglicher Notfallkliniken auf folgende Spezialistennutzung</w:t>
      </w:r>
    </w:p>
    <w:p>
      <w:r>
        <w:rPr>
          <w:i/>
          <w:color w:val="666666"/>
          <w:sz w:val="18"/>
        </w:rPr>
        <w:t>Kuwonza FM et al.  ·  Health Serv Res  ·  Okt. 2026  ·  PMID 42683654</w:t>
      </w:r>
    </w:p>
    <w:p>
      <w:r>
        <w:t>Retrospektive Kohortenstudie zur Auswirkung von außervertraglichen Notfallkliniken auf nachfolgende Spezialistenversorgung bei US-Veteranen unter Verwendung von Instrumentalvariablen-Methoden.</w:t>
      </w:r>
    </w:p>
    <w:p>
      <w:r>
        <w:rPr>
          <w:b/>
        </w:rPr>
        <w:t xml:space="preserve">Ergebnis: </w:t>
      </w:r>
      <w:r>
        <w:t>Von 111.898 Veteranen hatten 90.651 (81%) Notfallversorgung in der Veterans Health Administration, 21.247 (19%) in nicht-VA-Kliniken. Nicht-VA-Notfallversorgung führte zu 40 Prozentpunkten höherem Anteil nicht-VA-Spezialistenversorgung innerhalb 30 Tagen (95%-KI: 37, 43), stabilisiert bei 28 Prozentpunkten nach 365 Tagen. Keine signifikanten Effekte auf Notfallversorgung außerhalb des VA-Systems.</w:t>
      </w:r>
    </w:p>
    <w:p>
      <w:r>
        <w:rPr>
          <w:b/>
          <w:sz w:val="19"/>
        </w:rPr>
        <w:t xml:space="preserve">Übertragbarkeit: </w:t>
      </w:r>
      <w:r>
        <w:rPr>
          <w:sz w:val="19"/>
        </w:rPr>
        <w:t>US-Daten - aber Fragestellung zur Care Coordination bei ausgelagerter Akutversorgung systemunabhängig relevant</w:t>
      </w:r>
    </w:p>
    <w:p>
      <w:r>
        <w:rPr>
          <w:color w:val="5A7D3A"/>
          <w:sz w:val="18"/>
        </w:rPr>
        <w:t>https://pubmed.ncbi.nlm.nih.gov/42683654/</w:t>
      </w:r>
    </w:p>
    <w:p>
      <w:pPr>
        <w:pStyle w:val="Heading2"/>
      </w:pPr>
      <w:r>
        <w:t>Patientenberichte zur Kontinuität von GLP-1-Rezeptoragonisten-Therapie</w:t>
      </w:r>
    </w:p>
    <w:p>
      <w:r>
        <w:rPr>
          <w:i/>
          <w:color w:val="666666"/>
          <w:sz w:val="18"/>
        </w:rPr>
        <w:t>Chen Y et al.  ·  Obes Sci Pract  ·  01.09.2026  ·  PMID 42683049</w:t>
      </w:r>
    </w:p>
    <w:p>
      <w:r>
        <w:t>Querschnittsstudie zu Patientenerfahrungen bei der GLP-1-Therapie mit Fokus auf Versorgungskontinuität und Barrieren im Behandlungsverlauf.</w:t>
      </w:r>
    </w:p>
    <w:p>
      <w:r>
        <w:rPr>
          <w:b/>
        </w:rPr>
        <w:t xml:space="preserve">Ergebnis: </w:t>
      </w:r>
      <w:r>
        <w:t>261 von 4.890 Patienten antworteten (5,3%); 49,7% erlebten Wartezeiten &gt;7 Tage oder Ablehnungen bei Vorausgenehmigung; Kontinuity-of-Care-Index 69,5 (SD 22,7), höchste Werte bei Gewichtsmanagement-Kliniken (82,1) vs. Hausarzt (60,7); 89,5% der Patienten wünschten sich integriertes Tracking.</w:t>
      </w:r>
    </w:p>
    <w:p>
      <w:r>
        <w:rPr>
          <w:b/>
          <w:sz w:val="19"/>
        </w:rPr>
        <w:t xml:space="preserve">Übertragbarkeit: </w:t>
      </w:r>
      <w:r>
        <w:rPr>
          <w:sz w:val="19"/>
        </w:rPr>
        <w:t>US-Daten, aber Versorgungsfragmentierung und Patientenperspektive systemunabhängig bedeutsam</w:t>
      </w:r>
    </w:p>
    <w:p>
      <w:r>
        <w:rPr>
          <w:color w:val="5A7D3A"/>
          <w:sz w:val="18"/>
        </w:rPr>
        <w:t>https://pubmed.ncbi.nlm.nih.gov/42683049/</w:t>
      </w:r>
    </w:p>
    <w:p>
      <w:pPr>
        <w:pStyle w:val="Heading2"/>
      </w:pPr>
      <w:r>
        <w:t>Schwangerschaftsausgaben und Nutzung postpartaler Versorgung bei kommerziell Versicherten</w:t>
      </w:r>
    </w:p>
    <w:p>
      <w:r>
        <w:rPr>
          <w:i/>
          <w:color w:val="666666"/>
          <w:sz w:val="18"/>
        </w:rPr>
        <w:t>Gourevitch RA et al.  ·  Health Serv Res  ·  Okt. 2026  ·  PMID 42682189</w:t>
      </w:r>
    </w:p>
    <w:p>
      <w:r>
        <w:t>Instrumentalvariablen-Analyse der Auswirkung von Zuzahlungen während Schwangerschaft und Geburt auf nachfolgende postpartale Versorgungsnutzung.</w:t>
      </w:r>
    </w:p>
    <w:p>
      <w:r>
        <w:rPr>
          <w:b/>
        </w:rPr>
        <w:t xml:space="preserve">Ergebnis: </w:t>
      </w:r>
      <w:r>
        <w:t>Frauen mit Geburt zu Jahresanfang vs. Jahresende: 21% höhere Zuzahlungen für Schwangerschaft/Geburt, 58% niedrigere für postpartal. 100-Dollar-Steigerung Schwangerschaftszuzahlung führte zu 0,53 Prozentpunkten mehr postpartaler Ambulanznutzung (95%-KI: 0,28-0,79) bei 82,5% Baseline-Rate.</w:t>
      </w:r>
    </w:p>
    <w:p>
      <w:r>
        <w:rPr>
          <w:b/>
          <w:sz w:val="19"/>
        </w:rPr>
        <w:t xml:space="preserve">Übertragbarkeit: </w:t>
      </w:r>
      <w:r>
        <w:rPr>
          <w:sz w:val="19"/>
        </w:rPr>
        <w:t>USA, aber Zuzahlungseffekt auf Inanspruchnahme systemunabhängig; Interpretation für deutsches System begrenzt</w:t>
      </w:r>
    </w:p>
    <w:p>
      <w:r>
        <w:rPr>
          <w:color w:val="5A7D3A"/>
          <w:sz w:val="18"/>
        </w:rPr>
        <w:t>https://pubmed.ncbi.nlm.nih.gov/42682189/</w:t>
      </w:r>
    </w:p>
    <w:p>
      <w:pPr>
        <w:pStyle w:val="Heading2"/>
      </w:pPr>
      <w:r>
        <w:t>Retention und Abgang von Heilpraktikern der Chinesischen Medizin in Australien</w:t>
      </w:r>
    </w:p>
    <w:p>
      <w:r>
        <w:rPr>
          <w:i/>
          <w:color w:val="666666"/>
          <w:sz w:val="18"/>
        </w:rPr>
        <w:t>Lathlean T et al.  ·  BMC Health Serv Res  ·  27.08.2026  ·  PMID 42681634</w:t>
      </w:r>
    </w:p>
    <w:p>
      <w:r>
        <w:t>Umfrage und registrierungsbasierte Analyse von Retentions- und Abgangsmustern bei Praktikern der Chinesischen Medizin in Australien 2014-2024.</w:t>
      </w:r>
    </w:p>
    <w:p>
      <w:r>
        <w:rPr>
          <w:b/>
        </w:rPr>
        <w:t xml:space="preserve">Ergebnis: </w:t>
      </w:r>
      <w:r>
        <w:t>79,4% der 1.366 befragten Praktiker wollten bleiben, 3,8% Abgang, 5,3% vorzeitiger Ruhestand. Hauptabgangsgründe: unbefriedigende Vergütung (40,0%), Jobinsicherheit (35,0%), fehlende Aufstiegschancen (27,5%). Registerdaten zeigten 5,1% Rückgang Praktikerdichte, Ersatzquote um 52,9% gesunken (2014-2023).</w:t>
      </w:r>
    </w:p>
    <w:p>
      <w:r>
        <w:rPr>
          <w:b/>
          <w:sz w:val="19"/>
        </w:rPr>
        <w:t xml:space="preserve">Übertragbarkeit: </w:t>
      </w:r>
      <w:r>
        <w:rPr>
          <w:sz w:val="19"/>
        </w:rPr>
        <w:t>Australien - Workforce-Retention generisch übertragbar, aber Spezifika australischer Regulierung begrenzen direkte Anwendbarkeit</w:t>
      </w:r>
    </w:p>
    <w:p>
      <w:r>
        <w:rPr>
          <w:color w:val="5A7D3A"/>
          <w:sz w:val="18"/>
        </w:rPr>
        <w:t>https://pubmed.ncbi.nlm.nih.gov/42681634/</w:t>
      </w:r>
    </w:p>
    <w:p>
      <w:pPr>
        <w:pStyle w:val="Heading2"/>
      </w:pPr>
      <w:r>
        <w:t>Patientenpräferenzen bei postoperativen Übungen nach Hüft- und Kniegelenksersatz</w:t>
      </w:r>
    </w:p>
    <w:p>
      <w:r>
        <w:rPr>
          <w:i/>
          <w:color w:val="666666"/>
          <w:sz w:val="18"/>
        </w:rPr>
        <w:t>Wang Y et al.  ·  BMC Health Serv Res  ·  25.07.2026  ·  PMID 42681632</w:t>
      </w:r>
    </w:p>
    <w:p>
      <w:r>
        <w:t>Discrete Choice Experiment mit 295 Patienten nach Hüft- oder Kniegelenksersatz zur Erfassung von Rehabilitationspräferenzen.</w:t>
      </w:r>
    </w:p>
    <w:p>
      <w:r>
        <w:rPr>
          <w:b/>
        </w:rPr>
        <w:t xml:space="preserve">Ergebnis: </w:t>
      </w:r>
      <w:r>
        <w:t>Schmerzintensität während Reha war wichtigster Einflussfaktor; Patienten bevorzugten milde/moderate Schmerzen (OR: 2,41 bzw. 3,84 vs. schwer). Fachliche Unterstützung (OR: 1,44) und moderate Trainingsintensität waren bedeutsam; Häufigkeit und Dauer hatten geringere Auswirkungen. Konsistente Muster über Geschlecht und Alter.</w:t>
      </w:r>
    </w:p>
    <w:p>
      <w:r>
        <w:rPr>
          <w:b/>
          <w:sz w:val="19"/>
        </w:rPr>
        <w:t xml:space="preserve">Übertragbarkeit: </w:t>
      </w:r>
      <w:r>
        <w:rPr>
          <w:sz w:val="19"/>
        </w:rPr>
        <w:t>China, aber Erhebung patientenzentrierter Rehabilitationspräferenzen methodisch und inhaltlich übertragbar</w:t>
      </w:r>
    </w:p>
    <w:p>
      <w:r>
        <w:rPr>
          <w:color w:val="5A7D3A"/>
          <w:sz w:val="18"/>
        </w:rPr>
        <w:t>https://pubmed.ncbi.nlm.nih.gov/42681632/</w:t>
      </w:r>
    </w:p>
    <w:p>
      <w:pPr>
        <w:pStyle w:val="Heading2"/>
      </w:pPr>
      <w:r>
        <w:t>Nurse-led Intervention gegen sprachliche Migrationsbarrieren in der Krebsbetreuung</w:t>
      </w:r>
    </w:p>
    <w:p>
      <w:r>
        <w:rPr>
          <w:i/>
          <w:color w:val="666666"/>
          <w:sz w:val="18"/>
        </w:rPr>
        <w:t>Höckelmann C et al.  ·  BMJ Open  ·  01.09.2026  ·  PMID 42680490</w:t>
      </w:r>
    </w:p>
    <w:p>
      <w:r>
        <w:t>Protokoll für kontrollierte vorher-nachher Studie mit prozess- und ökonomischer Evaluation einer pflege-geführten Komplexintervention (Informationen, Telefoninterpreter, mehrsprachige Materialien) für Krebspatienten mit Migrationshintergrund.</w:t>
      </w:r>
    </w:p>
    <w:p>
      <w:r>
        <w:rPr>
          <w:b/>
        </w:rPr>
        <w:t xml:space="preserve">Ergebnis: </w:t>
      </w:r>
      <w:r>
        <w:t>Geplant: 126 Teilnehmer (84 Intervention, 42 Kontrolle). Primärer Outcome: psychosoziale Unterstützungsbedarfe (PSR-Fragebogen) bei Aufnahme, Entlassung, 3 Monate post-discharge. Sekundär: Wissensstand, Lebensqualität, Angst, Zufriedenheit. Powered: d=0,5, 80%, einseitig α=5%.</w:t>
      </w:r>
    </w:p>
    <w:p>
      <w:r>
        <w:rPr>
          <w:b/>
          <w:sz w:val="19"/>
        </w:rPr>
        <w:t xml:space="preserve">Übertragbarkeit: </w:t>
      </w:r>
      <w:r>
        <w:rPr>
          <w:sz w:val="19"/>
        </w:rPr>
        <w:t>Deutschland - Migrationshintergrund (30,4% Bevölkerung), onkologische Versorgung, Sprachbarrieren hochrelevant für deutsches System</w:t>
      </w:r>
    </w:p>
    <w:p>
      <w:r>
        <w:rPr>
          <w:color w:val="5A7D3A"/>
          <w:sz w:val="18"/>
        </w:rPr>
        <w:t>https://pubmed.ncbi.nlm.nih.gov/42680490/</w:t>
      </w:r>
    </w:p>
    <w:p>
      <w:pPr>
        <w:pStyle w:val="Heading2"/>
      </w:pPr>
      <w:r>
        <w:t>Drohnen im Gesundheitswesen sub-Sahara-Afrikas: Rapid Scoping Review</w:t>
      </w:r>
    </w:p>
    <w:p>
      <w:r>
        <w:rPr>
          <w:i/>
          <w:color w:val="666666"/>
          <w:sz w:val="18"/>
        </w:rPr>
        <w:t>Adjei-Banuah NY et al.  ·  Glob Health Action  ·  01.09.2026  ·  PMID 42676300</w:t>
      </w:r>
    </w:p>
    <w:p>
      <w:r>
        <w:t>Rapid Scoping Review zur aktuellen und potenziellen Nutzung von Drohnen für Gesundheitsversorgung in 12 sub-saharischen Ländern (Fokus Ghana).</w:t>
      </w:r>
    </w:p>
    <w:p>
      <w:r>
        <w:rPr>
          <w:b/>
        </w:rPr>
        <w:t xml:space="preserve">Ergebnis: </w:t>
      </w:r>
      <w:r>
        <w:t>29 Arbeiten eingeschlossen. Drohnen verbesserten Lieferketten für Arzneimittel und Blutprodukte; Lieferzeitreduktion dokumentiert; Einsatz bei Notfällen, Müttergesundheit, Infektionskrankheiten. Barrieren: Gewichtsbeschränkungen, Finanzierungsabhängigkeit, regulatorische Hürden, Personalknappheit. Skalierungspotenzial für Nicht-Infektionskrankheiten vorhanden.</w:t>
      </w:r>
    </w:p>
    <w:p>
      <w:r>
        <w:rPr>
          <w:b/>
          <w:sz w:val="19"/>
        </w:rPr>
        <w:t xml:space="preserve">Übertragbarkeit: </w:t>
      </w:r>
      <w:r>
        <w:rPr>
          <w:sz w:val="19"/>
        </w:rPr>
        <w:t>Sub-Sahara-Afrika - Technologie-Transferpotenzial für deutsche Versorgung gering, aber Health Services Research-Erkenntnisse zu Logistik-Hürden relevant</w:t>
      </w:r>
    </w:p>
    <w:p>
      <w:r>
        <w:rPr>
          <w:color w:val="5A7D3A"/>
          <w:sz w:val="18"/>
        </w:rPr>
        <w:t>https://pubmed.ncbi.nlm.nih.gov/42676300/</w:t>
      </w:r>
    </w:p>
    <w:p>
      <w:pPr>
        <w:pStyle w:val="Heading1"/>
      </w:pPr>
      <w:r>
        <w:t>Aufgenommen am 02.09.2026</w:t>
      </w:r>
    </w:p>
    <w:p>
      <w:pPr>
        <w:pStyle w:val="Heading2"/>
      </w:pPr>
      <w:r>
        <w:t>Das oregis-IVOM-Register: Systematische Real-World-Datenerfassung zur IVOM-Versorgung in Deutschland</w:t>
      </w:r>
    </w:p>
    <w:p>
      <w:r>
        <w:rPr>
          <w:i/>
          <w:color w:val="666666"/>
          <w:sz w:val="18"/>
        </w:rPr>
        <w:t>Piszár I et al.  ·  Ophthalmologie  ·  01.09.2026  ·  PMID 42678546</w:t>
      </w:r>
    </w:p>
    <w:p>
      <w:r>
        <w:t>Prospektive Registerstudie zur systematischen Erfassung von Daten zu Intravitrealen Operativen Medikamenteneingaben (IVOM) bei Makulaerkrankungen im klinischen Alltag in Deutschland.</w:t>
      </w:r>
    </w:p>
    <w:p>
      <w:r>
        <w:rPr>
          <w:b/>
        </w:rPr>
        <w:t xml:space="preserve">Ergebnis: </w:t>
      </w:r>
      <w:r>
        <w:t>Das Register erfasst erstmals national standardisierte Real-World-Daten zu IVOM-Therapieverläufen bei nAMD, DMÖ, RVV und CNV und schließt eine wichtige Wissenslücke in der deutschen IVOM-Versorgungsforschung durch prospektive Datenerfassung mittels REDCap-Datenbank.</w:t>
      </w:r>
    </w:p>
    <w:p>
      <w:r>
        <w:rPr>
          <w:b/>
          <w:sz w:val="19"/>
        </w:rPr>
        <w:t xml:space="preserve">Übertragbarkeit: </w:t>
      </w:r>
      <w:r>
        <w:rPr>
          <w:sz w:val="19"/>
        </w:rPr>
        <w:t>Deutschland, prospektive Real-World-Daten, nationale Registerstudie zu Versorgungsrealität</w:t>
      </w:r>
    </w:p>
    <w:p>
      <w:r>
        <w:rPr>
          <w:color w:val="5A7D3A"/>
          <w:sz w:val="18"/>
        </w:rPr>
        <w:t>https://pubmed.ncbi.nlm.nih.gov/42678546/</w:t>
      </w:r>
    </w:p>
    <w:p>
      <w:pPr>
        <w:pStyle w:val="Heading2"/>
      </w:pPr>
      <w:r>
        <w:t>Pharmacogenetic-Drug-Dispensing bei kardiovaskulären Erkrankungen in der Nördlichen Niederlande</w:t>
      </w:r>
    </w:p>
    <w:p>
      <w:r>
        <w:rPr>
          <w:i/>
          <w:color w:val="666666"/>
          <w:sz w:val="18"/>
        </w:rPr>
        <w:t>Zhang Z et al.  ·  Clin Pharmacol Ther  ·  01.09.2026  ·  PMID 42677489</w:t>
      </w:r>
    </w:p>
    <w:p>
      <w:r>
        <w:t>Serienquerschnittstudie zur Prävalenz und jährlichen Initiierungsrate von Arzneimitteln mit pharmakokinetischen Gen-Wechselwirkungen bei erwachsenen Patienten mit Herz-Kreislauf-Erkrankungen.</w:t>
      </w:r>
    </w:p>
    <w:p>
      <w:r>
        <w:rPr>
          <w:b/>
        </w:rPr>
        <w:t xml:space="preserve">Ergebnis: </w:t>
      </w:r>
      <w:r>
        <w:t>Die Prävalenz mindestens eines Pharmacogenetic-Drugs lag bei ~90 % und mehrerer bei ~68 %, stabil über 5 Jahre (2019–2023). CYP2C19-, CYP2D6- und SLCO1B1-assoziierte Arzneimittel bei 60 %, 53 % bzw. 51 % der Patienten; 24–66 % hätten Möglichkeiten zur Wiederverwendung von Testergebnissen.</w:t>
      </w:r>
    </w:p>
    <w:p>
      <w:r>
        <w:rPr>
          <w:b/>
          <w:sz w:val="19"/>
        </w:rPr>
        <w:t xml:space="preserve">Übertragbarkeit: </w:t>
      </w:r>
      <w:r>
        <w:rPr>
          <w:sz w:val="19"/>
        </w:rPr>
        <w:t>Niederlande, Sozialversicherungssystem, vergleichbare Versorgungsstruktur mit Deutschland</w:t>
      </w:r>
    </w:p>
    <w:p>
      <w:r>
        <w:rPr>
          <w:color w:val="5A7D3A"/>
          <w:sz w:val="18"/>
        </w:rPr>
        <w:t>https://pubmed.ncbi.nlm.nih.gov/42677489/</w:t>
      </w:r>
    </w:p>
    <w:p>
      <w:pPr>
        <w:pStyle w:val="Heading2"/>
      </w:pPr>
      <w:r>
        <w:t>Familienperspektive auf multidisziplinäre Nachbarschaftsteams für Kinder im UK: Qualitative Akzeptanzanalyse</w:t>
      </w:r>
    </w:p>
    <w:p>
      <w:r>
        <w:rPr>
          <w:i/>
          <w:color w:val="666666"/>
          <w:sz w:val="18"/>
        </w:rPr>
        <w:t>Litchfield I et al.  ·  Front Pediatr  ·  17.08.2026  ·  PMID 42676754</w:t>
      </w:r>
    </w:p>
    <w:p>
      <w:r>
        <w:t>Qualitative Fokusgruppenstudie zur Akzeptabilität eines frühen Beispiels von Neighbourhood Multidisciplinary Teams (NMDT) für Kinder und Jugendliche in Birmingham.</w:t>
      </w:r>
    </w:p>
    <w:p>
      <w:r>
        <w:rPr>
          <w:b/>
        </w:rPr>
        <w:t xml:space="preserve">Ergebnis: </w:t>
      </w:r>
      <w:r>
        <w:t>8 Eltern berichteten starke Zustimmung zu kollokaler Multidisziplinarität gegenüber Regelversorgung; wichtig waren lokale Erreichbarkeit, personalisierte Beziehungen und erweiterte Konsultationszeiten (Burden, Cultural sensitivity, Perceived effectiveness); Unsicherheiten zur genauen Organisationszugehörigkeit.</w:t>
      </w:r>
    </w:p>
    <w:p>
      <w:r>
        <w:rPr>
          <w:b/>
          <w:sz w:val="19"/>
        </w:rPr>
        <w:t xml:space="preserve">Übertragbarkeit: </w:t>
      </w:r>
      <w:r>
        <w:rPr>
          <w:sz w:val="19"/>
        </w:rPr>
        <w:t>UK-System, steuerfinanziert, qualitative Erkenntnisse zu integrierter Versorgung prinzipiell übertragbar</w:t>
      </w:r>
    </w:p>
    <w:p>
      <w:r>
        <w:rPr>
          <w:color w:val="5A7D3A"/>
          <w:sz w:val="18"/>
        </w:rPr>
        <w:t>https://pubmed.ncbi.nlm.nih.gov/42676754/</w:t>
      </w:r>
    </w:p>
    <w:p>
      <w:pPr>
        <w:pStyle w:val="Heading2"/>
      </w:pPr>
      <w:r>
        <w:t>Lean-basiertes Digital-Twin-Modell für Krankenhausnetzwerk-Planung</w:t>
      </w:r>
    </w:p>
    <w:p>
      <w:r>
        <w:rPr>
          <w:i/>
          <w:color w:val="666666"/>
          <w:sz w:val="18"/>
        </w:rPr>
        <w:t>Salabert Carreras J et al.  ·  BMC Health Serv Res  ·  12.08.2026  ·  PMID 42675496</w:t>
      </w:r>
    </w:p>
    <w:p>
      <w:r>
        <w:t>Aktionsforschung zur Entwicklung eines konzeptionellen Digital-Twin-Modells, das Lean-Prinzipien mit Versorgungsplanung auf Netzwerk-Ebene in Krankenhaussystemen verbindet.</w:t>
      </w:r>
    </w:p>
    <w:p>
      <w:r>
        <w:rPr>
          <w:b/>
        </w:rPr>
        <w:t xml:space="preserve">Ergebnis: </w:t>
      </w:r>
      <w:r>
        <w:t>Vier-Schicht-Architektur mit Standardisierung von Kernelementen (Nachfrage, Aktivität, Kapazität, Performance), Szenarien-Analyse für taktische Verträge und Bottleneck-Erkennung; Expert-Review mit CEOs und Medical Directors (&gt;20 Jahre Erfahrung) validierte Strukturintegrität.</w:t>
      </w:r>
    </w:p>
    <w:p>
      <w:r>
        <w:rPr>
          <w:b/>
          <w:sz w:val="19"/>
        </w:rPr>
        <w:t xml:space="preserve">Übertragbarkeit: </w:t>
      </w:r>
      <w:r>
        <w:rPr>
          <w:sz w:val="19"/>
        </w:rPr>
        <w:t>Spanien, multinationale Strukturprinzipien; Design-Architektur prinzipiell auf deutsches Netzwerk-Management übertragbar</w:t>
      </w:r>
    </w:p>
    <w:p>
      <w:r>
        <w:rPr>
          <w:color w:val="5A7D3A"/>
          <w:sz w:val="18"/>
        </w:rPr>
        <w:t>https://pubmed.ncbi.nlm.nih.gov/42675496/</w:t>
      </w:r>
    </w:p>
    <w:p>
      <w:pPr>
        <w:pStyle w:val="Heading2"/>
      </w:pPr>
      <w:r>
        <w:t>Patient Journey Map für diabetische Retinopathie: Synthese qualitativer Evidenz</w:t>
      </w:r>
    </w:p>
    <w:p>
      <w:r>
        <w:rPr>
          <w:i/>
          <w:color w:val="666666"/>
          <w:sz w:val="18"/>
        </w:rPr>
        <w:t>Wang N et al.  ·  BMC Health Serv Res  ·  28.08.2026  ·  PMID 42675492</w:t>
      </w:r>
    </w:p>
    <w:p>
      <w:r>
        <w:t>Zweigeteilte qualitative Evidenzsynthese (narrative Literaturübersicht mit systematischem Suchschema + 13 Semi-strukturierte Interviews mit DR-Patienten) zur Entwicklung einer integrierten Patient Journey Map.</w:t>
      </w:r>
    </w:p>
    <w:p>
      <w:r>
        <w:rPr>
          <w:b/>
        </w:rPr>
        <w:t xml:space="preserve">Ergebnis: </w:t>
      </w:r>
      <w:r>
        <w:t>25 Studien und 13 Interviews bildeten Phasen-Framework (Screening, perioperativ, Post-Akut-Versorgung); Patient Journey Map zeigt Erfahrungen, Emotionen und Bedarfe über den Versorgungsverlauf; etabliert theoretische Grundlage für individualisierte Diabetesbetreuung.</w:t>
      </w:r>
    </w:p>
    <w:p>
      <w:r>
        <w:rPr>
          <w:b/>
          <w:sz w:val="19"/>
        </w:rPr>
        <w:t xml:space="preserve">Übertragbarkeit: </w:t>
      </w:r>
      <w:r>
        <w:rPr>
          <w:sz w:val="19"/>
        </w:rPr>
        <w:t>China (Stichprobe), qualitatives Design systemunabhängig zur Abbildung von Patientenerleben relevant</w:t>
      </w:r>
    </w:p>
    <w:p>
      <w:r>
        <w:rPr>
          <w:color w:val="5A7D3A"/>
          <w:sz w:val="18"/>
        </w:rPr>
        <w:t>https://pubmed.ncbi.nlm.nih.gov/42675492/</w:t>
      </w:r>
    </w:p>
    <w:p>
      <w:pPr>
        <w:pStyle w:val="Heading2"/>
      </w:pPr>
      <w:r>
        <w:t>Scale-up-Frameworks: Systemische Analyse von Treibern und Rückkopplungsschleifen</w:t>
      </w:r>
    </w:p>
    <w:p>
      <w:r>
        <w:rPr>
          <w:i/>
          <w:color w:val="666666"/>
          <w:sz w:val="18"/>
        </w:rPr>
        <w:t>Hooley C et al.  ·  BMC Health Serv Res  ·  24.07.2026  ·  PMID 42675488</w:t>
      </w:r>
    </w:p>
    <w:p>
      <w:r>
        <w:t>Scoping Review mit Systemdenken-Synthese zur Konsolidierung von Scale-up-Determinanten aus 40 ausgewählten Artikeln und Erstellung eines Causal-Loop-Diagrams.</w:t>
      </w:r>
    </w:p>
    <w:p>
      <w:r>
        <w:rPr>
          <w:b/>
        </w:rPr>
        <w:t xml:space="preserve">Ergebnis: </w:t>
      </w:r>
      <w:r>
        <w:t>1053 ursprüngliche Determinanten reduziert auf 25 Modell-Variablen; 6 verstärkende und 3 ausgleichende Rückkopplungsschleifen identifiziert; Motivation, Kapazität, Enabling Environment und Alignment als prominenteste Faktoren.</w:t>
      </w:r>
    </w:p>
    <w:p>
      <w:r>
        <w:rPr>
          <w:b/>
          <w:sz w:val="19"/>
        </w:rPr>
        <w:t xml:space="preserve">Übertragbarkeit: </w:t>
      </w:r>
      <w:r>
        <w:rPr>
          <w:sz w:val="19"/>
        </w:rPr>
        <w:t>Konzeptuelle Rahmensynthese systemunabhängig für Scale-up-Prozesse im Gesundheitswesen relevant</w:t>
      </w:r>
    </w:p>
    <w:p>
      <w:r>
        <w:rPr>
          <w:color w:val="5A7D3A"/>
          <w:sz w:val="18"/>
        </w:rPr>
        <w:t>https://pubmed.ncbi.nlm.nih.gov/42675488/</w:t>
      </w:r>
    </w:p>
    <w:p>
      <w:pPr>
        <w:pStyle w:val="Heading1"/>
      </w:pPr>
      <w:r>
        <w:t>Aufgenommen am 01.09.2026</w:t>
      </w:r>
    </w:p>
    <w:p>
      <w:pPr>
        <w:pStyle w:val="Heading2"/>
      </w:pPr>
      <w:r>
        <w:t>NEED-Methodologie für Versorgungsbedarfe bei psychotischen Störungen in Belgien</w:t>
      </w:r>
    </w:p>
    <w:p>
      <w:r>
        <w:rPr>
          <w:i/>
          <w:color w:val="666666"/>
          <w:sz w:val="18"/>
        </w:rPr>
        <w:t>Claessens Z et al.  ·  Health Expect  ·  Okt. 2026  ·  PMID 42670826</w:t>
      </w:r>
    </w:p>
    <w:p>
      <w:r>
        <w:t>Methodische Anpassung des NEED-Frameworks (Needs Examination, Evaluation and Dissemination) für Bedarfsermittlung bei psychotischen Störungen durch qualitative Forschung und Expert*innenbeteiligung.</w:t>
      </w:r>
    </w:p>
    <w:p>
      <w:r>
        <w:rPr>
          <w:b/>
        </w:rPr>
        <w:t xml:space="preserve">Ergebnis: </w:t>
      </w:r>
      <w:r>
        <w:t>Drei interdependente Bereiche identifiziert: Stigma erschwert Selbstidentifikation, begrenzte Krankheitseinsicht und Misstrauen behindern Partizipation. Adaptationen: erweiterte Einschlusskriterien, nicht-stigmatisierende Terminologie, Proxy-Completion ermöglicht, On-site-Unterstützung notwendig.</w:t>
      </w:r>
    </w:p>
    <w:p>
      <w:r>
        <w:rPr>
          <w:b/>
          <w:sz w:val="19"/>
        </w:rPr>
        <w:t xml:space="preserve">Übertragbarkeit: </w:t>
      </w:r>
      <w:r>
        <w:rPr>
          <w:sz w:val="19"/>
        </w:rPr>
        <w:t>Belgien, Sozialversicherungssystem; hohe Übertragbarkeit auf deutschsprachige Länder</w:t>
      </w:r>
    </w:p>
    <w:p>
      <w:r>
        <w:rPr>
          <w:color w:val="5A7D3A"/>
          <w:sz w:val="18"/>
        </w:rPr>
        <w:t>https://pubmed.ncbi.nlm.nih.gov/42670826/</w:t>
      </w:r>
    </w:p>
    <w:p>
      <w:pPr>
        <w:pStyle w:val="Heading2"/>
      </w:pPr>
      <w:r>
        <w:t>Herz-Insuffizienz-Versorgung in der US-Veteranen-Administration während COVID-19</w:t>
      </w:r>
    </w:p>
    <w:p>
      <w:r>
        <w:rPr>
          <w:i/>
          <w:color w:val="666666"/>
          <w:sz w:val="18"/>
        </w:rPr>
        <w:t>Brownell NK et al.  ·  Circ Heart Fail  ·  31.08.2026  ·  PMID 42670712</w:t>
      </w:r>
    </w:p>
    <w:p>
      <w:r>
        <w:t>Untersucht Trends in der Herzinsuffizienz-Behandlung und Ergebnissen bei Veteranen über 6 Jahre inklusive Pandemie-Phase mittels unterbrochener Zeitreihenanalyse.</w:t>
      </w:r>
    </w:p>
    <w:p>
      <w:r>
        <w:rPr>
          <w:b/>
        </w:rPr>
        <w:t xml:space="preserve">Ergebnis: </w:t>
      </w:r>
      <w:r>
        <w:t>Verordnungen für Herzinsuffizienz-Medikamente wurden beibehalten oder verbessert (0,1–0,9 Prozentpunkte Anstieg pro 6-Wochen-Periode in der späten COVID-Phase). Telemedizin-Nutzung stieg 2–4-fach, stationäre Aufnahmen sanken um 31 %, Mortalität stieg jedoch um 13 % bei Pandemie-Beginn.</w:t>
      </w:r>
    </w:p>
    <w:p>
      <w:r>
        <w:rPr>
          <w:b/>
          <w:sz w:val="19"/>
        </w:rPr>
        <w:t xml:space="preserve">Übertragbarkeit: </w:t>
      </w:r>
      <w:r>
        <w:rPr>
          <w:sz w:val="19"/>
        </w:rPr>
        <w:t>US-System; klinische Prozessveränderungen teilweise übertragbar</w:t>
      </w:r>
    </w:p>
    <w:p>
      <w:r>
        <w:rPr>
          <w:color w:val="5A7D3A"/>
          <w:sz w:val="18"/>
        </w:rPr>
        <w:t>https://pubmed.ncbi.nlm.nih.gov/42670712/</w:t>
      </w:r>
    </w:p>
    <w:p>
      <w:pPr>
        <w:pStyle w:val="Heading2"/>
      </w:pPr>
      <w:r>
        <w:t>Laparoskopische Leberresektion bei intrahepatischem Cholangiokarinom in Japan</w:t>
      </w:r>
    </w:p>
    <w:p>
      <w:r>
        <w:rPr>
          <w:i/>
          <w:color w:val="666666"/>
          <w:sz w:val="18"/>
        </w:rPr>
        <w:t>Kokudo T et al.  ·  Glob Health Med  ·  31.08.2026  ·  PMID 42670510</w:t>
      </w:r>
    </w:p>
    <w:p>
      <w:r>
        <w:t>Nationale Beobachtungsstudie zur Entwicklung minimal-invasiver Chirurgie bei intrahepatischem Cholangiokarinom basierend auf japanischer Krankenversicherungsdatenbank 2016–2020.</w:t>
      </w:r>
    </w:p>
    <w:p>
      <w:r>
        <w:rPr>
          <w:b/>
        </w:rPr>
        <w:t xml:space="preserve">Ergebnis: </w:t>
      </w:r>
      <w:r>
        <w:t>Fallzahlen stabil (1119–1213 Patienten/Jahr), offene Resektionen konstant (~750/Jahr), laparoskopische Resektionen stiegen von 84 (2016) auf 195 (2020). Mediane postoperative Überlebensdauer: 5,25 Jahre offen vs. nicht erreicht laparoskopisch.</w:t>
      </w:r>
    </w:p>
    <w:p>
      <w:r>
        <w:rPr>
          <w:b/>
          <w:sz w:val="19"/>
        </w:rPr>
        <w:t xml:space="preserve">Übertragbarkeit: </w:t>
      </w:r>
      <w:r>
        <w:rPr>
          <w:sz w:val="19"/>
        </w:rPr>
        <w:t>Japan, nationale Routinedaten; Versorgungstrends mit Methodenvalidierung übertragbar</w:t>
      </w:r>
    </w:p>
    <w:p>
      <w:r>
        <w:rPr>
          <w:color w:val="5A7D3A"/>
          <w:sz w:val="18"/>
        </w:rPr>
        <w:t>https://pubmed.ncbi.nlm.nih.gov/42670510/</w:t>
      </w:r>
    </w:p>
    <w:p>
      <w:pPr>
        <w:pStyle w:val="Heading2"/>
      </w:pPr>
      <w:r>
        <w:t>Wirtschaftliche Last der Parkinson-Krankheit in Europa</w:t>
      </w:r>
    </w:p>
    <w:p>
      <w:r>
        <w:rPr>
          <w:i/>
          <w:color w:val="666666"/>
          <w:sz w:val="18"/>
        </w:rPr>
        <w:t>Welter L et al.  ·  Mov Disord  ·  27.08.2026  ·  PMID 42659761</w:t>
      </w:r>
    </w:p>
    <w:p>
      <w:r>
        <w:t>Cost-of-Illness-Studie für Parkinson-Erkrankung in 47 europäischen Ländern mittels Prävalenzdaten und systematischem Review von Kostenstudien.</w:t>
      </w:r>
    </w:p>
    <w:p>
      <w:r>
        <w:rPr>
          <w:b/>
        </w:rPr>
        <w:t xml:space="preserve">Ergebnis: </w:t>
      </w:r>
      <w:r>
        <w:t>Gesamtkosten 2019: 22,8 Mrd. €, davon 17,3 Mrd. € (76 %) direkte Kosten, 1 Mrd. € (5 %) indirekte Kosten, 4,4 Mrd. € (19 %) informelle Pflegekosten. Mittlere Kosten pro Patient: 14.278 € (Median: 8.393 €).</w:t>
      </w:r>
    </w:p>
    <w:p>
      <w:r>
        <w:rPr>
          <w:b/>
          <w:sz w:val="19"/>
        </w:rPr>
        <w:t xml:space="preserve">Übertragbarkeit: </w:t>
      </w:r>
      <w:r>
        <w:rPr>
          <w:sz w:val="19"/>
        </w:rPr>
        <w:t>Europäische Länder; strukturelle Übertragbarkeit auf deutsches System</w:t>
      </w:r>
    </w:p>
    <w:p>
      <w:r>
        <w:rPr>
          <w:color w:val="5A7D3A"/>
          <w:sz w:val="18"/>
        </w:rPr>
        <w:t>https://pubmed.ncbi.nlm.nih.gov/42659761/</w:t>
      </w:r>
    </w:p>
    <w:p>
      <w:pPr>
        <w:pStyle w:val="Heading2"/>
      </w:pPr>
      <w:r>
        <w:t>Surveillance-Kolonoskopie-Intervalle in australischen Spitälern</w:t>
      </w:r>
    </w:p>
    <w:p>
      <w:r>
        <w:rPr>
          <w:i/>
          <w:color w:val="666666"/>
          <w:sz w:val="18"/>
        </w:rPr>
        <w:t>Foo J et al.  ·  Aust Health Rev  ·  03.09.2026  ·  PMID 42656090</w:t>
      </w:r>
    </w:p>
    <w:p>
      <w:r>
        <w:t>Audit von 248 Kolonoskopie-Fällen in 6 viktorianischen Spitälern zur Überprüfung der Guideline-Konformität bei Surveillance-Intervallen nach 2018 Australian Cancer Council Richtlinien.</w:t>
      </w:r>
    </w:p>
    <w:p>
      <w:r>
        <w:rPr>
          <w:b/>
        </w:rPr>
        <w:t xml:space="preserve">Ergebnis: </w:t>
      </w:r>
      <w:r>
        <w:t>Nur 25,4 % (63/248) der Empfehlungen waren guideline-konform; 74,6 % waren zu früh, 20,5 % nicht indiziert, 4,9 % zu spät. Konformität variierte nach Intervall-Kategorie: 66,7 % (≤12 Mon.), 31,0 % (3 J.), 58,3 % (5 J.), 0,0 % (10 J.).</w:t>
      </w:r>
    </w:p>
    <w:p>
      <w:r>
        <w:rPr>
          <w:b/>
          <w:sz w:val="19"/>
        </w:rPr>
        <w:t xml:space="preserve">Übertragbarkeit: </w:t>
      </w:r>
      <w:r>
        <w:rPr>
          <w:sz w:val="19"/>
        </w:rPr>
        <w:t>Australien; Implementierungsgap systemunabhängig relevant</w:t>
      </w:r>
    </w:p>
    <w:p>
      <w:r>
        <w:rPr>
          <w:color w:val="5A7D3A"/>
          <w:sz w:val="18"/>
        </w:rPr>
        <w:t>https://pubmed.ncbi.nlm.nih.gov/42656090/</w:t>
      </w:r>
    </w:p>
    <w:p>
      <w:pPr>
        <w:pStyle w:val="Heading2"/>
      </w:pPr>
      <w:r>
        <w:t>Unsicherheit beim wissenschaftlichen Deliberationsprozess während COVID-19</w:t>
      </w:r>
    </w:p>
    <w:p>
      <w:r>
        <w:rPr>
          <w:i/>
          <w:color w:val="666666"/>
          <w:sz w:val="18"/>
        </w:rPr>
        <w:t>Correia T et al.  ·  Eur J Public Health  ·  04.08.2026  ·  PMID 42647368</w:t>
      </w:r>
    </w:p>
    <w:p>
      <w:r>
        <w:t>Policy-Analyse zum Verhältnis zwischen Transparenz von wissenschaftlichen Entscheidungsprozessen und dem Schutz wissenschaftlicher Deliberation am Beispiel der Fauci-Tagebuch-Veröffentlichung.</w:t>
      </w:r>
    </w:p>
    <w:p>
      <w:r>
        <w:rPr>
          <w:b/>
        </w:rPr>
        <w:t xml:space="preserve">Ergebnis: </w:t>
      </w:r>
      <w:r>
        <w:t>Kernaussage: Offenlegung interne wissenschaftliche Diskussionen kann legitimes Vertrauen in institutionelle Autorität untergraben, wenn Unsicherheiten und Widersprüche bei der Entscheidungsfindung nicht angemessen kontextualisiert werden.</w:t>
      </w:r>
    </w:p>
    <w:p>
      <w:r>
        <w:rPr>
          <w:b/>
          <w:sz w:val="19"/>
        </w:rPr>
        <w:t xml:space="preserve">Übertragbarkeit: </w:t>
      </w:r>
      <w:r>
        <w:rPr>
          <w:sz w:val="19"/>
        </w:rPr>
        <w:t>Systemübergreifende Governance-Frage; relevant für deutsche Public-Health-Entscheidungen</w:t>
      </w:r>
    </w:p>
    <w:p>
      <w:r>
        <w:rPr>
          <w:color w:val="5A7D3A"/>
          <w:sz w:val="18"/>
        </w:rPr>
        <w:t>https://pubmed.ncbi.nlm.nih.gov/42647368/</w:t>
      </w:r>
    </w:p>
    <w:p>
      <w:pPr>
        <w:pStyle w:val="Heading1"/>
      </w:pPr>
      <w:r>
        <w:t>Aufgenommen am 31.08.2026</w:t>
      </w:r>
    </w:p>
    <w:p>
      <w:pPr>
        <w:pStyle w:val="Heading2"/>
      </w:pPr>
      <w:r>
        <w:t>Symptombelastung nach Dialysebeginn und Hospitalisierungsrisiko</w:t>
      </w:r>
    </w:p>
    <w:p>
      <w:r>
        <w:rPr>
          <w:i/>
          <w:color w:val="666666"/>
          <w:sz w:val="18"/>
        </w:rPr>
        <w:t>Nair D et al.  ·  Kidney Med  ·  23.06.2026  ·  PMID 42668553</w:t>
      </w:r>
    </w:p>
    <w:p>
      <w:r>
        <w:t>Längsschnittstudie zur Assoziation zwischen Symptombelastung (KDQOL-36) und Krankenhausaufnahmen bei Hämodialysepatienten in den USA.</w:t>
      </w:r>
    </w:p>
    <w:p>
      <w:r>
        <w:rPr>
          <w:b/>
        </w:rPr>
        <w:t xml:space="preserve">Ergebnis: </w:t>
      </w:r>
      <w:r>
        <w:t>1.818 Teilnehmer; latente Transitionsanalyse identifizierte 3 Symptombelastungs-Klassen. Hohe Symptombelastung: HR 1,20 für Hospitalisierung (95%-CI). Schmerzinterferenz und Müdigkeit stärkste Prädiktoren (je 1-Kategorie-Verschlechterung: +12% bzw. +8% Hazard). Symptombelastung sollte Behandlungsziel in Dialysezentren sein.</w:t>
      </w:r>
    </w:p>
    <w:p>
      <w:r>
        <w:rPr>
          <w:b/>
          <w:sz w:val="19"/>
        </w:rPr>
        <w:t xml:space="preserve">Übertragbarkeit: </w:t>
      </w:r>
      <w:r>
        <w:rPr>
          <w:sz w:val="19"/>
        </w:rPr>
        <w:t>US-Daten, aber Messinstrument und Fragestellung systemunabhängig auf deutsches Setting anwendbar.</w:t>
      </w:r>
    </w:p>
    <w:p>
      <w:r>
        <w:rPr>
          <w:color w:val="5A7D3A"/>
          <w:sz w:val="18"/>
        </w:rPr>
        <w:t>https://pubmed.ncbi.nlm.nih.gov/42668553/</w:t>
      </w:r>
    </w:p>
    <w:p>
      <w:pPr>
        <w:pStyle w:val="Heading2"/>
      </w:pPr>
      <w:r>
        <w:t>Kardiovaskulär-Nieren-Leber-Stoffwechsel-Last weltweit 1990–2023</w:t>
      </w:r>
    </w:p>
    <w:p>
      <w:r>
        <w:rPr>
          <w:i/>
          <w:color w:val="666666"/>
          <w:sz w:val="18"/>
        </w:rPr>
        <w:t>Jayabaskaran J et al.  ·  EClinicalMedicine  ·  22.08.2026  ·  PMID 42668515</w:t>
      </w:r>
    </w:p>
    <w:p>
      <w:r>
        <w:t>Deskriptive epidemiologische Analyse Global Burden of Disease 2023 zu Mortalität und DALYs für atherogene CVD, CKD, Typ-2-Diabetes, Adipositas und MASLD in 204 Ländern.</w:t>
      </w:r>
    </w:p>
    <w:p>
      <w:r>
        <w:rPr>
          <w:b/>
        </w:rPr>
        <w:t xml:space="preserve">Ergebnis: </w:t>
      </w:r>
      <w:r>
        <w:t>2023: 626,7 Millionen DALYs; altersstandardisierte Rate 6.944,3/100.000. Atherogene CVD 3.924,2 DALYs [95%-UI 3.667–4.181], Adipositas 1.500,0, Typ-2-Diabetes 956,7, CKD 523,8, MASLD 39,6. 1990–2023: CKLM-DALYs -24,4%; CVD -41,5%, aber Typ-2-Diabetes +37,5%, Adipositas +23,3%. Prävention muss geteilte Risikofaktoren adressieren.</w:t>
      </w:r>
    </w:p>
    <w:p>
      <w:r>
        <w:rPr>
          <w:b/>
          <w:sz w:val="19"/>
        </w:rPr>
        <w:t xml:space="preserve">Übertragbarkeit: </w:t>
      </w:r>
      <w:r>
        <w:rPr>
          <w:sz w:val="19"/>
        </w:rPr>
        <w:t>Globale Daten, WHO-Methodik; Trends relevant für deutsche Versorgungsplanung.</w:t>
      </w:r>
    </w:p>
    <w:p>
      <w:r>
        <w:rPr>
          <w:color w:val="5A7D3A"/>
          <w:sz w:val="18"/>
        </w:rPr>
        <w:t>https://pubmed.ncbi.nlm.nih.gov/42668515/</w:t>
      </w:r>
    </w:p>
    <w:p>
      <w:pPr>
        <w:pStyle w:val="Heading2"/>
      </w:pPr>
      <w:r>
        <w:t>Ambulante Behandlung akuter Herzinsuffizienz durch Fachkräfte – niedrigere Readmissions- und Mortalitätsraten</w:t>
      </w:r>
    </w:p>
    <w:p>
      <w:r>
        <w:rPr>
          <w:i/>
          <w:color w:val="666666"/>
          <w:sz w:val="18"/>
        </w:rPr>
        <w:t>Rasoul D et al.  ·  Curr Probl Cardiol  ·  29.08.2026  ·  PMID 42667938</w:t>
      </w:r>
    </w:p>
    <w:p>
      <w:r>
        <w:t>Retrospektive Kohortenstudie zu ambulanter Behandlung dekompenserter Herzinsuffizienz mit IV-Diuretika in spezialisierter Fachkrankenpflege-geführter Einheit versus stationär.</w:t>
      </w:r>
    </w:p>
    <w:p>
      <w:r>
        <w:rPr>
          <w:b/>
        </w:rPr>
        <w:t xml:space="preserve">Ergebnis: </w:t>
      </w:r>
      <w:r>
        <w:t>Nach Propensity-Score-Matching (je 1.227 Patienten): 30-Tage-Readmission AHFU vs. Standardcare 16,5% vs. 24,1% (p&lt;0,001); 1-Jahres-Readmission 25,2% vs. 30,8% (p=0,004); 30-Tage-Mortalität 10,1% vs. 13,5% (p=0,009); 1-Jahres-Mortalität vergleichbar (10,9% vs. 10,8%). Spezialisierte ambulante Versorgung kann Krankenhausbehandlung bei geeigneten Patienten reduzieren.</w:t>
      </w:r>
    </w:p>
    <w:p>
      <w:r>
        <w:rPr>
          <w:b/>
          <w:sz w:val="19"/>
        </w:rPr>
        <w:t xml:space="preserve">Übertragbarkeit: </w:t>
      </w:r>
      <w:r>
        <w:rPr>
          <w:sz w:val="19"/>
        </w:rPr>
        <w:t>Großbritannien, nationale Gesundheitsversorgung, hausarztgestützt – System übertragbar auf strukturierte Poliklinik-Modelle.</w:t>
      </w:r>
    </w:p>
    <w:p>
      <w:r>
        <w:rPr>
          <w:color w:val="5A7D3A"/>
          <w:sz w:val="18"/>
        </w:rPr>
        <w:t>https://pubmed.ncbi.nlm.nih.gov/42667938/</w:t>
      </w:r>
    </w:p>
    <w:p>
      <w:pPr>
        <w:pStyle w:val="Heading2"/>
      </w:pPr>
      <w:r>
        <w:t>Lebensqualität nach präventiver Hysterektomie bei Lynch-Syndrom</w:t>
      </w:r>
    </w:p>
    <w:p>
      <w:r>
        <w:rPr>
          <w:i/>
          <w:color w:val="666666"/>
          <w:sz w:val="18"/>
        </w:rPr>
        <w:t>Oxley SG et al.  ·  EClinicalMedicine  ·  27.07.2026  ·  PMID 42666945</w:t>
      </w:r>
    </w:p>
    <w:p>
      <w:r>
        <w:t>Multizentrische Querschnittsstudie (PRESCORES) zur Erfassung der gesundheitsbezogenen Lebensqualität (EQ-5D) bei Frauen mit Lynch-Syndrom mit und ohne risikoreduzierende Hysterektomie.</w:t>
      </w:r>
    </w:p>
    <w:p>
      <w:r>
        <w:rPr>
          <w:b/>
        </w:rPr>
        <w:t xml:space="preserve">Ergebnis: </w:t>
      </w:r>
      <w:r>
        <w:t>1.120 Teilnehmer: 529 nach RRH (Median 55 Jahre), 591 ohne (39 Jahre). Adjustierte mittlere EQ-5D-Differenz RRH vs. keine RRH: -0,020 (95%-CI -0,045–0,004; p=0,11), bei prämenopausalen Frauen -0,041 (p&lt;0,05). Cancer-Worry-Scale in RRH-Gruppe signifikant niedriger (Differenz -0,48; p=0,004). Hysterektomie bei jüngeren Frauen mit Lebensqualitätseinbußen assoziiert.</w:t>
      </w:r>
    </w:p>
    <w:p>
      <w:r>
        <w:rPr>
          <w:b/>
          <w:sz w:val="19"/>
        </w:rPr>
        <w:t xml:space="preserve">Übertragbarkeit: </w:t>
      </w:r>
      <w:r>
        <w:rPr>
          <w:sz w:val="19"/>
        </w:rPr>
        <w:t>Britische NHS-Daten, genetische Beratung/Screening-Kontext auf deutsches Versorgungssystem übertragbar.</w:t>
      </w:r>
    </w:p>
    <w:p>
      <w:r>
        <w:rPr>
          <w:color w:val="5A7D3A"/>
          <w:sz w:val="18"/>
        </w:rPr>
        <w:t>https://pubmed.ncbi.nlm.nih.gov/42666945/</w:t>
      </w:r>
    </w:p>
    <w:p>
      <w:pPr>
        <w:pStyle w:val="Heading2"/>
      </w:pPr>
      <w:r>
        <w:t>Körperliche Aktivität und Mundgesundheit im Alter – kausale Studie in Singapur</w:t>
      </w:r>
    </w:p>
    <w:p>
      <w:r>
        <w:rPr>
          <w:i/>
          <w:color w:val="666666"/>
          <w:sz w:val="18"/>
        </w:rPr>
        <w:t>Tay JRH et al.  ·  J Nutr Health Aging  ·  28.08.2026  ·  PMID 42664809</w:t>
      </w:r>
    </w:p>
    <w:p>
      <w:r>
        <w:t>Längsschnitt-Kausalitätsstudie (THE SIGNS Study, 2016–2024) zu Effekten erhöhter körperlicher Aktivität auf Mundgesundheit und Kaufunktion bei älteren Erwachsenen.</w:t>
      </w:r>
    </w:p>
    <w:p>
      <w:r>
        <w:rPr>
          <w:b/>
        </w:rPr>
        <w:t xml:space="preserve">Ergebnis: </w:t>
      </w:r>
      <w:r>
        <w:t>N=3.981, 3 Wellen. Erhöhung auf ≥450 MET-min/Woche: RR für schlechte Mundgesundheit 0,88 (95%-CI 0,82–0,95). Selbst Anstieg auf 150 MET-min/Woche: RR 0,93 (0,88–0,99). Eleminierung aller Aktivität erhöht Kaufunktionsstörungen um 21% (RR 1,21; 95%-CI 1,10–1,33). Physische Aktivität protektiv für Mundgesundheit im Alter.</w:t>
      </w:r>
    </w:p>
    <w:p>
      <w:r>
        <w:rPr>
          <w:b/>
          <w:sz w:val="19"/>
        </w:rPr>
        <w:t xml:space="preserve">Übertragbarkeit: </w:t>
      </w:r>
      <w:r>
        <w:rPr>
          <w:sz w:val="19"/>
        </w:rPr>
        <w:t>Singapur, steuerfinanziertes System; Public-Health-Fragestellung systemunabhängig, Ergebnisse auf deutsches Setting übertragbar.</w:t>
      </w:r>
    </w:p>
    <w:p>
      <w:r>
        <w:rPr>
          <w:color w:val="5A7D3A"/>
          <w:sz w:val="18"/>
        </w:rPr>
        <w:t>https://pubmed.ncbi.nlm.nih.gov/42664809/</w:t>
      </w:r>
    </w:p>
    <w:p>
      <w:pPr>
        <w:pStyle w:val="Heading2"/>
      </w:pPr>
      <w:r>
        <w:t>Difference-in-Differences – methodisches Rahmenwerk für pädiatrische Versorgungsforschung</w:t>
      </w:r>
    </w:p>
    <w:p>
      <w:r>
        <w:rPr>
          <w:i/>
          <w:color w:val="666666"/>
          <w:sz w:val="18"/>
        </w:rPr>
        <w:t>Lee AR et al.  ·  Arch Dis Child  ·  26.08.2026  ·  PMID 42648881</w:t>
      </w:r>
    </w:p>
    <w:p>
      <w:r>
        <w:t>Methodisches Tutorial zur Difference-in-Differences-Analyse für Kinderärzte im Bereich Versorgungsforschung.</w:t>
      </w:r>
    </w:p>
    <w:p>
      <w:r>
        <w:rPr>
          <w:b/>
        </w:rPr>
        <w:t xml:space="preserve">Ergebnis: </w:t>
      </w:r>
      <w:r>
        <w:t>Strukturierter Rahmen für quasi-experimentelle Analyse von Interventionseffekten mit zeitlicher und Kontrollgruppen-Variation. Methodisch-pädagogischer Beitrag ohne quantitative Ergebnisse eigener Studie.</w:t>
      </w:r>
    </w:p>
    <w:p>
      <w:r>
        <w:rPr>
          <w:b/>
          <w:sz w:val="19"/>
        </w:rPr>
        <w:t xml:space="preserve">Übertragbarkeit: </w:t>
      </w:r>
      <w:r>
        <w:rPr>
          <w:sz w:val="19"/>
        </w:rPr>
        <w:t>Methodische Anleitung, systemunabhängig anwendbar auf deutsche Versorgungsforschung.</w:t>
      </w:r>
    </w:p>
    <w:p>
      <w:r>
        <w:rPr>
          <w:color w:val="5A7D3A"/>
          <w:sz w:val="18"/>
        </w:rPr>
        <w:t>https://pubmed.ncbi.nlm.nih.gov/42648881/</w:t>
      </w:r>
    </w:p>
    <w:p>
      <w:pPr>
        <w:pStyle w:val="Heading1"/>
      </w:pPr>
      <w:r>
        <w:t>Aufgenommen am 30.08.2026</w:t>
      </w:r>
    </w:p>
    <w:p>
      <w:pPr>
        <w:pStyle w:val="Heading2"/>
      </w:pPr>
      <w:r>
        <w:t>Bewegungsaktivität reduziert perinatale Depression und Angststörungen</w:t>
      </w:r>
    </w:p>
    <w:p>
      <w:r>
        <w:rPr>
          <w:i/>
          <w:color w:val="666666"/>
          <w:sz w:val="18"/>
        </w:rPr>
        <w:t>Mohr E et al.  ·  EClinicalMedicine  ·  19.07.2026  ·  PMID 42666712</w:t>
      </w:r>
    </w:p>
    <w:p>
      <w:r>
        <w:t>Umbrella Review mit Meta-Meta-Analyse zur Wirksamkeit von körperlicher Aktivität auf depressive und Angstsymptome in der Perinatalzeit.</w:t>
      </w:r>
    </w:p>
    <w:p>
      <w:r>
        <w:rPr>
          <w:b/>
        </w:rPr>
        <w:t xml:space="preserve">Ergebnis: </w:t>
      </w:r>
      <w:r>
        <w:t>Leichte bis moderate körperliche Aktivität reduziert depressive Symptome signifikant (SMD: -0,56; 95%-KI: -0,93 bis -0,19, moderate Evidenzsicherheit), Yoga und Mixed-Activity zeigen besondere Effektivität (SMD: -0,55 bzw. -0,54). Angststörungen werden ebenfalls reduziert (SMD: -0,85; 95%-KI: -1,29 bis -0,42).</w:t>
      </w:r>
    </w:p>
    <w:p>
      <w:r>
        <w:rPr>
          <w:b/>
          <w:sz w:val="19"/>
        </w:rPr>
        <w:t xml:space="preserve">Übertragbarkeit: </w:t>
      </w:r>
      <w:r>
        <w:rPr>
          <w:sz w:val="19"/>
        </w:rPr>
        <w:t>Systematische Übersichtsarbeit, methodologisch hochwertig, globale Evidenz unmittelbar auf deutsches Versorgungssystem übertragbar</w:t>
      </w:r>
    </w:p>
    <w:p>
      <w:r>
        <w:rPr>
          <w:color w:val="5A7D3A"/>
          <w:sz w:val="18"/>
        </w:rPr>
        <w:t>https://pubmed.ncbi.nlm.nih.gov/42666712/</w:t>
      </w:r>
    </w:p>
    <w:p>
      <w:pPr>
        <w:pStyle w:val="Heading2"/>
      </w:pPr>
      <w:r>
        <w:t>Integratives Hypertonie-Monitoring mit Routinedaten in Mexikos föderalisiertem Public-Health-System</w:t>
      </w:r>
    </w:p>
    <w:p>
      <w:r>
        <w:rPr>
          <w:i/>
          <w:color w:val="666666"/>
          <w:sz w:val="18"/>
        </w:rPr>
        <w:t>Silva-Tinoco R et al.  ·  Health Serv Insights  ·  27.08.2026  ·  PMID 42666569</w:t>
      </w:r>
    </w:p>
    <w:p>
      <w:r>
        <w:t>Entwicklung und Evaluierung einer Monitoring-Plattform zur Überwachung der Hypertonie-Versorgung mithilfe von Routinedaten in einem neu strukturierten Gesundheitssystem.</w:t>
      </w:r>
    </w:p>
    <w:p>
      <w:r>
        <w:rPr>
          <w:b/>
        </w:rPr>
        <w:t xml:space="preserve">Ergebnis: </w:t>
      </w:r>
      <w:r>
        <w:t>Aus 486.044 Patienten in teilnehmenden Bundesländern erreichten 67,2% (95%-KI: 67,04–67,37) Blutdruckziele (&lt;140/90 mmHg), 36,8% (95%-KI: 36,62–36,96) strikte Kontrolle (&lt;130/80 mmHg). 63% mit suboptimaler Kontrolle erhielten Follow-up, 48% Therapieintensivierung.</w:t>
      </w:r>
    </w:p>
    <w:p>
      <w:r>
        <w:rPr>
          <w:b/>
          <w:sz w:val="19"/>
        </w:rPr>
        <w:t xml:space="preserve">Übertragbarkeit: </w:t>
      </w:r>
      <w:r>
        <w:rPr>
          <w:sz w:val="19"/>
        </w:rPr>
        <w:t>Mexico, Struktur unterschiedlich – begrenzte Übertragbarkeit, aber Monitoring-Framework methodisch relevant</w:t>
      </w:r>
    </w:p>
    <w:p>
      <w:r>
        <w:rPr>
          <w:color w:val="5A7D3A"/>
          <w:sz w:val="18"/>
        </w:rPr>
        <w:t>https://pubmed.ncbi.nlm.nih.gov/42666569/</w:t>
      </w:r>
    </w:p>
    <w:p>
      <w:pPr>
        <w:pStyle w:val="Heading2"/>
      </w:pPr>
      <w:r>
        <w:t>Health Literacy und ethnische Ungleichheiten in der Geburtshilfe: Scoping Review</w:t>
      </w:r>
    </w:p>
    <w:p>
      <w:r>
        <w:rPr>
          <w:i/>
          <w:color w:val="666666"/>
          <w:sz w:val="18"/>
        </w:rPr>
        <w:t>McEvoy B et al.  ·  BMC Health Serv Res  ·  25.08.2026  ·  PMID 42665809</w:t>
      </w:r>
    </w:p>
    <w:p>
      <w:r>
        <w:t>Systematische Analyse der Forschungsliteratur zu Health Literacy als Faktor für ethnische Disparitäten in der Mutterschaftsversorgung.</w:t>
      </w:r>
    </w:p>
    <w:p>
      <w:r>
        <w:rPr>
          <w:b/>
        </w:rPr>
        <w:t xml:space="preserve">Ergebnis: </w:t>
      </w:r>
      <w:r>
        <w:t>14 Studien eingeschlossen (7 quantitativ, 4 qualitativ, 3 gemischt). Vier Kernfunde: (i) diverse Health-Literacy-Definitionen, (ii) Health-Literacy-Herausforderungen treffen minoritäre Frauen überproportional, (iii) schlechte Health Literacy trägt zu adversen Outcomes bei, (iv) geringe Evaluierung von Interventionen. Erkannter Forschungsgap in diesem Versorgungsbereich.</w:t>
      </w:r>
    </w:p>
    <w:p>
      <w:r>
        <w:rPr>
          <w:b/>
          <w:sz w:val="19"/>
        </w:rPr>
        <w:t xml:space="preserve">Übertragbarkeit: </w:t>
      </w:r>
      <w:r>
        <w:rPr>
          <w:sz w:val="19"/>
        </w:rPr>
        <w:t>UK-Daten, aber Fragestellung zu Gesundheitskompetenz und Equity systemunabhängig relevant</w:t>
      </w:r>
    </w:p>
    <w:p>
      <w:r>
        <w:rPr>
          <w:color w:val="5A7D3A"/>
          <w:sz w:val="18"/>
        </w:rPr>
        <w:t>https://pubmed.ncbi.nlm.nih.gov/42665809/</w:t>
      </w:r>
    </w:p>
    <w:p>
      <w:pPr>
        <w:pStyle w:val="Heading2"/>
      </w:pPr>
      <w:r>
        <w:t>Empowerment von Gesundheitsarbeitern in Primary Health Care mittels partizipativer Aktionsforschung</w:t>
      </w:r>
    </w:p>
    <w:p>
      <w:r>
        <w:rPr>
          <w:i/>
          <w:color w:val="666666"/>
          <w:sz w:val="18"/>
        </w:rPr>
        <w:t>Jahromi MK et al.  ·  BMC Health Serv Res  ·  26.08.2026  ·  PMID 42665795</w:t>
      </w:r>
    </w:p>
    <w:p>
      <w:r>
        <w:t>22-Monate andauernde partizipative Aktionsforschung mit zwei Zyklen zur Stärkung der Kompetenz von Primary-Care-Anbietern im Iran.</w:t>
      </w:r>
    </w:p>
    <w:p>
      <w:r>
        <w:rPr>
          <w:b/>
        </w:rPr>
        <w:t xml:space="preserve">Ergebnis: </w:t>
      </w:r>
      <w:r>
        <w:t>Quantitative und qualitative Verbesserungen nach Intervention: erhöhtes psychological empowerment, verbesserte professional performance, höhere Zufriedenheit mit Schulungsprogrammen, verbesserte client satisfaction. Qualitative Befunde zeigen substanzielle Fortschritte in wissenschaftlich-praktischen Kompetenzen, unterstützender Arbeitskultur und psychischem Wohlbefinden.</w:t>
      </w:r>
    </w:p>
    <w:p>
      <w:r>
        <w:rPr>
          <w:b/>
          <w:sz w:val="19"/>
        </w:rPr>
        <w:t xml:space="preserve">Übertragbarkeit: </w:t>
      </w:r>
      <w:r>
        <w:rPr>
          <w:sz w:val="19"/>
        </w:rPr>
        <w:t>Iran (LMIC), Modell aber für Partizipation und Workforce-Entwicklung im deutschsprachigen Raum relevant</w:t>
      </w:r>
    </w:p>
    <w:p>
      <w:r>
        <w:rPr>
          <w:color w:val="5A7D3A"/>
          <w:sz w:val="18"/>
        </w:rPr>
        <w:t>https://pubmed.ncbi.nlm.nih.gov/42665795/</w:t>
      </w:r>
    </w:p>
    <w:p>
      <w:pPr>
        <w:pStyle w:val="Heading2"/>
      </w:pPr>
      <w:r>
        <w:t>Pharmakovigilanz-Wissen und -Praxis von Gesundheitsberufen in Georgien</w:t>
      </w:r>
    </w:p>
    <w:p>
      <w:r>
        <w:rPr>
          <w:i/>
          <w:color w:val="666666"/>
          <w:sz w:val="18"/>
        </w:rPr>
        <w:t>Silagadze N et al.  ·  BMC Health Serv Res  ·  22.07.2026  ·  PMID 42665790</w:t>
      </w:r>
    </w:p>
    <w:p>
      <w:r>
        <w:t>Querschnittstudie zu Wissen, Haltungen und Praktiken zur Erfassung von Nebenwirkungen durch Ärzte und Pflegekräfte in Georgien.</w:t>
      </w:r>
    </w:p>
    <w:p>
      <w:r>
        <w:rPr>
          <w:b/>
        </w:rPr>
        <w:t xml:space="preserve">Ergebnis: </w:t>
      </w:r>
      <w:r>
        <w:t>76,3% der Teilnehmer (n=684) begegneten Nebenwirkungen, aber nur 12,95% meldeten diese. Keine Pflegekraft und nur 10,2% der Ärzte nutzten das offizielle Meldungsformular. Hauptbarrieren: Mangel an Bewusstsein für nationale Meldesysteme (91,7%), Unsicherheit über Prozesse (76,9%), Unterschätzung der Schwere (40,8%). Ärzte hatten höhere Wissenswerte als Pflegekräfte (19 vs. 16; p&lt;0,001).</w:t>
      </w:r>
    </w:p>
    <w:p>
      <w:r>
        <w:rPr>
          <w:b/>
          <w:sz w:val="19"/>
        </w:rPr>
        <w:t xml:space="preserve">Übertragbarkeit: </w:t>
      </w:r>
      <w:r>
        <w:rPr>
          <w:sz w:val="19"/>
        </w:rPr>
        <w:t>Georgien (Entwicklungsland), aber Pharmaco-Vigilance-Herausforderungen und Lösungsansätze international übertragbar</w:t>
      </w:r>
    </w:p>
    <w:p>
      <w:r>
        <w:rPr>
          <w:color w:val="5A7D3A"/>
          <w:sz w:val="18"/>
        </w:rPr>
        <w:t>https://pubmed.ncbi.nlm.nih.gov/42665790/</w:t>
      </w:r>
    </w:p>
    <w:p>
      <w:pPr>
        <w:pStyle w:val="Heading2"/>
      </w:pPr>
      <w:r>
        <w:t>Methoden zur Analyse von Patientenbewegungen zwischen Versorgungssettings: Systematische Übersicht</w:t>
      </w:r>
    </w:p>
    <w:p>
      <w:r>
        <w:rPr>
          <w:i/>
          <w:color w:val="666666"/>
          <w:sz w:val="18"/>
        </w:rPr>
        <w:t>Yang F et al.  ·  BMJ Open  ·  28.08.2026  ·  PMID 42665343</w:t>
      </w:r>
    </w:p>
    <w:p>
      <w:r>
        <w:t>Systematische Literaturübersicht zu Methoden für die Analyse von Patientenpfaden und -flüssen über multiple Versorgungsebenen hinweg.</w:t>
      </w:r>
    </w:p>
    <w:p>
      <w:r>
        <w:rPr>
          <w:b/>
        </w:rPr>
        <w:t xml:space="preserve">Ergebnis: </w:t>
      </w:r>
      <w:r>
        <w:t>24 Studien identifiziert, 7 distinct Methoden und 5 Forschungsthemen. Die meisten nutzten deskriptive Statistiken und Gruppenvergleiche; Discrete-Event-Simulation wurde häufiger für Patientenbewegungssimulationen eingesetzt. Patiententransfervolumina/Outcomes und Kapazitätsplanung waren am häufigsten untersuchte Themen. Statistical analysis, mathematical modelling und computer simulation bieten komplementäre Ansätze.</w:t>
      </w:r>
    </w:p>
    <w:p>
      <w:r>
        <w:rPr>
          <w:b/>
          <w:sz w:val="19"/>
        </w:rPr>
        <w:t xml:space="preserve">Übertragbarkeit: </w:t>
      </w:r>
      <w:r>
        <w:rPr>
          <w:sz w:val="19"/>
        </w:rPr>
        <w:t>Nordeuropa (Norwegen, UK), Methodologie systemunabhängig, für deutsches Transitions-Management relevant</w:t>
      </w:r>
    </w:p>
    <w:p>
      <w:r>
        <w:rPr>
          <w:color w:val="5A7D3A"/>
          <w:sz w:val="18"/>
        </w:rPr>
        <w:t>https://pubmed.ncbi.nlm.nih.gov/42665343/</w:t>
      </w:r>
    </w:p>
    <w:p>
      <w:pPr>
        <w:pStyle w:val="Heading1"/>
      </w:pPr>
      <w:r>
        <w:t>Aufgenommen am 29.08.2026</w:t>
      </w:r>
    </w:p>
    <w:p>
      <w:pPr>
        <w:pStyle w:val="Heading2"/>
      </w:pPr>
      <w:r>
        <w:t>Palliative Reasoning in multiprofessioneller Palliativversorgung implementieren</w:t>
      </w:r>
    </w:p>
    <w:p>
      <w:r>
        <w:rPr>
          <w:i/>
          <w:color w:val="666666"/>
          <w:sz w:val="18"/>
        </w:rPr>
        <w:t>Kochems K et al.  ·  PLoS One  ·  28.08.2026  ·  PMID 42664250</w:t>
      </w:r>
    </w:p>
    <w:p>
      <w:r>
        <w:t>Niederländische Studie zur iterativen Anpassung und Implementierung einer integrierten Intervention (Palliative Reasoning Working Method) in Primärversorgung, Hospizen und Pflegeheimen.</w:t>
      </w:r>
    </w:p>
    <w:p>
      <w:r>
        <w:rPr>
          <w:b/>
        </w:rPr>
        <w:t xml:space="preserve">Ergebnis: </w:t>
      </w:r>
      <w:r>
        <w:t>Palliative Reasoning wurde in 20 multiprofessionellen Teams erfolgreich implementiert. Es zeigte Verbesserungen bei Erkennung von Palliativbedarfen, patientenzentrierter Versorgung, Pflegekompetenz und Teamzusammenarbeit. 14 Inhaltsadaptationen und 7 Unterstützungsmaterialien wurden entwickelt. Integration in elektronische Gesundheitsakten und organisatorische Verankerung waren entscheidend für Nachhaltigkeit.</w:t>
      </w:r>
    </w:p>
    <w:p>
      <w:r>
        <w:rPr>
          <w:b/>
          <w:sz w:val="19"/>
        </w:rPr>
        <w:t xml:space="preserve">Übertragbarkeit: </w:t>
      </w:r>
      <w:r>
        <w:rPr>
          <w:sz w:val="19"/>
        </w:rPr>
        <w:t>Niederlande, vergleichbares Sozialversicherungssystem, multiprofessionelle Strukturen</w:t>
      </w:r>
    </w:p>
    <w:p>
      <w:r>
        <w:rPr>
          <w:color w:val="5A7D3A"/>
          <w:sz w:val="18"/>
        </w:rPr>
        <w:t>https://pubmed.ncbi.nlm.nih.gov/42664250/</w:t>
      </w:r>
    </w:p>
    <w:p>
      <w:pPr>
        <w:pStyle w:val="Heading2"/>
      </w:pPr>
      <w:r>
        <w:t>Medicare Advantage und Nierenerkrankung im Endstadium nach Cures Act</w:t>
      </w:r>
    </w:p>
    <w:p>
      <w:r>
        <w:rPr>
          <w:i/>
          <w:color w:val="666666"/>
          <w:sz w:val="18"/>
        </w:rPr>
        <w:t>Cai ST et al.  ·  Health Serv Res  ·  Okt. 2026  ·  PMID 42663502</w:t>
      </w:r>
    </w:p>
    <w:p>
      <w:r>
        <w:t>US-Studie zur Veränderung der MA-Versichertenpopulation mit Nierenerkrankung im Endstadium nach Ausweitung der MA-Zulassung 2021 mittels Unterbruchszeitreihentechnik.</w:t>
      </w:r>
    </w:p>
    <w:p>
      <w:r>
        <w:rPr>
          <w:b/>
        </w:rPr>
        <w:t xml:space="preserve">Ergebnis: </w:t>
      </w:r>
      <w:r>
        <w:t>Nach der Politikänderung waren MA-Versicherte mit Nierenerkrankung im Endstadium jünger, hatten niedrigere Komorbiditätsbelastung, aber niedrigeres Einkommen. Hospitalisierungsraten sank unmittelbar um 0,013 pro Versicherter-Monat (6 % relativer Rückgang; 95%-KI: -0,022 bis -0,003; p &lt; 0,05).</w:t>
      </w:r>
    </w:p>
    <w:p>
      <w:r>
        <w:rPr>
          <w:b/>
          <w:sz w:val="19"/>
        </w:rPr>
        <w:t xml:space="preserve">Übertragbarkeit: </w:t>
      </w:r>
      <w:r>
        <w:rPr>
          <w:sz w:val="19"/>
        </w:rPr>
        <w:t>US-Daten, fragmentiertes System mit Medicaid/Medicare, eingeschränkt übertragbar</w:t>
      </w:r>
    </w:p>
    <w:p>
      <w:r>
        <w:rPr>
          <w:color w:val="5A7D3A"/>
          <w:sz w:val="18"/>
        </w:rPr>
        <w:t>https://pubmed.ncbi.nlm.nih.gov/42663502/</w:t>
      </w:r>
    </w:p>
    <w:p>
      <w:pPr>
        <w:pStyle w:val="Heading2"/>
      </w:pPr>
      <w:r>
        <w:t>Persistenz geburtshilflicher Versorgungsabsenz in US-Counties 2015–2023</w:t>
      </w:r>
    </w:p>
    <w:p>
      <w:r>
        <w:rPr>
          <w:i/>
          <w:color w:val="666666"/>
          <w:sz w:val="18"/>
        </w:rPr>
        <w:t>Laternser C  ·  Health Serv Res  ·  Okt. 2026  ·  PMID 42663181</w:t>
      </w:r>
    </w:p>
    <w:p>
      <w:r>
        <w:t>Longitudinale Panelstudie der Persistenz und Übergangsdynamik fehlender geburtshilflicher Dienste in 3144 US-Counties mit Analysen von Übergangswahrscheinlichkeiten und Prävalenztrends.</w:t>
      </w:r>
    </w:p>
    <w:p>
      <w:r>
        <w:rPr>
          <w:b/>
        </w:rPr>
        <w:t xml:space="preserve">Ergebnis: </w:t>
      </w:r>
      <w:r>
        <w:t>Geburtshilfliche Serviceabsenz war hochgradig persistent (Prevalenz stabil bei 34,2 %). Bevölkerungsexposition sank (6,5 % auf 5,3 % der Frauen 15–44 Jahre in Counties ohne Services). Jährliche Übergänge waren selten (Eintritt ≤ 0,4 %; Austritt ≤ 0,9 %). Bedingte Verweilwahrscheinlichkeiten ≥ 0,991.</w:t>
      </w:r>
    </w:p>
    <w:p>
      <w:r>
        <w:rPr>
          <w:b/>
          <w:sz w:val="19"/>
        </w:rPr>
        <w:t xml:space="preserve">Übertragbarkeit: </w:t>
      </w:r>
      <w:r>
        <w:rPr>
          <w:sz w:val="19"/>
        </w:rPr>
        <w:t>USA, sehr dezentrales System; Frage aber für Strukturplanung relevant</w:t>
      </w:r>
    </w:p>
    <w:p>
      <w:r>
        <w:rPr>
          <w:color w:val="5A7D3A"/>
          <w:sz w:val="18"/>
        </w:rPr>
        <w:t>https://pubmed.ncbi.nlm.nih.gov/42663181/</w:t>
      </w:r>
    </w:p>
    <w:p>
      <w:pPr>
        <w:pStyle w:val="Heading2"/>
      </w:pPr>
      <w:r>
        <w:t>Naturgestützte Social Prescribing gegen Einsamkeit und Lebensqualität</w:t>
      </w:r>
    </w:p>
    <w:p>
      <w:r>
        <w:rPr>
          <w:i/>
          <w:color w:val="666666"/>
          <w:sz w:val="18"/>
        </w:rPr>
        <w:t>Coll-Planas L et al.  ·  Lancet Reg Health Eur  ·  18.08.2026  ·  PMID 42662493</w:t>
      </w:r>
    </w:p>
    <w:p>
      <w:r>
        <w:t>Randomisierte kontrollierte Studie in Barcelona zu natur- und gruppenbasierter sozialer Verschreibung (Friends in Nature) bei gefährdeten städtischen Erwachsenen versus aktive Signposting.</w:t>
      </w:r>
    </w:p>
    <w:p>
      <w:r>
        <w:rPr>
          <w:b/>
        </w:rPr>
        <w:t xml:space="preserve">Ergebnis: </w:t>
      </w:r>
      <w:r>
        <w:t>320 Teilnehmer (78% weiblich; Medianalter 62,8 Jahre) randomisiert. Bei 3 Monaten zeigten beide Gruppen signifikante Einsamkeitsreduktion um 10,5 % (Gesamtmittelwertänderung: -0,73; 95%-KI -1,04 bis -0,42), kein signifikanter Unterschied zwischen Gruppen (0,30; 95%-KI -0,26 bis 0,86; p = 0,296). Keine HRQoL-Veränderung.</w:t>
      </w:r>
    </w:p>
    <w:p>
      <w:r>
        <w:rPr>
          <w:b/>
          <w:sz w:val="19"/>
        </w:rPr>
        <w:t xml:space="preserve">Übertragbarkeit: </w:t>
      </w:r>
      <w:r>
        <w:rPr>
          <w:sz w:val="19"/>
        </w:rPr>
        <w:t>Spanien, EU-Sozialversicherung, städtischer Kontext mit Deprivation</w:t>
      </w:r>
    </w:p>
    <w:p>
      <w:r>
        <w:rPr>
          <w:color w:val="5A7D3A"/>
          <w:sz w:val="18"/>
        </w:rPr>
        <w:t>https://pubmed.ncbi.nlm.nih.gov/42662493/</w:t>
      </w:r>
    </w:p>
    <w:p>
      <w:pPr>
        <w:pStyle w:val="Heading2"/>
      </w:pPr>
      <w:r>
        <w:t>Patientensicherheitskultur in integrierten Gesundheits- und Sozialdiensten (Finnland)</w:t>
      </w:r>
    </w:p>
    <w:p>
      <w:r>
        <w:rPr>
          <w:i/>
          <w:color w:val="666666"/>
          <w:sz w:val="18"/>
        </w:rPr>
        <w:t>Hult M et al.  ·  BMJ Open Qual  ·  27.08.2026  ·  PMID 42660605</w:t>
      </w:r>
    </w:p>
    <w:p>
      <w:r>
        <w:t>Querschnittstudie zur Patientensicherheitskultur in 2623 Mitarbeitern von Krankenhaus-, Sozial- und Altenpflegediensten in finnischer Wellbeing Services County mittels SOPS 2.0 und Net Safety Score.</w:t>
      </w:r>
    </w:p>
    <w:p>
      <w:r>
        <w:rPr>
          <w:b/>
        </w:rPr>
        <w:t xml:space="preserve">Ergebnis: </w:t>
      </w:r>
      <w:r>
        <w:t>Teamwork erhielt höchste positive Bewertungen (71,1 %), Übergaben und Informationsaustausch niedrigste (22,6 %). Altenpflegedienste zeigten konsistent niedrigere Werte. Teamwork, Besetzung, Arbeitsgeschwindigkeit und organisatorisches Lernen waren stärkste NSS-Prädiktoren. Gesamtpositiv-NSS: 52,6 %. Regressionsmodelle erklärten 47,4 % (Krankenhaus), 47,0 % (Altenpflege) und 35,8 % (Sozial/Gesundheit) der NSS-Varianz.</w:t>
      </w:r>
    </w:p>
    <w:p>
      <w:r>
        <w:rPr>
          <w:b/>
          <w:sz w:val="19"/>
        </w:rPr>
        <w:t xml:space="preserve">Übertragbarkeit: </w:t>
      </w:r>
      <w:r>
        <w:rPr>
          <w:sz w:val="19"/>
        </w:rPr>
        <w:t>Finnland, steuerfinanziert, aber auf integrierte Versorgungskultur übertragbar</w:t>
      </w:r>
    </w:p>
    <w:p>
      <w:r>
        <w:rPr>
          <w:color w:val="5A7D3A"/>
          <w:sz w:val="18"/>
        </w:rPr>
        <w:t>https://pubmed.ncbi.nlm.nih.gov/42660605/</w:t>
      </w:r>
    </w:p>
    <w:p>
      <w:pPr>
        <w:pStyle w:val="Heading2"/>
      </w:pPr>
      <w:r>
        <w:t>Ambulante Nachsorge bei Diabetes nach ED-Entlassung</w:t>
      </w:r>
    </w:p>
    <w:p>
      <w:r>
        <w:rPr>
          <w:i/>
          <w:color w:val="666666"/>
          <w:sz w:val="18"/>
        </w:rPr>
        <w:t>Zikry HE et al.  ·  J Gen Intern Med  ·  26.08.2026  ·  PMID 42649455</w:t>
      </w:r>
    </w:p>
    <w:p>
      <w:r>
        <w:t>Retrospektive Kohortenstudie (131.881 Patienten mit kommerzieller/MA-Versicherung, 2016–2022) zu Häufigkeit, Timing und Patientencharakteristika für ambulante Nachsorge innerhalb 30 Tage nach ED-Entlassung wegen Diabetes.</w:t>
      </w:r>
    </w:p>
    <w:p>
      <w:r>
        <w:rPr>
          <w:b/>
        </w:rPr>
        <w:t xml:space="preserve">Ergebnis: </w:t>
      </w:r>
      <w:r>
        <w:t>46,1 % erhielten ambulante Nachsorge innerhalb 30 Tagen; 13,0 % kehrten vorher zur ED zurück. Nachsorgeraten stiegen moderat von 44 % (2016) auf 49 % (2022). Höheres Alter, kommerzielle Versicherung und vorherige ambulante Versorgungskontakte waren mit höherer Wahrscheinlichkeit assoziiert. Nicht-hispanische Schwarze, MA-Versicherte mit Niedrigeinkommenszuschuss, höhere Komorbiditäten und Typ-1-Diabetes zeigten niedrigere Wahrscheinlichkeit.</w:t>
      </w:r>
    </w:p>
    <w:p>
      <w:r>
        <w:rPr>
          <w:b/>
          <w:sz w:val="19"/>
        </w:rPr>
        <w:t xml:space="preserve">Übertragbarkeit: </w:t>
      </w:r>
      <w:r>
        <w:rPr>
          <w:sz w:val="19"/>
        </w:rPr>
        <w:t>USA, aber Kontinuitätslücke und Versorgungsübergänge sind systemunabhängig relevant</w:t>
      </w:r>
    </w:p>
    <w:p>
      <w:r>
        <w:rPr>
          <w:color w:val="5A7D3A"/>
          <w:sz w:val="18"/>
        </w:rPr>
        <w:t>https://pubmed.ncbi.nlm.nih.gov/42649455/</w:t>
      </w:r>
    </w:p>
    <w:p>
      <w:pPr>
        <w:pStyle w:val="Heading1"/>
      </w:pPr>
      <w:r>
        <w:t>Aufgenommen am 28.08.2026</w:t>
      </w:r>
    </w:p>
    <w:p>
      <w:pPr>
        <w:pStyle w:val="Heading2"/>
      </w:pPr>
      <w:r>
        <w:t>Implementierung von Rehabilitations-Robotik in Regelversorgung: Systematisches Mapping</w:t>
      </w:r>
    </w:p>
    <w:p>
      <w:r>
        <w:rPr>
          <w:i/>
          <w:color w:val="666666"/>
          <w:sz w:val="18"/>
        </w:rPr>
        <w:t>Calabrò RS et al.  ·  Healthcare (Basel)  ·  14.08.2026  ·  PMID 42651315</w:t>
      </w:r>
    </w:p>
    <w:p>
      <w:r>
        <w:t>Mapping-Review zu Service-Delivery-Modellen, Implementierungsfaktoren und Real-World-Outcomes von Rehabilitations-Robotik in neurorehabilitation Kliniken (55 Studien).</w:t>
      </w:r>
    </w:p>
    <w:p>
      <w:r>
        <w:rPr>
          <w:b/>
        </w:rPr>
        <w:t xml:space="preserve">Ergebnis: </w:t>
      </w:r>
      <w:r>
        <w:t>Personalausstattung in 90,9 % der Studien dokumentiert, Workflow/Planung in 78,2 %, Sicherheit in 58,2 %, Training in 52,7 % berichtet. Feasibility in 72,7 %, Akzeptabilität in 56,4 %, Adoption in 41,8 % dokumentiert. Nachhaltigkeit, technischer Support und Implementierungskosten unterberichtet.</w:t>
      </w:r>
    </w:p>
    <w:p>
      <w:r>
        <w:rPr>
          <w:b/>
          <w:sz w:val="19"/>
        </w:rPr>
        <w:t xml:space="preserve">Übertragbarkeit: </w:t>
      </w:r>
      <w:r>
        <w:rPr>
          <w:sz w:val="19"/>
        </w:rPr>
        <w:t>Implementierungsforschung, qualitative Evidenz; Systemkontext unterschiedlich aber methodisch relevant</w:t>
      </w:r>
    </w:p>
    <w:p>
      <w:r>
        <w:rPr>
          <w:color w:val="5A7D3A"/>
          <w:sz w:val="18"/>
        </w:rPr>
        <w:t>https://pubmed.ncbi.nlm.nih.gov/42651315/</w:t>
      </w:r>
    </w:p>
    <w:p>
      <w:pPr>
        <w:pStyle w:val="Heading2"/>
      </w:pPr>
      <w:r>
        <w:t>Peer Researcher in Surveys: Training, Support und Evaluation – Narrative Review</w:t>
      </w:r>
    </w:p>
    <w:p>
      <w:r>
        <w:rPr>
          <w:i/>
          <w:color w:val="666666"/>
          <w:sz w:val="18"/>
        </w:rPr>
        <w:t>Blunt TJG et al.  ·  Res Involv Engagem  ·  25.08.2026  ·  PMID 42642786</w:t>
      </w:r>
    </w:p>
    <w:p>
      <w:r>
        <w:t>Narrative Review von Literatur zu Involvement, Training und Evaluation von Peer Researchers bei survey-basierten Datenerhebungen (Fokus auf methodische Lücken).</w:t>
      </w:r>
    </w:p>
    <w:p>
      <w:r>
        <w:rPr>
          <w:b/>
        </w:rPr>
        <w:t xml:space="preserve">Ergebnis: </w:t>
      </w:r>
      <w:r>
        <w:t>PR-Rollen variabel, oft nur Datenerhebung. Training reicht von intensiv strukturiert bis minimal/absent. PR-Involvement verbesserte Rekrutierung, Rapport, Datentiefe, aber systematische Evaluation selten. Herausforderungen: Rollenklarheit unklar, unzureichende Unterstützung, hierarchische Dynamiken, Tokenismus.</w:t>
      </w:r>
    </w:p>
    <w:p>
      <w:r>
        <w:rPr>
          <w:b/>
          <w:sz w:val="19"/>
        </w:rPr>
        <w:t xml:space="preserve">Übertragbarkeit: </w:t>
      </w:r>
      <w:r>
        <w:rPr>
          <w:sz w:val="19"/>
        </w:rPr>
        <w:t>Partizipative Forschungsmethoden relevant für deutsches HSR; Evidenz international heterogen</w:t>
      </w:r>
    </w:p>
    <w:p>
      <w:r>
        <w:rPr>
          <w:color w:val="5A7D3A"/>
          <w:sz w:val="18"/>
        </w:rPr>
        <w:t>https://pubmed.ncbi.nlm.nih.gov/42642786/</w:t>
      </w:r>
    </w:p>
    <w:p>
      <w:pPr>
        <w:pStyle w:val="Heading2"/>
      </w:pPr>
      <w:r>
        <w:t>Systems Thinking in Public-Health-Interventionen: Barrieren und Facilitators</w:t>
      </w:r>
    </w:p>
    <w:p>
      <w:r>
        <w:rPr>
          <w:i/>
          <w:color w:val="666666"/>
          <w:sz w:val="18"/>
        </w:rPr>
        <w:t>Alabdulaali M et al.  ·  BMC Health Serv Res  ·  19.08.2026  ·  PMID 42642760</w:t>
      </w:r>
    </w:p>
    <w:p>
      <w:r>
        <w:t>Systematisches Review von 15 Studien zu Implementierung von Systems-Thinking-Ansätzen in Public-Health-Interventionen, Barrieren und Facilitators in 2013–2025.</w:t>
      </w:r>
    </w:p>
    <w:p>
      <w:r>
        <w:rPr>
          <w:b/>
        </w:rPr>
        <w:t xml:space="preserve">Ergebnis: </w:t>
      </w:r>
      <w:r>
        <w:t>Hauptfacilitatoren: Stakeholder-Engagement, Co-Production, Integration in bestehende Systeme, inkrementelle Kapazitätsbildung, Leadership-Support. Barrieren: Schwierigkeit, Systemkonzepte umzusetzen, Personalknappheit, fragmentierte Datensysteme, starre Governance, externe Disruptionen (z.B. COVID-19).</w:t>
      </w:r>
    </w:p>
    <w:p>
      <w:r>
        <w:rPr>
          <w:b/>
          <w:sz w:val="19"/>
        </w:rPr>
        <w:t xml:space="preserve">Übertragbarkeit: </w:t>
      </w:r>
      <w:r>
        <w:rPr>
          <w:sz w:val="19"/>
        </w:rPr>
        <w:t>Internationale Studien aber Implementierungsrahmen systemunabhängig; relevant für Reformkontexte wie Deutschland</w:t>
      </w:r>
    </w:p>
    <w:p>
      <w:r>
        <w:rPr>
          <w:color w:val="5A7D3A"/>
          <w:sz w:val="18"/>
        </w:rPr>
        <w:t>https://pubmed.ncbi.nlm.nih.gov/42642760/</w:t>
      </w:r>
    </w:p>
    <w:p>
      <w:pPr>
        <w:pStyle w:val="Heading2"/>
      </w:pPr>
      <w:r>
        <w:t>Räumliche Erreichbarkeit von Hospizen in Deutschland: Vergleich von Messmethoden</w:t>
      </w:r>
    </w:p>
    <w:p>
      <w:r>
        <w:rPr>
          <w:i/>
          <w:color w:val="666666"/>
          <w:sz w:val="18"/>
        </w:rPr>
        <w:t>Petzold T et al.  ·  BMC Health Serv Res  ·  21.08.2026  ·  PMID 42642757</w:t>
      </w:r>
    </w:p>
    <w:p>
      <w:r>
        <w:t>Vergleich von vier Methoden zur Messung der räumlichen Erreichbarkeit von Hospizen anhand von 295 deutschen Einrichtungen.</w:t>
      </w:r>
    </w:p>
    <w:p>
      <w:r>
        <w:rPr>
          <w:b/>
        </w:rPr>
        <w:t xml:space="preserve">Ergebnis: </w:t>
      </w:r>
      <w:r>
        <w:t>90,3 % der Bevölkerung erreichen ein Hospiz innerhalb von 30 min. Methoden zeigen unterschiedliche Ergebnisse: Provider-to-Population-Ratio zeigt 36,4 Betten pro 1 Mio. Einwohner national; FCA-Methoden sind heterogener, besonders in ländlichen Regionen. Die Wahl der Methode beeinflusst Ergebnisse erheblich.</w:t>
      </w:r>
    </w:p>
    <w:p>
      <w:r>
        <w:rPr>
          <w:b/>
          <w:sz w:val="19"/>
        </w:rPr>
        <w:t xml:space="preserve">Übertragbarkeit: </w:t>
      </w:r>
      <w:r>
        <w:rPr>
          <w:sz w:val="19"/>
        </w:rPr>
        <w:t>Deutsche Hospize, Routinedaten; direkt übertragbar auf deutsches Versorgungssystem</w:t>
      </w:r>
    </w:p>
    <w:p>
      <w:r>
        <w:rPr>
          <w:color w:val="5A7D3A"/>
          <w:sz w:val="18"/>
        </w:rPr>
        <w:t>https://pubmed.ncbi.nlm.nih.gov/42642757/</w:t>
      </w:r>
    </w:p>
    <w:p>
      <w:pPr>
        <w:pStyle w:val="Heading2"/>
      </w:pPr>
      <w:r>
        <w:t>Health Literacy und Malaria-Verhalten in Gabun: Assoziationen bei Prävention und Adhärenz</w:t>
      </w:r>
    </w:p>
    <w:p>
      <w:r>
        <w:rPr>
          <w:i/>
          <w:color w:val="666666"/>
          <w:sz w:val="18"/>
        </w:rPr>
        <w:t>Namubiru C et al.  ·  BMC Health Serv Res  ·  24.08.2026  ·  PMID 42642735</w:t>
      </w:r>
    </w:p>
    <w:p>
      <w:r>
        <w:t>Querschnittstudie zu Assoziationen zwischen Health Literacy und Malaria-Präventionsverhalten bei 504 Befragten in urban und ländlich Gabun.</w:t>
      </w:r>
    </w:p>
    <w:p>
      <w:r>
        <w:rPr>
          <w:b/>
        </w:rPr>
        <w:t xml:space="preserve">Ergebnis: </w:t>
      </w:r>
      <w:r>
        <w:t>59,7 % mit ausreichender Health Literacy (HL). HL assoziiert mit Dosierungswissen (AME 0,022, p&lt;0,001), Adhärenz (OR 1,089, p&lt;0,01), Fragen stellen (OR 1,092, p&lt;0,001) und Netztnutzung (p&lt;0,05). Keine Assoziation mit Behandlungssuche oder Buschrodung (p&gt;0,05).</w:t>
      </w:r>
    </w:p>
    <w:p>
      <w:r>
        <w:rPr>
          <w:b/>
          <w:sz w:val="19"/>
        </w:rPr>
        <w:t xml:space="preserve">Übertragbarkeit: </w:t>
      </w:r>
      <w:r>
        <w:rPr>
          <w:sz w:val="19"/>
        </w:rPr>
        <w:t>Ressourcen-limitiertes Setting mit anderen Prioritäten; Methodologie aber für Versorgungsforschung relevant</w:t>
      </w:r>
    </w:p>
    <w:p>
      <w:r>
        <w:rPr>
          <w:color w:val="5A7D3A"/>
          <w:sz w:val="18"/>
        </w:rPr>
        <w:t>https://pubmed.ncbi.nlm.nih.gov/42642735/</w:t>
      </w:r>
    </w:p>
    <w:p>
      <w:pPr>
        <w:pStyle w:val="Heading2"/>
      </w:pPr>
      <w:r>
        <w:t>Globale Fortschritte bei oralmedizinischen Bedingungen 2019–2023: GBD-Analyse</w:t>
      </w:r>
    </w:p>
    <w:p>
      <w:r>
        <w:rPr>
          <w:i/>
          <w:color w:val="666666"/>
          <w:sz w:val="18"/>
        </w:rPr>
        <w:t>GBD 2023 Oral Disorders Collaborators  ·  Lancet Public Health  ·  Sept. 2026  ·  PMID 42612648</w:t>
      </w:r>
    </w:p>
    <w:p>
      <w:r>
        <w:t>Systematische GBD-2023-Analyse zu globalen und regionalen Trends bei Prävalenz von Mundhöhlenerkrankungen (Karies, Parodontitis, Zahnlosigkeit) 2019–2023 gegenüber WHO-Ziel 2030.</w:t>
      </w:r>
    </w:p>
    <w:p>
      <w:r>
        <w:rPr>
          <w:b/>
        </w:rPr>
        <w:t xml:space="preserve">Ergebnis: </w:t>
      </w:r>
      <w:r>
        <w:t>Altersstandardisierte Prävalenz hauptsächlich sank um -1,55 % (95% UI -2,32 bis -0,82); absolute Fälle stiegen aber +3,07 %. Unbehandelte Karies in bleibenden Zähnen -1,99 %, orofaziale Spalten +2,25 %. Südasien -3,34 %, Sub-Sahara +9,51 %. Aktuelles Tempo unzureichend für 2030-Ziele.</w:t>
      </w:r>
    </w:p>
    <w:p>
      <w:r>
        <w:rPr>
          <w:b/>
          <w:sz w:val="19"/>
        </w:rPr>
        <w:t xml:space="preserve">Übertragbarkeit: </w:t>
      </w:r>
      <w:r>
        <w:rPr>
          <w:sz w:val="19"/>
        </w:rPr>
        <w:t>WHO-GBD-Daten global; Trendfeststellung systemunabhängig aber mit Lücken in DE-Datenerfassung</w:t>
      </w:r>
    </w:p>
    <w:p>
      <w:r>
        <w:rPr>
          <w:color w:val="5A7D3A"/>
          <w:sz w:val="18"/>
        </w:rPr>
        <w:t>https://pubmed.ncbi.nlm.nih.gov/42612648/</w:t>
      </w:r>
    </w:p>
    <w:p>
      <w:pPr>
        <w:pStyle w:val="Heading1"/>
      </w:pPr>
      <w:r>
        <w:t>Aufgenommen am 27.08.2026</w:t>
      </w:r>
    </w:p>
    <w:p>
      <w:pPr>
        <w:pStyle w:val="Heading2"/>
      </w:pPr>
      <w:r>
        <w:t>Safeguarding concerns older adults with dementia in England: distribution and disparities</w:t>
      </w:r>
    </w:p>
    <w:p>
      <w:r>
        <w:rPr>
          <w:i/>
          <w:color w:val="666666"/>
          <w:sz w:val="18"/>
        </w:rPr>
        <w:t>Maharani A et al.  ·  BMJ Open  ·  26.08.2026  ·  PMID 42648775</w:t>
      </w:r>
    </w:p>
    <w:p>
      <w:r>
        <w:t>Bevölkerungsgestützte Analyse räumlicher und zeitlicher Muster von Schutzmaßnahmen für demenzkranke Menschen in England zwischen 2015 und 2022.</w:t>
      </w:r>
    </w:p>
    <w:p>
      <w:r>
        <w:rPr>
          <w:b/>
        </w:rPr>
        <w:t xml:space="preserve">Ergebnis: </w:t>
      </w:r>
      <w:r>
        <w:t>Schutzmaßnahmen stiegen um 55,5 % (2015/16–2019/20); Frauen ab 85 Jahren zeigten höhere Raten; räumliche Variabilität: höhere Aktivität in urbanen und benachteiligten Regionen (Manchester, Liverpool, Midlands), niedrigere in ländlichen Gebieten.</w:t>
      </w:r>
    </w:p>
    <w:p>
      <w:r>
        <w:rPr>
          <w:b/>
          <w:sz w:val="19"/>
        </w:rPr>
        <w:t xml:space="preserve">Übertragbarkeit: </w:t>
      </w:r>
      <w:r>
        <w:rPr>
          <w:sz w:val="19"/>
        </w:rPr>
        <w:t>Großbritannien, administrative nationale Daten – eingeschränkt übertragbar wegen anderer Sozialsysteme</w:t>
      </w:r>
    </w:p>
    <w:p>
      <w:r>
        <w:rPr>
          <w:color w:val="5A7D3A"/>
          <w:sz w:val="18"/>
        </w:rPr>
        <w:t>https://pubmed.ncbi.nlm.nih.gov/42648775/</w:t>
      </w:r>
    </w:p>
    <w:p>
      <w:pPr>
        <w:pStyle w:val="Heading2"/>
      </w:pPr>
      <w:r>
        <w:t>Implementierung eines Care-Bundle für intracerebrale Blutungen in Nordengland</w:t>
      </w:r>
    </w:p>
    <w:p>
      <w:r>
        <w:rPr>
          <w:i/>
          <w:color w:val="666666"/>
          <w:sz w:val="18"/>
        </w:rPr>
        <w:t>Brunton L et al.  ·  BMJ Open Qual  ·  26.08.2026  ·  PMID 42648747</w:t>
      </w:r>
    </w:p>
    <w:p>
      <w:r>
        <w:t>Qualitative Prozessevaluation der Ausrollung eines ICH-Management-Bundles über sechs Regionen mit 45 Interviews, sechs Beobachtungen und Dokumentenanalyse.</w:t>
      </w:r>
    </w:p>
    <w:p>
      <w:r>
        <w:rPr>
          <w:b/>
        </w:rPr>
        <w:t xml:space="preserve">Ergebnis: </w:t>
      </w:r>
      <w:r>
        <w:t>Begünstigte Faktoren: Interventionsklarheit, Kompatibilität mit Kliniker-Werten, lokale Adaptabilität. Barrieren: mangelnde Fähigkeiten, kulturelle Normen führten zu Überweisungen unabhängig Kriterien, unzureichendes Monitoring der Prozeßziele.</w:t>
      </w:r>
    </w:p>
    <w:p>
      <w:r>
        <w:rPr>
          <w:b/>
          <w:sz w:val="19"/>
        </w:rPr>
        <w:t xml:space="preserve">Übertragbarkeit: </w:t>
      </w:r>
      <w:r>
        <w:rPr>
          <w:sz w:val="19"/>
        </w:rPr>
        <w:t>England, NHS-Kontext – bedingt übertragbar auf deutsches stationäres System</w:t>
      </w:r>
    </w:p>
    <w:p>
      <w:r>
        <w:rPr>
          <w:color w:val="5A7D3A"/>
          <w:sz w:val="18"/>
        </w:rPr>
        <w:t>https://pubmed.ncbi.nlm.nih.gov/42648747/</w:t>
      </w:r>
    </w:p>
    <w:p>
      <w:pPr>
        <w:pStyle w:val="Heading2"/>
      </w:pPr>
      <w:r>
        <w:t>Governance-Konfigurationen koordinierter Gesundheitsförderung in Kommunen</w:t>
      </w:r>
    </w:p>
    <w:p>
      <w:r>
        <w:rPr>
          <w:i/>
          <w:color w:val="666666"/>
          <w:sz w:val="18"/>
        </w:rPr>
        <w:t>Richter H et al.  ·  BMC Health Serv Res  ·  22.08.2026  ·  PMID 42642761</w:t>
      </w:r>
    </w:p>
    <w:p>
      <w:r>
        <w:t>Egozentrische Netzwerkanalyse der Koordinationsmuster von 14 Gesundheitsfachpersonen in deutschen Grundschulen und Nachbarschaften mit 662 erfassten Personen.</w:t>
      </w:r>
    </w:p>
    <w:p>
      <w:r>
        <w:rPr>
          <w:b/>
        </w:rPr>
        <w:t xml:space="preserve">Ergebnis: </w:t>
      </w:r>
      <w:r>
        <w:t>Drei Governance-Konfigurationen identifiziert: ego-abhängige Integration, ersetzbare Koordination und verteilte Integration. Netzwerkstabilität hängt weniger von Akteur-Dichte ab als von Struktur des Brokerage und Formalität alternativer Koordinationspfade.</w:t>
      </w:r>
    </w:p>
    <w:p>
      <w:r>
        <w:rPr>
          <w:b/>
          <w:sz w:val="19"/>
        </w:rPr>
        <w:t xml:space="preserve">Übertragbarkeit: </w:t>
      </w:r>
      <w:r>
        <w:rPr>
          <w:sz w:val="19"/>
        </w:rPr>
        <w:t>Deutschland, kommunale Gesundheitsförderung – direkt übertragbar</w:t>
      </w:r>
    </w:p>
    <w:p>
      <w:r>
        <w:rPr>
          <w:color w:val="5A7D3A"/>
          <w:sz w:val="18"/>
        </w:rPr>
        <w:t>https://pubmed.ncbi.nlm.nih.gov/42642761/</w:t>
      </w:r>
    </w:p>
    <w:p>
      <w:pPr>
        <w:pStyle w:val="Heading2"/>
      </w:pPr>
      <w:r>
        <w:t>Telemedicine in ländlicher Demenzversorgung in Hocheinkommensländern</w:t>
      </w:r>
    </w:p>
    <w:p>
      <w:r>
        <w:rPr>
          <w:i/>
          <w:color w:val="666666"/>
          <w:sz w:val="18"/>
        </w:rPr>
        <w:t>Devarshi R et al.  ·  BMC Health Serv Res  ·  19.08.2026  ·  PMID 42642758</w:t>
      </w:r>
    </w:p>
    <w:p>
      <w:r>
        <w:t>Scoping Review mit 9 Studien aus USA, Australien, Kanada, Griechenland und UK zur Integration von Telemedizin in ländliche Demenzsysteme (2014–2025).</w:t>
      </w:r>
    </w:p>
    <w:p>
      <w:r>
        <w:rPr>
          <w:b/>
        </w:rPr>
        <w:t xml:space="preserve">Ergebnis: </w:t>
      </w:r>
      <w:r>
        <w:t>Wichtige Barrieren: begrenzte Konnektivität, digitale Grundbildung, Gesundheitsbeeinträchtigungen; Begünstigter: Vertrauen zu Providern, organisationale Unterstützung. Strategien: Schulung, dedizierte Koordinationsrollen, Co-Design mit Patienten.</w:t>
      </w:r>
    </w:p>
    <w:p>
      <w:r>
        <w:rPr>
          <w:b/>
          <w:sz w:val="19"/>
        </w:rPr>
        <w:t xml:space="preserve">Übertragbarkeit: </w:t>
      </w:r>
      <w:r>
        <w:rPr>
          <w:sz w:val="19"/>
        </w:rPr>
        <w:t>Hocheinkommensländer, rural – teilweise übertragbar, systemische Unterschiede bei Finanzierung</w:t>
      </w:r>
    </w:p>
    <w:p>
      <w:r>
        <w:rPr>
          <w:color w:val="5A7D3A"/>
          <w:sz w:val="18"/>
        </w:rPr>
        <w:t>https://pubmed.ncbi.nlm.nih.gov/42642758/</w:t>
      </w:r>
    </w:p>
    <w:p>
      <w:pPr>
        <w:pStyle w:val="Heading2"/>
      </w:pPr>
      <w:r>
        <w:t>Überdiagnose in Krebsscreening: Perspektiven von Gesundheitsfachpersonen</w:t>
      </w:r>
    </w:p>
    <w:p>
      <w:r>
        <w:rPr>
          <w:i/>
          <w:color w:val="666666"/>
          <w:sz w:val="18"/>
        </w:rPr>
        <w:t>Piessens V et al.  ·  BMC Health Serv Res  ·  23.07.2026  ·  PMID 42642748</w:t>
      </w:r>
    </w:p>
    <w:p>
      <w:r>
        <w:t>Qualitative Interviews mit 34 Gesundheitsfachpersonen in Flandern zur Wahrnehmung und zum Umgang mit Überdiagnose in Brust-, Lungen- und Prostata-Screening.</w:t>
      </w:r>
    </w:p>
    <w:p>
      <w:r>
        <w:rPr>
          <w:b/>
        </w:rPr>
        <w:t xml:space="preserve">Ergebnis: </w:t>
      </w:r>
      <w:r>
        <w:t>Drei Positionen: RoutineScreening (Überdiagnose ignoriert), Determined Screening (Vorteile betont, Überdiagnose marginalisiert) und Cautious Screening (Überdiagnose kritisch). Begünstigte Faktoren für reflektiertes Handeln: umfassendes Verständnis von Nutzen und Schaden.</w:t>
      </w:r>
    </w:p>
    <w:p>
      <w:r>
        <w:rPr>
          <w:b/>
          <w:sz w:val="19"/>
        </w:rPr>
        <w:t xml:space="preserve">Übertragbarkeit: </w:t>
      </w:r>
      <w:r>
        <w:rPr>
          <w:sz w:val="19"/>
        </w:rPr>
        <w:t>Belgien, Sozialversicherungssystem – gut übertragbar auf Deutschland</w:t>
      </w:r>
    </w:p>
    <w:p>
      <w:r>
        <w:rPr>
          <w:color w:val="5A7D3A"/>
          <w:sz w:val="18"/>
        </w:rPr>
        <w:t>https://pubmed.ncbi.nlm.nih.gov/42642748/</w:t>
      </w:r>
    </w:p>
    <w:p>
      <w:pPr>
        <w:pStyle w:val="Heading2"/>
      </w:pPr>
      <w:r>
        <w:t>Räumliche Erreichbarkeit stationärer Hospize in Deutschland</w:t>
      </w:r>
    </w:p>
    <w:p>
      <w:r>
        <w:rPr>
          <w:i/>
          <w:color w:val="666666"/>
          <w:sz w:val="18"/>
        </w:rPr>
        <w:t>Xie M et al.  ·  BMC Public Health  ·  08.08.2026  ·  PMID 42642737</w:t>
      </w:r>
    </w:p>
    <w:p>
      <w:r>
        <w:t>Räumliche Zugangsanalyse zu 295 stationären Hospizen mittels Erreichbarkeitsindizes (Angebots-Bevölkerungs-Verhältnisse, Reisezeit-Netzwerk, 2SFCA, E2SFCA).</w:t>
      </w:r>
    </w:p>
    <w:p>
      <w:r>
        <w:rPr>
          <w:b/>
        </w:rPr>
        <w:t xml:space="preserve">Ergebnis: </w:t>
      </w:r>
      <w:r>
        <w:t>36,4 Betten pro 1 Mio. Einwohner national; 90,3 % der Bevölkerung erreicht Hospiz innerhalb 30 Min. Autofahrt; ländliche Gebiete zeigen niedrigere Zugänglichkeit; Methodenwahl beeinflußt Ergebnisse erheblich (2SFCA vs. E2SFCA).</w:t>
      </w:r>
    </w:p>
    <w:p>
      <w:r>
        <w:rPr>
          <w:b/>
          <w:sz w:val="19"/>
        </w:rPr>
        <w:t xml:space="preserve">Übertragbarkeit: </w:t>
      </w:r>
      <w:r>
        <w:rPr>
          <w:sz w:val="19"/>
        </w:rPr>
        <w:t>Deutschland, Routinedaten – direkt übertragbar</w:t>
      </w:r>
    </w:p>
    <w:p>
      <w:r>
        <w:rPr>
          <w:color w:val="5A7D3A"/>
          <w:sz w:val="18"/>
        </w:rPr>
        <w:t>https://pubmed.ncbi.nlm.nih.gov/42642737/</w:t>
      </w:r>
    </w:p>
    <w:p>
      <w:pPr>
        <w:pStyle w:val="Heading1"/>
      </w:pPr>
      <w:r>
        <w:t>Aufgenommen am 26.08.2026</w:t>
      </w:r>
    </w:p>
    <w:p>
      <w:pPr>
        <w:pStyle w:val="Heading2"/>
      </w:pPr>
      <w:r>
        <w:t>Digitale Gesundheitsanwendungen: Unterschiede bei sozioökonomisch benachteiligten Chroniker-Patienten in den Niederlanden</w:t>
      </w:r>
    </w:p>
    <w:p>
      <w:r>
        <w:rPr>
          <w:i/>
          <w:color w:val="666666"/>
          <w:sz w:val="18"/>
        </w:rPr>
        <w:t>Standaar LMB et al.  ·  Inquiry  ·  25.08.2026  ·  PMID 42641147</w:t>
      </w:r>
    </w:p>
    <w:p>
      <w:r>
        <w:t>Querschnittsstudie zur Nutzung von fünf e-Health-Anwendungen (Websites, Apps, Wearables, Patientenportale, digitale Kommunikation) bei 1.517 Niederländern mit chronischen Erkrankungen in Abhängigkeit vom Bildungsattainment.</w:t>
      </w:r>
    </w:p>
    <w:p>
      <w:r>
        <w:rPr>
          <w:b/>
        </w:rPr>
        <w:t xml:space="preserve">Ergebnis: </w:t>
      </w:r>
      <w:r>
        <w:t>Personen mit niedriger Bildung nutzten signifikant weniger Websites (OR 4,78), Apps (OR 2,88), Wearables (OR 2,12) und Patientenportale (OR 3,24) als Hochgebildete. Hochgebildete waren eher zum E-Health-Einsatz geneigt (RRR 2,21) und weniger unsicher (RRR 0,56). Digitale Angebote erreichen nicht alle Patientengruppen gleich.</w:t>
      </w:r>
    </w:p>
    <w:p>
      <w:r>
        <w:rPr>
          <w:b/>
          <w:sz w:val="19"/>
        </w:rPr>
        <w:t xml:space="preserve">Übertragbarkeit: </w:t>
      </w:r>
      <w:r>
        <w:rPr>
          <w:sz w:val="19"/>
        </w:rPr>
        <w:t>Niederlande, vergleichbares Sozialversicherungssystem mit ähnlichen e-Health-Hürden</w:t>
      </w:r>
    </w:p>
    <w:p>
      <w:r>
        <w:rPr>
          <w:color w:val="5A7D3A"/>
          <w:sz w:val="18"/>
        </w:rPr>
        <w:t>https://pubmed.ncbi.nlm.nih.gov/42641147/</w:t>
      </w:r>
    </w:p>
    <w:p>
      <w:pPr>
        <w:pStyle w:val="Heading2"/>
      </w:pPr>
      <w:r>
        <w:t>Determinanten antimikrobieller Verschreibungsmuster in der pädiatrischen Ambulantversorgung in Ghana</w:t>
      </w:r>
    </w:p>
    <w:p>
      <w:r>
        <w:rPr>
          <w:i/>
          <w:color w:val="666666"/>
          <w:sz w:val="18"/>
        </w:rPr>
        <w:t>Aduful AK et al.  ·  BMJ Paediatr Open  ·  21.08.2026  ·  PMID 42629162</w:t>
      </w:r>
    </w:p>
    <w:p>
      <w:r>
        <w:t>Retrospektive Analyse von 3.244 Antibiotikaverordnungen aus 16.555 pädiatrischen Ambulanzkonsultationen in Ghana zur Assoziation von Patienten- und Anbietermerkmalen mit Verschreibungsangemessenheit.</w:t>
      </w:r>
    </w:p>
    <w:p>
      <w:r>
        <w:rPr>
          <w:b/>
        </w:rPr>
        <w:t xml:space="preserve">Ergebnis: </w:t>
      </w:r>
      <w:r>
        <w:t>Männliches Geschlecht war mit Verordnung ohne Indikation assoziiert (p=0,007); ältere Kinder und Patienten mit Fieber erhielten seltener unangemessene Antibiotika (p=0,030, p=0,036). Spezialisierte Pflegekräfte und Physician Assistants zeigten mehr unangemessene Verordnungen als Assistenzärzte (p&lt;0,001, p=0,005); medizinische Offiziere und Resident Doctors verschrieben angemessenere Dosierungen und Dauern.</w:t>
      </w:r>
    </w:p>
    <w:p>
      <w:r>
        <w:rPr>
          <w:b/>
          <w:sz w:val="19"/>
        </w:rPr>
        <w:t xml:space="preserve">Übertragbarkeit: </w:t>
      </w:r>
      <w:r>
        <w:rPr>
          <w:sz w:val="19"/>
        </w:rPr>
        <w:t>Nur bedingt: Ressourcenlimitiertes System mit anderer Personalstruktur als Deutschland</w:t>
      </w:r>
    </w:p>
    <w:p>
      <w:r>
        <w:rPr>
          <w:color w:val="5A7D3A"/>
          <w:sz w:val="18"/>
        </w:rPr>
        <w:t>https://pubmed.ncbi.nlm.nih.gov/42629162/</w:t>
      </w:r>
    </w:p>
    <w:p>
      <w:pPr>
        <w:pStyle w:val="Heading2"/>
      </w:pPr>
      <w:r>
        <w:t>Standardisiertes Messinstrument für patientenberichtete Soziodemografie in deutschen Gesundheitsstudien</w:t>
      </w:r>
    </w:p>
    <w:p>
      <w:r>
        <w:rPr>
          <w:i/>
          <w:color w:val="666666"/>
          <w:sz w:val="18"/>
        </w:rPr>
        <w:t>Boczor S et al.  ·  BMC Med Res Methodol  ·  20.08.2026  ·  PMID 42625156</w:t>
      </w:r>
    </w:p>
    <w:p>
      <w:r>
        <w:t>Entwicklung und Evaluation eines praktikablen Standardinstruments zur Erfassung von Patientensoziodemografie in Gesundheitsstudien durch Expertenpanel, Fokusgruppe und Pretests an 290 Patienten in einer deutschen Universitätsklinik.</w:t>
      </w:r>
    </w:p>
    <w:p>
      <w:r>
        <w:rPr>
          <w:b/>
        </w:rPr>
        <w:t xml:space="preserve">Ergebnis: </w:t>
      </w:r>
      <w:r>
        <w:t>Mit 290 Studienteilnehmern (51% der 574 angesprochenen Patienten, Median 40 Jahre, 55% weiblich) erreichte das Instrument Akzeptanz: 66% hielten die Länge für angemessen, 96% fanden es verständlich. Sieben Fragen zu Einkommenssituation zeigten Klärungsbedarf und wurden überarbeitet. Finale Instrument erfasst 14 standardisierte Variablen zu biologischem Geschlecht, Geburt, Familienstand, Haushalt, Bildung, Beruf und soziodemografischen Merkmalen.</w:t>
      </w:r>
    </w:p>
    <w:p>
      <w:r>
        <w:rPr>
          <w:b/>
          <w:sz w:val="19"/>
        </w:rPr>
        <w:t xml:space="preserve">Übertragbarkeit: </w:t>
      </w:r>
      <w:r>
        <w:rPr>
          <w:sz w:val="19"/>
        </w:rPr>
        <w:t>Deutschland, Universitätsmedizin mit patientenzentriertem Ansatz zur Versorgungsforschung</w:t>
      </w:r>
    </w:p>
    <w:p>
      <w:r>
        <w:rPr>
          <w:color w:val="5A7D3A"/>
          <w:sz w:val="18"/>
        </w:rPr>
        <w:t>https://pubmed.ncbi.nlm.nih.gov/42625156/</w:t>
      </w:r>
    </w:p>
    <w:p>
      <w:pPr>
        <w:pStyle w:val="Heading1"/>
      </w:pPr>
      <w:r>
        <w:t>Aufgenommen am 25.08.2026</w:t>
      </w:r>
    </w:p>
    <w:p>
      <w:pPr>
        <w:pStyle w:val="Heading2"/>
      </w:pPr>
      <w:r>
        <w:t>Sterblichkeit bei akuter Lebererkrankung in England: nationale Kohortenstudie</w:t>
      </w:r>
    </w:p>
    <w:p>
      <w:r>
        <w:rPr>
          <w:i/>
          <w:color w:val="666666"/>
          <w:sz w:val="18"/>
        </w:rPr>
        <w:t>Campbell C et al.  ·  Eur J Intern Med  ·  24.08.2026  ·  PMID 42637631</w:t>
      </w:r>
    </w:p>
    <w:p>
      <w:r>
        <w:t>Studie zur Langzeitsterblichkeit von 82.402 Patienten mit chronischer Lebererkrankung nach erstem Notfallaufenthalt in englischen Krankenhäusern (2012-2019).</w:t>
      </w:r>
    </w:p>
    <w:p>
      <w:r>
        <w:rPr>
          <w:b/>
        </w:rPr>
        <w:t xml:space="preserve">Ergebnis: </w:t>
      </w:r>
      <w:r>
        <w:t>5-Jahres-Mortalität 59,9%; Median-Überlebenszeit 2,72 Jahre (95%-KI 2,66-2,79). Regional erhöhte Mortalität außerhalb Londons (adjHR 1,06-1,19); Encephalopathie (adjHR 1,70), Aszites (adjHR 1,64) und gastrointestinale Blutung (adjHR 1,10) mit erhöhter Mortalität assoziiert.</w:t>
      </w:r>
    </w:p>
    <w:p>
      <w:r>
        <w:rPr>
          <w:b/>
          <w:sz w:val="19"/>
        </w:rPr>
        <w:t xml:space="preserve">Übertragbarkeit: </w:t>
      </w:r>
      <w:r>
        <w:rPr>
          <w:sz w:val="19"/>
        </w:rPr>
        <w:t>Englische Routinedaten; vergleichbar mit deutschem NHS-ähnlichen System in Versorgungssteuerung und Datenqualität.</w:t>
      </w:r>
    </w:p>
    <w:p>
      <w:r>
        <w:rPr>
          <w:color w:val="5A7D3A"/>
          <w:sz w:val="18"/>
        </w:rPr>
        <w:t>https://pubmed.ncbi.nlm.nih.gov/42637631/</w:t>
      </w:r>
    </w:p>
    <w:p>
      <w:pPr>
        <w:pStyle w:val="Heading2"/>
      </w:pPr>
      <w:r>
        <w:t>Apotheken-Interventionen bei niedriger Health Literacy: systematische Übersicht mit Co-Design-Fokus</w:t>
      </w:r>
    </w:p>
    <w:p>
      <w:r>
        <w:rPr>
          <w:i/>
          <w:color w:val="666666"/>
          <w:sz w:val="18"/>
        </w:rPr>
        <w:t>Suppiah SD et al.  ·  Res Social Adm Pharm  ·  22.08.2026  ·  PMID 42637584</w:t>
      </w:r>
    </w:p>
    <w:p>
      <w:r>
        <w:t>Systematische Übersicht von neun RCTs (13 Publikationen) zu Apotheken-Interventionen für chronisch kranke Erwachsene mit eingeschränkter Health Literacy.</w:t>
      </w:r>
    </w:p>
    <w:p>
      <w:r>
        <w:rPr>
          <w:b/>
        </w:rPr>
        <w:t xml:space="preserve">Ergebnis: </w:t>
      </w:r>
      <w:r>
        <w:t>Medikamentenverstehen verbesserte sich konsistent, besonders durch patientenzentrierte Medikamentenetiketten; Adherence-Effekte waren inkonsistent und nicht nachhaltig; Care-Transition-Interventionen zeigten teilweise Reduktion ungünstiger Events. Co-Design-Elemente waren in nur einem Trial dokumentiert. 10 Studien, alle niedriges bis moderates Bias-Risiko.</w:t>
      </w:r>
    </w:p>
    <w:p>
      <w:r>
        <w:rPr>
          <w:b/>
          <w:sz w:val="19"/>
        </w:rPr>
        <w:t xml:space="preserve">Übertragbarkeit: </w:t>
      </w:r>
      <w:r>
        <w:rPr>
          <w:sz w:val="19"/>
        </w:rPr>
        <w:t>Australisch-singapurisches Autorenteam; Konzepte zu Patient-zentrierten Interventionen auf deutschsprachigen Raum übertragbar.</w:t>
      </w:r>
    </w:p>
    <w:p>
      <w:r>
        <w:rPr>
          <w:color w:val="5A7D3A"/>
          <w:sz w:val="18"/>
        </w:rPr>
        <w:t>https://pubmed.ncbi.nlm.nih.gov/42637584/</w:t>
      </w:r>
    </w:p>
    <w:p>
      <w:pPr>
        <w:pStyle w:val="Heading1"/>
      </w:pPr>
      <w:r>
        <w:t>Aufgenommen am 24.08.2026</w:t>
      </w:r>
    </w:p>
    <w:p>
      <w:pPr>
        <w:pStyle w:val="Heading2"/>
      </w:pPr>
      <w:r>
        <w:t>Kontinuität der Betreuung und Risiken von Krankenhausaufenthalten und Mortalität bei COPD: eine landesweite Kohortenstudie</w:t>
      </w:r>
    </w:p>
    <w:p>
      <w:r>
        <w:rPr>
          <w:i/>
          <w:color w:val="666666"/>
          <w:sz w:val="18"/>
        </w:rPr>
        <w:t>Ko J et al.  ·  Int J Chron Obstruct Pulmon Dis  ·  18.08.2026  ·  PMID 42633418</w:t>
      </w:r>
    </w:p>
    <w:p>
      <w:r>
        <w:t>Eine südkoreanische Kohortenstudie mit 29.316 COPD-Neudiagnosen untersucht den Einfluss der Kontinuität der Betreuung auf COPD-Exazerbationen und Sterblichkeit.</w:t>
      </w:r>
    </w:p>
    <w:p>
      <w:r>
        <w:rPr>
          <w:b/>
        </w:rPr>
        <w:t xml:space="preserve">Ergebnis: </w:t>
      </w:r>
      <w:r>
        <w:t>Niedrige Kontinuitätsscores waren mit erhöhtem Risiko für COPD-Exazerbations-Krankenhausaufenthalte (HR 1,63; 95 % KI 1,45–1,83) und Gesamtmortalität (HR 1,25; 95 % KI 1,11–1,40) verbunden. Fragmentierte ambulante Betreuung erhöhte präventable Krankenhausaufenthalte deutlich.</w:t>
      </w:r>
    </w:p>
    <w:p>
      <w:r>
        <w:rPr>
          <w:b/>
          <w:sz w:val="19"/>
        </w:rPr>
        <w:t xml:space="preserve">Übertragbarkeit: </w:t>
      </w:r>
      <w:r>
        <w:rPr>
          <w:sz w:val="19"/>
        </w:rPr>
        <w:t>Südkorea – Sozialversicherungssystem, hohe Übertragbarkeit auf Deutschland.</w:t>
      </w:r>
    </w:p>
    <w:p>
      <w:r>
        <w:rPr>
          <w:color w:val="5A7D3A"/>
          <w:sz w:val="18"/>
        </w:rPr>
        <w:t>https://pubmed.ncbi.nlm.nih.gov/42633418/</w:t>
      </w:r>
    </w:p>
    <w:p>
      <w:pPr>
        <w:pStyle w:val="Heading2"/>
      </w:pPr>
      <w:r>
        <w:t>Einfluss von Alter, Gebrechlichkeit und Komorbiditäten auf Überleben nach Mitralklappenreparatur in Deutschland</w:t>
      </w:r>
    </w:p>
    <w:p>
      <w:r>
        <w:rPr>
          <w:i/>
          <w:color w:val="666666"/>
          <w:sz w:val="18"/>
        </w:rPr>
        <w:t>Piayda K et al.  ·  Int J Cardiol Heart Vasc  ·  12.08.2026  ·  PMID 42633073</w:t>
      </w:r>
    </w:p>
    <w:p>
      <w:r>
        <w:t>Eine deutsche Routinedatenstudie mit 4.896 Patienten untersucht Prognosen nach minimalinvasiver Mitralklappenreparatur hinsichtlich Alter, Gebrechlichkeit und Komorbiditäten.</w:t>
      </w:r>
    </w:p>
    <w:p>
      <w:r>
        <w:rPr>
          <w:b/>
        </w:rPr>
        <w:t xml:space="preserve">Ergebnis: </w:t>
      </w:r>
      <w:r>
        <w:t>Sehr alte Patienten (80–99 Jahre): OR 1,2 (95 % KI 1,07–1,49). Mit Pflegegrad 1–3: OR 1,43–2,09. Mit ≥3 Komorbiditäten: OR 2,82 (95 % KI 2,37–3,36). Medizinische Gesamtausgaben blieben gleich, aber Herzinsuffizienz-Krankenhausaufenthalte sanken.</w:t>
      </w:r>
    </w:p>
    <w:p>
      <w:r>
        <w:rPr>
          <w:b/>
          <w:sz w:val="19"/>
        </w:rPr>
        <w:t xml:space="preserve">Übertragbarkeit: </w:t>
      </w:r>
      <w:r>
        <w:rPr>
          <w:sz w:val="19"/>
        </w:rPr>
        <w:t>Deutsche Routinedaten (BARMER Krankenkasse), direkt übertragbar.</w:t>
      </w:r>
    </w:p>
    <w:p>
      <w:r>
        <w:rPr>
          <w:color w:val="5A7D3A"/>
          <w:sz w:val="18"/>
        </w:rPr>
        <w:t>https://pubmed.ncbi.nlm.nih.gov/42633073/</w:t>
      </w:r>
    </w:p>
    <w:p>
      <w:pPr>
        <w:pStyle w:val="Heading1"/>
      </w:pPr>
      <w:r>
        <w:t>Aufgenommen am 23.08.2026</w:t>
      </w:r>
    </w:p>
    <w:p>
      <w:pPr>
        <w:pStyle w:val="Heading2"/>
      </w:pPr>
      <w:r>
        <w:t>Spiritual Distress bei erwachsenen Patienten vor elektiver Chirurgie: Qualitative Studie</w:t>
      </w:r>
    </w:p>
    <w:p>
      <w:r>
        <w:rPr>
          <w:i/>
          <w:color w:val="666666"/>
          <w:sz w:val="18"/>
        </w:rPr>
        <w:t>Makar KG et al.  ·  Surgery  ·  03.08.2026  ·  PMID 42632276</w:t>
      </w:r>
    </w:p>
    <w:p>
      <w:r>
        <w:t>Qualitative Studie zu spiritueller Belastung und deren Auswirkungen auf die präoperative Erfahrung bei Patienten mit geplanten Eingriffen.</w:t>
      </w:r>
    </w:p>
    <w:p>
      <w:r>
        <w:rPr>
          <w:b/>
        </w:rPr>
        <w:t xml:space="preserve">Ergebnis: </w:t>
      </w:r>
      <w:r>
        <w:t>23 von 29 Patienten (79,3%) zeigten spirituelle Belastung, 6 Patienten (20,7%) spirituelles Wohlbefinden. Spirituell belastete Patienten äußerten signifikant mehr Angst und Komplikationserwartungen, während spirituell stabile Patienten Chirurgie als Genesung wahrnahmen. Diese Befunde unterstreichen die Bedeutung routinemäßiger spiritueller Unterstützung in der perioperativen Versorgung.</w:t>
      </w:r>
    </w:p>
    <w:p>
      <w:r>
        <w:rPr>
          <w:b/>
          <w:sz w:val="19"/>
        </w:rPr>
        <w:t xml:space="preserve">Übertragbarkeit: </w:t>
      </w:r>
      <w:r>
        <w:rPr>
          <w:sz w:val="19"/>
        </w:rPr>
        <w:t>Qualitativ und systemunabhängig; konzeptualisiert patientenzentrierte Ergebnisse.</w:t>
      </w:r>
    </w:p>
    <w:p>
      <w:r>
        <w:rPr>
          <w:color w:val="5A7D3A"/>
          <w:sz w:val="18"/>
        </w:rPr>
        <w:t>https://pubmed.ncbi.nlm.nih.gov/42632276/</w:t>
      </w:r>
    </w:p>
    <w:p>
      <w:pPr>
        <w:pStyle w:val="Heading2"/>
      </w:pPr>
      <w:r>
        <w:t>Nicht-englische Sprachpräferenz und ICU-Aufnahmen über Notfallabteilungen: US-Analyse</w:t>
      </w:r>
    </w:p>
    <w:p>
      <w:r>
        <w:rPr>
          <w:i/>
          <w:color w:val="666666"/>
          <w:sz w:val="18"/>
        </w:rPr>
        <w:t>Kelleher DP et al.  ·  J Emerg Nurs  ·  22.08.2026  ·  PMID 42631682</w:t>
      </w:r>
    </w:p>
    <w:p>
      <w:r>
        <w:t>Longitudinale Kohortenstudie zum Vergleich von ICU-Aufnahmen zwischen Patienten mit nicht-englischer Sprachpräferenz und englischsprachigen Patienten.</w:t>
      </w:r>
    </w:p>
    <w:p>
      <w:r>
        <w:rPr>
          <w:b/>
        </w:rPr>
        <w:t xml:space="preserve">Ergebnis: </w:t>
      </w:r>
      <w:r>
        <w:t>Patienten mit nicht-englischer Sprachpräferenz hatten 99% höhere Aufnahmewahrscheinlichkeit auf die Intensivstation (OR = 1,99, 95% KI 1,63-2,42; p &lt; 0,001). Kein signifikanter Unterschied bei Verweildauer auf ICU oder im Krankenhaus. Ergebnis deutet auf diskriminierende oder ungleiche Zugangssteuerungsmechanismen hin.</w:t>
      </w:r>
    </w:p>
    <w:p>
      <w:r>
        <w:rPr>
          <w:b/>
          <w:sz w:val="19"/>
        </w:rPr>
        <w:t xml:space="preserve">Übertragbarkeit: </w:t>
      </w:r>
      <w:r>
        <w:rPr>
          <w:sz w:val="19"/>
        </w:rPr>
        <w:t>USA-Daten, Fragestellung aber zur gesundheitlichen Chancengleichheit systemunabhängig.</w:t>
      </w:r>
    </w:p>
    <w:p>
      <w:r>
        <w:rPr>
          <w:color w:val="5A7D3A"/>
          <w:sz w:val="18"/>
        </w:rPr>
        <w:t>https://pubmed.ncbi.nlm.nih.gov/42631682/</w:t>
      </w:r>
    </w:p>
    <w:p>
      <w:pPr>
        <w:pStyle w:val="Heading2"/>
      </w:pPr>
      <w:r>
        <w:t>ABC-Pathway-Adherence und kardiovaskuläre Ereignisse bei Vorhofflimmern: Asiatische Register-Analyse</w:t>
      </w:r>
    </w:p>
    <w:p>
      <w:r>
        <w:rPr>
          <w:i/>
          <w:color w:val="666666"/>
          <w:sz w:val="18"/>
        </w:rPr>
        <w:t>Bucci T et al.  ·  JACC Asia  ·  30.07.2026  ·  PMID 42631669</w:t>
      </w:r>
    </w:p>
    <w:p>
      <w:r>
        <w:t>Clusteranalyse von 3.468 asiatischen Patienten mit Vorhofflimmern zur Identifikation klinischer Phänotypen und zum Nachweis der Assoziation zwischen ABC-Pathway-Therapieadhärenz und Outcomes.</w:t>
      </w:r>
    </w:p>
    <w:p>
      <w:r>
        <w:rPr>
          <w:b/>
        </w:rPr>
        <w:t xml:space="preserve">Ergebnis: </w:t>
      </w:r>
      <w:r>
        <w:t>Fünf Cluster identifiziert mit gestuftem Risiko; ABC-Pathway-Adhärenz war mit niedrigerem Primärergebnis-Risiko assoziiert (HR 0,53, 95% KI 0,38-0,74), unabhängig vom Phänotyp. Ältere Patienten mit hoher kardiovaskulärer Belastung oder Herzinsuffizienz zeigten höchstes Risiko (HR 3,33-4,15 vs. junge Patientengruppe).</w:t>
      </w:r>
    </w:p>
    <w:p>
      <w:r>
        <w:rPr>
          <w:b/>
          <w:sz w:val="19"/>
        </w:rPr>
        <w:t xml:space="preserve">Übertragbarkeit: </w:t>
      </w:r>
      <w:r>
        <w:rPr>
          <w:sz w:val="19"/>
        </w:rPr>
        <w:t>Asien-Pazifik; Versorgungsqualität und Stratifikation auch für andere Systeme relevant.</w:t>
      </w:r>
    </w:p>
    <w:p>
      <w:r>
        <w:rPr>
          <w:color w:val="5A7D3A"/>
          <w:sz w:val="18"/>
        </w:rPr>
        <w:t>https://pubmed.ncbi.nlm.nih.gov/42631669/</w:t>
      </w:r>
    </w:p>
    <w:p>
      <w:pPr>
        <w:pStyle w:val="Heading2"/>
      </w:pPr>
      <w:r>
        <w:t>High-Dose High-Intensity Neurorehabilitation nach Schlaganfall: Konsens-Empfehlungen</w:t>
      </w:r>
    </w:p>
    <w:p>
      <w:r>
        <w:rPr>
          <w:i/>
          <w:color w:val="666666"/>
          <w:sz w:val="18"/>
        </w:rPr>
        <w:t>Branscheidt M et al.  ·  Int J Stroke  ·  22.08.2026  ·  PMID 42631575</w:t>
      </w:r>
    </w:p>
    <w:p>
      <w:r>
        <w:t>Internationale Konsensusfindung zur Identifizierung von Barrieren und Lösungen für die Umsetzung von intensiver Schlaganfall-Neurorehabilitation.</w:t>
      </w:r>
    </w:p>
    <w:p>
      <w:r>
        <w:rPr>
          <w:b/>
        </w:rPr>
        <w:t xml:space="preserve">Ergebnis: </w:t>
      </w:r>
      <w:r>
        <w:t>Vier Hauptbarrieren für Umsetzung: (1) Wissenslücke zu HDHI-Mechanismen, (2) Lieferketten- und Kapazitätsbeschränkungen, (3) Widerstand trotz Evidenz durch Zeitdruck und mangelnde administrative Unterstützung, (4) systemische Enabler unzureichend. Empfehlungen: Home-basierte Hybrid-Pathways, Reimbursement-Alignment und Infrastruktur für Kontinuität.</w:t>
      </w:r>
    </w:p>
    <w:p>
      <w:r>
        <w:rPr>
          <w:b/>
          <w:sz w:val="19"/>
        </w:rPr>
        <w:t xml:space="preserve">Übertragbarkeit: </w:t>
      </w:r>
      <w:r>
        <w:rPr>
          <w:sz w:val="19"/>
        </w:rPr>
        <w:t>Internationale Expertengruppe; Implementierungsforschung systemunabhängig.</w:t>
      </w:r>
    </w:p>
    <w:p>
      <w:r>
        <w:rPr>
          <w:color w:val="5A7D3A"/>
          <w:sz w:val="18"/>
        </w:rPr>
        <w:t>https://pubmed.ncbi.nlm.nih.gov/42631575/</w:t>
      </w:r>
    </w:p>
    <w:p>
      <w:pPr>
        <w:pStyle w:val="Heading1"/>
      </w:pPr>
      <w:r>
        <w:t>Aufgenommen am 22.08.2026</w:t>
      </w:r>
    </w:p>
    <w:p>
      <w:pPr>
        <w:pStyle w:val="Heading2"/>
      </w:pPr>
      <w:r>
        <w:t>Nosokomiale Infektionen und Antibiotikaresistenz im asiatischen Überwachungsnetz (ACORN-HAI)</w:t>
      </w:r>
    </w:p>
    <w:p>
      <w:r>
        <w:rPr>
          <w:i/>
          <w:color w:val="666666"/>
          <w:sz w:val="18"/>
        </w:rPr>
        <w:t>Mo Y et al.  ·  Lancet Infect Dis  ·  21.08.2026  ·  PMID 42628558</w:t>
      </w:r>
    </w:p>
    <w:p>
      <w:r>
        <w:t>Multinationale prospektive Kohortenstudie in 41 Krankenhäusern über 19 Länder in Asien zur Epidemiologie antimikrobieller Resistenz bei Healthcare-assoziierten Infektionen.</w:t>
      </w:r>
    </w:p>
    <w:p>
      <w:r>
        <w:rPr>
          <w:b/>
        </w:rPr>
        <w:t xml:space="preserve">Ergebnis: </w:t>
      </w:r>
      <w:r>
        <w:t>Von 9.642 analysierten Infektionsepisoden waren 73,7% mit resistenten Bakterien assoziiert. Gesamtsterblichkeit bei Gram-negativen Resistenzen: 37,7% (AMR) vs. 40,6% (Multiresistenz). Carbapenem-resistente Acinetobacter (CRA) und Enterobacterales (CRE) zeigten höchste Mortalität: CRA 51,3%, CRE 48,4%; attributable Mortalität CRA 19,4% (95% CI 14,1–24,7), CRE 16,2% (95% CI 12,8–19,6).</w:t>
      </w:r>
    </w:p>
    <w:p>
      <w:r>
        <w:rPr>
          <w:b/>
          <w:sz w:val="19"/>
        </w:rPr>
        <w:t xml:space="preserve">Übertragbarkeit: </w:t>
      </w:r>
      <w:r>
        <w:rPr>
          <w:sz w:val="19"/>
        </w:rPr>
        <w:t>Asiatische Länder mit Ressourcenengpässen, aber Daten zur Antimikrobial Stewardship systemunabhängig relevant</w:t>
      </w:r>
    </w:p>
    <w:p>
      <w:r>
        <w:rPr>
          <w:color w:val="5A7D3A"/>
          <w:sz w:val="18"/>
        </w:rPr>
        <w:t>https://pubmed.ncbi.nlm.nih.gov/42628558/</w:t>
      </w:r>
    </w:p>
    <w:p>
      <w:pPr>
        <w:pStyle w:val="Heading2"/>
      </w:pPr>
      <w:r>
        <w:t>Auswirkungen von nationaler kognitiver Screening auf Demenzversorgung und Hospitalisierung in Südkorea</w:t>
      </w:r>
    </w:p>
    <w:p>
      <w:r>
        <w:rPr>
          <w:i/>
          <w:color w:val="666666"/>
          <w:sz w:val="18"/>
        </w:rPr>
        <w:t>Lim JH et al.  ·  Alzheimers Dement  ·  Aug. 2026  ·  PMID 42625505</w:t>
      </w:r>
    </w:p>
    <w:p>
      <w:r>
        <w:t>Südkorea: Kohortenstudie zur Auswirkung eines 2007 eingeführten nationalen kognitiven Screening-Programms auf nachfolgende Demenzversorgung und Hospitalisierung.</w:t>
      </w:r>
    </w:p>
    <w:p>
      <w:r>
        <w:rPr>
          <w:b/>
        </w:rPr>
        <w:t xml:space="preserve">Ergebnis: </w:t>
      </w:r>
      <w:r>
        <w:t>Kognitive Früherkennung war mit einer 37% höheren Wahrscheinlichkeit für Demenzbehandlung innerhalb von 2 Jahren (p&lt;0,001) und einem 12% niedrigerem Risiko für demenzbedingte Hospitalisierung innerhalb von 10 Jahren assoziiert. Baseline: 1,4% erhielten Demenzbehandlung, 3,0% wurden hospitalisiert.</w:t>
      </w:r>
    </w:p>
    <w:p>
      <w:r>
        <w:rPr>
          <w:b/>
          <w:sz w:val="19"/>
        </w:rPr>
        <w:t xml:space="preserve">Übertragbarkeit: </w:t>
      </w:r>
      <w:r>
        <w:rPr>
          <w:sz w:val="19"/>
        </w:rPr>
        <w:t>Asiatisches System mit Screening-Struktur, aber steuerfinanziert - Fragestellung zur Frühdiagnose systemunabhängig relevant</w:t>
      </w:r>
    </w:p>
    <w:p>
      <w:r>
        <w:rPr>
          <w:color w:val="5A7D3A"/>
          <w:sz w:val="18"/>
        </w:rPr>
        <w:t>https://pubmed.ncbi.nlm.nih.gov/42625505/</w:t>
      </w:r>
    </w:p>
    <w:p>
      <w:pPr>
        <w:pStyle w:val="Heading2"/>
      </w:pPr>
      <w:r>
        <w:t>Nutzerbewertung KI-generierter und menschlicher Antworten in digitaler Gesundheitskommunikation</w:t>
      </w:r>
    </w:p>
    <w:p>
      <w:r>
        <w:rPr>
          <w:i/>
          <w:color w:val="666666"/>
          <w:sz w:val="18"/>
        </w:rPr>
        <w:t>Schulz C et al.  ·  BMC Health Serv Res  ·  19.08.2026  ·  PMID 42618915</w:t>
      </w:r>
    </w:p>
    <w:p>
      <w:r>
        <w:t>Deutschland: Paired-Survey-Studie, in der Nutzer ChatGPT-4-generierte und von einem Physiotherapeuten verfasste Antworten auf Gesundheitsfragen vergleichend bewerteten.</w:t>
      </w:r>
    </w:p>
    <w:p>
      <w:r>
        <w:rPr>
          <w:b/>
        </w:rPr>
        <w:t xml:space="preserve">Ergebnis: </w:t>
      </w:r>
      <w:r>
        <w:t>Über die meisten Kriterien hinweg wurde die KI-Antwort besser bewertet als die menschliche, besonders bei Empathie und Verständlichkeit (alle p&lt;0,001). Expert-Rating favorisierte auch die KI-Antwort in Bezug auf Richtigkeit und Vollständigkeit, obwohl Längen und Struktur differierten. Teilnehmerzahl n=224.</w:t>
      </w:r>
    </w:p>
    <w:p>
      <w:r>
        <w:rPr>
          <w:b/>
          <w:sz w:val="19"/>
        </w:rPr>
        <w:t xml:space="preserve">Übertragbarkeit: </w:t>
      </w:r>
      <w:r>
        <w:rPr>
          <w:sz w:val="19"/>
        </w:rPr>
        <w:t>Deutsche Studie in Healthcare-System kontextualisiert; Aussage zu Nutzerpräferenz systemabhängig, aber zur Kommunikationsqualität relevant</w:t>
      </w:r>
    </w:p>
    <w:p>
      <w:r>
        <w:rPr>
          <w:color w:val="5A7D3A"/>
          <w:sz w:val="18"/>
        </w:rPr>
        <w:t>https://pubmed.ncbi.nlm.nih.gov/42618915/</w:t>
      </w:r>
    </w:p>
    <w:p>
      <w:pPr>
        <w:pStyle w:val="Heading1"/>
      </w:pPr>
      <w:r>
        <w:t>Aufgenommen am 21.08.2026</w:t>
      </w:r>
    </w:p>
    <w:p>
      <w:pPr>
        <w:pStyle w:val="Heading2"/>
      </w:pPr>
      <w:r>
        <w:t>Vergütungstyp von Hausärzten und Antibiotikaverordnungen: Analyse von Patienten­wechseln mit Routinedaten</w:t>
      </w:r>
    </w:p>
    <w:p>
      <w:r>
        <w:rPr>
          <w:i/>
          <w:color w:val="666666"/>
          <w:sz w:val="18"/>
        </w:rPr>
        <w:t>Kraft KB et al.  ·  Scand J Prim Health Care  ·  20.08.2026  ·  PMID 42622517</w:t>
      </w:r>
    </w:p>
    <w:p>
      <w:r>
        <w:t>Norwegische Studie zu Auswirkungen verschiedener Vergütungsformen (Fee-for-Service vs. Gehalt) auf die Antibiotikaverordnungen bei Patienten, die die Hausarztpraxis wechselten.</w:t>
      </w:r>
    </w:p>
    <w:p>
      <w:r>
        <w:rPr>
          <w:b/>
        </w:rPr>
        <w:t xml:space="preserve">Ergebnis: </w:t>
      </w:r>
      <w:r>
        <w:t>Patienten, die von einem Allgemeinarzt mit Fee-for-Service zu einem salariierten Arzt wechselten, reduzierten ihre monatliche Antibiotikanutzung um 21 definierte Tagesdosen pro 1000 Patienten (SD=7); umgekehrt erhöhte sich die Nutzung um 85 DDD pro 1000 Patienten (SD=20) beim Wechsel zu Fee-for-Service. Dies deutet darauf hin, dass die Vergütungsform einen signifikanten Effekt auf das Verschreibungsverhalten hat.</w:t>
      </w:r>
    </w:p>
    <w:p>
      <w:r>
        <w:rPr>
          <w:b/>
          <w:sz w:val="19"/>
        </w:rPr>
        <w:t xml:space="preserve">Übertragbarkeit: </w:t>
      </w:r>
      <w:r>
        <w:rPr>
          <w:sz w:val="19"/>
        </w:rPr>
        <w:t>Niederlande, Belgien, Frankreich: vergleichbare Sozialversicherungssysteme mit Capitation und FFS</w:t>
      </w:r>
    </w:p>
    <w:p>
      <w:r>
        <w:rPr>
          <w:color w:val="5A7D3A"/>
          <w:sz w:val="18"/>
        </w:rPr>
        <w:t>https://pubmed.ncbi.nlm.nih.gov/42622517/</w:t>
      </w:r>
    </w:p>
    <w:p>
      <w:pPr>
        <w:pStyle w:val="Heading2"/>
      </w:pPr>
      <w:r>
        <w:t>Übergang von medizinischer zu beruflicher Rehabilitation in Deutschland: Erfahrungen der Rehabilitanden</w:t>
      </w:r>
    </w:p>
    <w:p>
      <w:r>
        <w:rPr>
          <w:i/>
          <w:color w:val="666666"/>
          <w:sz w:val="18"/>
        </w:rPr>
        <w:t>Wengemuth E et al.  ·  Front Rehabil Sci  ·  05.08.2026  ·  PMID 42621103</w:t>
      </w:r>
    </w:p>
    <w:p>
      <w:r>
        <w:t>Explorative Mixed-Methods-Studie über Erfahrungen von Rehabilitanden beim Übergang von medizinischer zu beruflicher Rehabilitation in Deutschland mit quantitativen und qualitativen Datenerfassungsmethoden.</w:t>
      </w:r>
    </w:p>
    <w:p>
      <w:r>
        <w:rPr>
          <w:b/>
        </w:rPr>
        <w:t xml:space="preserve">Ergebnis: </w:t>
      </w:r>
      <w:r>
        <w:t>Von 61 Befragten berichteten etwa 50 %, über berufliche Rehabilitation während medizinischer Rehabilitation informiert worden zu sein; deutlich weniger erhielten praktische Unterstützung (z.B. Antragshilfe). Hausärzte und Fachärzte wurden von etwa 60 % als unterstützend empfunden, Arbeitgeber als am wenigsten hilfreich. Knapp zwei Drittel fühlten sich selbstbestimmt bei der Wahl und beim Beginn des beruflichen Rehabilitationsprogramms, einige berichteten aber von Druck. Mangelnde Kooperation zwischen Akteuren erschwerte den Übergang.</w:t>
      </w:r>
    </w:p>
    <w:p>
      <w:r>
        <w:rPr>
          <w:b/>
          <w:sz w:val="19"/>
        </w:rPr>
        <w:t xml:space="preserve">Übertragbarkeit: </w:t>
      </w:r>
      <w:r>
        <w:rPr>
          <w:sz w:val="19"/>
        </w:rPr>
        <w:t>Deutsche Routinedaten, deutsches Rehabilitationssystem direkt relevant</w:t>
      </w:r>
    </w:p>
    <w:p>
      <w:r>
        <w:rPr>
          <w:color w:val="5A7D3A"/>
          <w:sz w:val="18"/>
        </w:rPr>
        <w:t>https://pubmed.ncbi.nlm.nih.gov/42621103/</w:t>
      </w:r>
    </w:p>
    <w:p>
      <w:pPr>
        <w:pStyle w:val="Heading2"/>
      </w:pPr>
      <w:r>
        <w:t>Öffentliche Gesundheitskommunikation während COVID-19 in Stockholm: Community-Engagement für Migranten</w:t>
      </w:r>
    </w:p>
    <w:p>
      <w:r>
        <w:rPr>
          <w:i/>
          <w:color w:val="666666"/>
          <w:sz w:val="18"/>
        </w:rPr>
        <w:t>Strand M et al.  ·  BMC Health Serv Res  ·  18.08.2026  ·  PMID 42618922</w:t>
      </w:r>
    </w:p>
    <w:p>
      <w:r>
        <w:t>Qualitative Studie über die Entwicklung und Umsetzung von Krisenkommunikationsmaterialien für migrationsgeprägte Gemeinschaften in Stockholm während der COVID-19-Pandemie.</w:t>
      </w:r>
    </w:p>
    <w:p>
      <w:r>
        <w:rPr>
          <w:b/>
        </w:rPr>
        <w:t xml:space="preserve">Ergebnis: </w:t>
      </w:r>
      <w:r>
        <w:t>Vier Hauptthemen zeigten zeitliche Entwicklung: Frühe Phase fokussierte auf Sprachübersetzung standardisierter Botschaften, verlagerte sich aber zu dialogbasierter Einbindung. Wichtige Erkenntnisse waren Vertrauensaufbau durch Community-Stakeholder, Adressierung struktureller Barrieren statt fehlenden Verständnisses, Stigmabekämpfung und kreative Problemlösung. Viele Fachleute äußerten Bedenken, dass etablierte Netzwerke und gewonnene Erkenntnisse verloren gingen.</w:t>
      </w:r>
    </w:p>
    <w:p>
      <w:r>
        <w:rPr>
          <w:b/>
          <w:sz w:val="19"/>
        </w:rPr>
        <w:t xml:space="preserve">Übertragbarkeit: </w:t>
      </w:r>
      <w:r>
        <w:rPr>
          <w:sz w:val="19"/>
        </w:rPr>
        <w:t>Skandinavien, steuerfinanziert: Erkenntnisse zu Prozessen und Patientenperspektive übertragbar</w:t>
      </w:r>
    </w:p>
    <w:p>
      <w:r>
        <w:rPr>
          <w:color w:val="5A7D3A"/>
          <w:sz w:val="18"/>
        </w:rPr>
        <w:t>https://pubmed.ncbi.nlm.nih.gov/42618922/</w:t>
      </w:r>
    </w:p>
    <w:p>
      <w:pPr>
        <w:pStyle w:val="Heading2"/>
      </w:pPr>
      <w:r>
        <w:t>Abbildung der HoNOS auf die EQ-5D-5L zur QALY-Berechnung in der Psychiatrie</w:t>
      </w:r>
    </w:p>
    <w:p>
      <w:r>
        <w:rPr>
          <w:i/>
          <w:color w:val="666666"/>
          <w:sz w:val="18"/>
        </w:rPr>
        <w:t>Lamu AN et al.  ·  Med Decis Making  ·  13.08.2026  ·  PMID 42596686</w:t>
      </w:r>
    </w:p>
    <w:p>
      <w:r>
        <w:t>Mapping-Studie zur Vorhersage von EQ-5D-5L-Werten aus der Health of the Nation Outcome Scales (HoNOS) bei Erwachsenen mit schweren psychischen Erkrankungen für die gesundheitsökonomische Bewertung.</w:t>
      </w:r>
    </w:p>
    <w:p>
      <w:r>
        <w:rPr>
          <w:b/>
        </w:rPr>
        <w:t xml:space="preserve">Ergebnis: </w:t>
      </w:r>
      <w:r>
        <w:t>Vier ökonometrische Verfahren wurden getestet; das Fractional Regression Model (FRM) zeigte beste Performance. In der 10-fach-Kreuzvalidierung mit deutschen EQ-5D-5L-Werten erreichte FRM: RMSE=0,2204, MAE=0,1622, r²=36,5 %. Das Modell ermöglicht QALY-Schätzungen aus HoNOS-Daten und eröffnet wirtschaftliche Bewertungen von psychischen Gesundheitsinterventionen, wenn nur HoNOS-Informationen verfügbar sind.</w:t>
      </w:r>
    </w:p>
    <w:p>
      <w:r>
        <w:rPr>
          <w:b/>
          <w:sz w:val="19"/>
        </w:rPr>
        <w:t xml:space="preserve">Übertragbarkeit: </w:t>
      </w:r>
      <w:r>
        <w:rPr>
          <w:sz w:val="19"/>
        </w:rPr>
        <w:t>Deutschland, methodisches Instrument für deutschsprachige Gesundheitsökonomie</w:t>
      </w:r>
    </w:p>
    <w:p>
      <w:r>
        <w:rPr>
          <w:color w:val="5A7D3A"/>
          <w:sz w:val="18"/>
        </w:rPr>
        <w:t>https://pubmed.ncbi.nlm.nih.gov/42596686/</w:t>
      </w:r>
    </w:p>
    <w:p>
      <w:pPr>
        <w:pStyle w:val="Heading1"/>
      </w:pPr>
      <w:r>
        <w:t>Aufgenommen am 20.08.2026</w:t>
      </w:r>
    </w:p>
    <w:p>
      <w:pPr>
        <w:pStyle w:val="Heading2"/>
      </w:pPr>
      <w:r>
        <w:t>Vorbereitung auf zukünftige Pandemien: Befähigung und Unterstützungsbedarf des Pflegepersonals im Querschnitt</w:t>
      </w:r>
    </w:p>
    <w:p>
      <w:r>
        <w:rPr>
          <w:i/>
          <w:color w:val="666666"/>
          <w:sz w:val="18"/>
        </w:rPr>
        <w:t>Noorland SA et al.  ·  Nurs Outlook  ·  19.08.2026  ·  PMID 42617414</w:t>
      </w:r>
    </w:p>
    <w:p>
      <w:r>
        <w:t>Eine niederländische Querschnittsstudie untersuchte die mentale Leistungsfähigkeit des Pflegepersonals für zukünftige Pandemien, deren psychische Gesundheit nach COVID-19 und deren Vorlieben für psychosoziale Unterstützung.</w:t>
      </w:r>
    </w:p>
    <w:p>
      <w:r>
        <w:rPr>
          <w:b/>
        </w:rPr>
        <w:t xml:space="preserve">Ergebnis: </w:t>
      </w:r>
      <w:r>
        <w:t>90,4 % fühlten sich mental fähig, während einer zukünftigen Pandemie zu arbeiten. Die mentale Gesundheit war generell gut (Median MHI-5: 84) und positiv assoziiert mit höherer wahrgenommener Fähigkeit. Das Personal bevorzugte Peer-basierte Unterstützung (Gruppengespräche, moralische Fallberatungen, Partnerschaft mit Kollegen) gegenüber Einzelgesprächen und Stressmanagement-Schulungen.</w:t>
      </w:r>
    </w:p>
    <w:p>
      <w:r>
        <w:rPr>
          <w:b/>
          <w:sz w:val="19"/>
        </w:rPr>
        <w:t xml:space="preserve">Übertragbarkeit: </w:t>
      </w:r>
      <w:r>
        <w:rPr>
          <w:sz w:val="19"/>
        </w:rPr>
        <w:t>Niederlande, vergleichbares Sozialversicherungssystem, hohe Übertragbarkeit für Pflegepersonalentwicklung</w:t>
      </w:r>
    </w:p>
    <w:p>
      <w:r>
        <w:rPr>
          <w:color w:val="5A7D3A"/>
          <w:sz w:val="18"/>
        </w:rPr>
        <w:t>https://pubmed.ncbi.nlm.nih.gov/42617414/</w:t>
      </w:r>
    </w:p>
    <w:p>
      <w:pPr>
        <w:pStyle w:val="Heading2"/>
      </w:pPr>
      <w:r>
        <w:t>Datensouveränität in der Langzeitpflege: Mixed-Methods-Studie zur Reifegradbeurteilung</w:t>
      </w:r>
    </w:p>
    <w:p>
      <w:r>
        <w:rPr>
          <w:i/>
          <w:color w:val="666666"/>
          <w:sz w:val="18"/>
        </w:rPr>
        <w:t>Bouchmal S et al.  ·  J Med Internet Res  ·  19.08.2026  ·  PMID 42617155</w:t>
      </w:r>
    </w:p>
    <w:p>
      <w:r>
        <w:t>Eine niederländische Mixed-Methods-Studie in drei Langzeitpflege-Organisationen untersuchte deren Fähigkeit zur Nutzung von Daten für Entscheidungen und Qualitätsverbesserungen.</w:t>
      </w:r>
    </w:p>
    <w:p>
      <w:r>
        <w:rPr>
          <w:b/>
        </w:rPr>
        <w:t xml:space="preserve">Ergebnis: </w:t>
      </w:r>
      <w:r>
        <w:t>Organisationen wiesen niedrige Datenreife auf. Bereiche Strategie, Governance und Datenqualität waren durchgehend niedrig. Vier Themen wurden identifiziert: fehlende klare Vision (Datenreife niedrig), Datenkultur als Voraussetzung, begrenzte Interdisziplinarität und Infrastruktur- sowie kulturelle Hürden hemmen nachhaltige Nutzung.</w:t>
      </w:r>
    </w:p>
    <w:p>
      <w:r>
        <w:rPr>
          <w:b/>
          <w:sz w:val="19"/>
        </w:rPr>
        <w:t xml:space="preserve">Übertragbarkeit: </w:t>
      </w:r>
      <w:r>
        <w:rPr>
          <w:sz w:val="19"/>
        </w:rPr>
        <w:t>Niederlande, Langzeitpflege-Setting, hohe Übertragbarkeit auf deutsche Altenheime</w:t>
      </w:r>
    </w:p>
    <w:p>
      <w:r>
        <w:rPr>
          <w:color w:val="5A7D3A"/>
          <w:sz w:val="18"/>
        </w:rPr>
        <w:t>https://pubmed.ncbi.nlm.nih.gov/42617155/</w:t>
      </w:r>
    </w:p>
    <w:p>
      <w:pPr>
        <w:pStyle w:val="Heading2"/>
      </w:pPr>
      <w:r>
        <w:t>Kosteneffektivität der Herpes-zoster-Impfung bei rheumatoider Arthritis</w:t>
      </w:r>
    </w:p>
    <w:p>
      <w:r>
        <w:rPr>
          <w:i/>
          <w:color w:val="666666"/>
          <w:sz w:val="18"/>
        </w:rPr>
        <w:t>Hagen G et al.  ·  Rheumatology (Oxford)  ·  19.08.2026  ·  PMID 42616666</w:t>
      </w:r>
    </w:p>
    <w:p>
      <w:r>
        <w:t>Eine norwegische Markov-Modellierungsstudie bewertete die Kosteneffektivität der adjuvantierten rekombinanten Zoster-Impfung (RZV) bei RA-Patienten.</w:t>
      </w:r>
    </w:p>
    <w:p>
      <w:r>
        <w:rPr>
          <w:b/>
        </w:rPr>
        <w:t xml:space="preserve">Ergebnis: </w:t>
      </w:r>
      <w:r>
        <w:t>RZV vermied 2.550 HZ-Fälle und 1.303 PHN-Fälle pro 10.000 RA-Patienten, ICER von 11.205 EUR/QALY (unter Schwellenwert von 23.650 EUR/QALY). Probabilistische Analyse zeigte 98 % Wahrscheinlichkeit der Kosteneffektivität. Sensitivitätsanalysen zeigten Robustheit der Ergebnisse.</w:t>
      </w:r>
    </w:p>
    <w:p>
      <w:r>
        <w:rPr>
          <w:b/>
          <w:sz w:val="19"/>
        </w:rPr>
        <w:t xml:space="preserve">Übertragbarkeit: </w:t>
      </w:r>
      <w:r>
        <w:rPr>
          <w:sz w:val="19"/>
        </w:rPr>
        <w:t>Norwegen, skandinavisches Steuersystem, gut übertragbar für Vakzinations- und Preventiv-Fragen</w:t>
      </w:r>
    </w:p>
    <w:p>
      <w:r>
        <w:rPr>
          <w:color w:val="5A7D3A"/>
          <w:sz w:val="18"/>
        </w:rPr>
        <w:t>https://pubmed.ncbi.nlm.nih.gov/42616666/</w:t>
      </w:r>
    </w:p>
    <w:p>
      <w:pPr>
        <w:pStyle w:val="Heading2"/>
      </w:pPr>
      <w:r>
        <w:t>Förderung von Autonomie in Zwangsbetreuung: Vergleichende Analyse europäischer Gesetze in 27 Ländern</w:t>
      </w:r>
    </w:p>
    <w:p>
      <w:r>
        <w:rPr>
          <w:i/>
          <w:color w:val="666666"/>
          <w:sz w:val="18"/>
        </w:rPr>
        <w:t>Aluh DO et al.  ·  Soc Psychiatry Psychiatr Epidemiol  ·  19.08.2026  ·  PMID 42616064</w:t>
      </w:r>
    </w:p>
    <w:p>
      <w:r>
        <w:t>Vergleichende Analyse von Gesetzen aus 27 europäischen Jurisdiktionen zu Autonomie-fördernden Bestimmungen bei Zwangsbetreuung unter Berücksichtigung der UN-Behindertenrechtskonvention.</w:t>
      </w:r>
    </w:p>
    <w:p>
      <w:r>
        <w:rPr>
          <w:b/>
        </w:rPr>
        <w:t xml:space="preserve">Ergebnis: </w:t>
      </w:r>
      <w:r>
        <w:t>Alle 27 Legislationen beinhalten Maßnahmen zum Legalitätsprinzip, Berufungsrecht und rechtliche Unterstützung; Advance Healthcare Directives und Supported Decision-Making waren seltener verankert; Verfahrensschutzgarantien sind etabliert, aber signifikante Varianz bei anderen Autonomie-fördernden Mechanismen bleibt bestehen.</w:t>
      </w:r>
    </w:p>
    <w:p>
      <w:r>
        <w:rPr>
          <w:b/>
          <w:sz w:val="19"/>
        </w:rPr>
        <w:t xml:space="preserve">Übertragbarkeit: </w:t>
      </w:r>
      <w:r>
        <w:rPr>
          <w:sz w:val="19"/>
        </w:rPr>
        <w:t>Europäische Legislationen inklusive Deutschland, Österreich, Schweiz</w:t>
      </w:r>
    </w:p>
    <w:p>
      <w:r>
        <w:rPr>
          <w:color w:val="5A7D3A"/>
          <w:sz w:val="18"/>
        </w:rPr>
        <w:t>https://pubmed.ncbi.nlm.nih.gov/42616064/</w:t>
      </w:r>
    </w:p>
    <w:p>
      <w:pPr>
        <w:pStyle w:val="Heading2"/>
      </w:pPr>
      <w:r>
        <w:t>Resilienz der Impfversorgung in Äthiopien während COVID-19: Dezentralisierung schützt vor Ausfällen</w:t>
      </w:r>
    </w:p>
    <w:p>
      <w:r>
        <w:rPr>
          <w:i/>
          <w:color w:val="666666"/>
          <w:sz w:val="18"/>
        </w:rPr>
        <w:t>Gedefaw A et al.  ·  BMC Health Serv Res  ·  17.08.2026  ·  PMID 42613610</w:t>
      </w:r>
    </w:p>
    <w:p>
      <w:r>
        <w:t>Eine äthiopische Längsschnittstudie verglich die Impfversorgung über 18 Krankenhäuser, 132 Gesundheitszentren und 532 Gesundheitsposten während und vor der Pandemie.</w:t>
      </w:r>
    </w:p>
    <w:p>
      <w:r>
        <w:rPr>
          <w:b/>
        </w:rPr>
        <w:t xml:space="preserve">Ergebnis: </w:t>
      </w:r>
      <w:r>
        <w:t>Gesamtimpfquote stieg um 9,72 % (p=0,006) in den ersten 6 Monaten. Krankenhäuser fielen um 5,2 % ab (p=0,449), Gesundheitszentren stiegen um 7,96 % (p=0,015) und Posten um 11,5 % (p=0,002). Dezentralisierte Strukturen absorbierten Nachfrage nach Spitalauställen.</w:t>
      </w:r>
    </w:p>
    <w:p>
      <w:r>
        <w:rPr>
          <w:b/>
          <w:sz w:val="19"/>
        </w:rPr>
        <w:t xml:space="preserve">Übertragbarkeit: </w:t>
      </w:r>
      <w:r>
        <w:rPr>
          <w:sz w:val="19"/>
        </w:rPr>
        <w:t>Äthiopien, Low-Income-Setting - begrenzte Übertragbarkeit auf deutsche Strukturen mit anderen Ressourcen</w:t>
      </w:r>
    </w:p>
    <w:p>
      <w:r>
        <w:rPr>
          <w:color w:val="5A7D3A"/>
          <w:sz w:val="18"/>
        </w:rPr>
        <w:t>https://pubmed.ncbi.nlm.nih.gov/42613610/</w:t>
      </w:r>
    </w:p>
    <w:p>
      <w:pPr>
        <w:pStyle w:val="Heading2"/>
      </w:pPr>
      <w:r>
        <w:t>UN-Dekade für gesundes Altern: Perspektiven von älteren Menschen und Fachkräften in Norwegen</w:t>
      </w:r>
    </w:p>
    <w:p>
      <w:r>
        <w:rPr>
          <w:i/>
          <w:color w:val="666666"/>
          <w:sz w:val="18"/>
        </w:rPr>
        <w:t>Bikova M et al.  ·  BMC Health Serv Res  ·  14.08.2026  ·  PMID 42613606</w:t>
      </w:r>
    </w:p>
    <w:p>
      <w:r>
        <w:t>Eine norwegische qualitative Fallstudie mit 23 Interviews (Ältere, Fachkräfte, Entscheidungsträger) untersuchte die Umsetzung der UN-Decade of Healthy Ageing.</w:t>
      </w:r>
    </w:p>
    <w:p>
      <w:r>
        <w:rPr>
          <w:b/>
        </w:rPr>
        <w:t xml:space="preserve">Ergebnis: </w:t>
      </w:r>
      <w:r>
        <w:t>Kernthemen: Strategien zur Selbstbestimmung, ambivalente Alterswahrnehmung, Herausforderungen der Gesundheitsdienste. Digitalisierung als Barriere für inklusive Teilhabe identifiziert. Digitale Inklusion, intergenerationale Ansätze und Bekämpfung von Alterismus empfohlen.</w:t>
      </w:r>
    </w:p>
    <w:p>
      <w:r>
        <w:rPr>
          <w:b/>
          <w:sz w:val="19"/>
        </w:rPr>
        <w:t xml:space="preserve">Übertragbarkeit: </w:t>
      </w:r>
      <w:r>
        <w:rPr>
          <w:sz w:val="19"/>
        </w:rPr>
        <w:t>Norwegen, steuerfinanziertes System, mittel übertragbar für Fragen zur Versorgungsstruktur und Partizipation</w:t>
      </w:r>
    </w:p>
    <w:p>
      <w:r>
        <w:rPr>
          <w:color w:val="5A7D3A"/>
          <w:sz w:val="18"/>
        </w:rPr>
        <w:t>https://pubmed.ncbi.nlm.nih.gov/42613606/</w:t>
      </w:r>
    </w:p>
    <w:p>
      <w:pPr>
        <w:pStyle w:val="Heading1"/>
      </w:pPr>
      <w:r>
        <w:t>Aufgenommen am 19.08.2026</w:t>
      </w:r>
    </w:p>
    <w:p>
      <w:pPr>
        <w:pStyle w:val="Heading2"/>
      </w:pPr>
      <w:r>
        <w:t>Diagnostische Genauigkeit des PHQ-9 in der hausärztlichen Praxis bei Patienten mit Depressionsrisiken</w:t>
      </w:r>
    </w:p>
    <w:p>
      <w:r>
        <w:rPr>
          <w:i/>
          <w:color w:val="666666"/>
          <w:sz w:val="18"/>
        </w:rPr>
        <w:t>Thake M et al.  ·  Gen Hosp Psychiatry  ·  13.08.2026  ·  PMID 42612565</w:t>
      </w:r>
    </w:p>
    <w:p>
      <w:r>
        <w:t>Studie zur diagnostischen Genauigkeit des PHQ-9 für die Erkennung von Major Depression bei Hausarztpatienten mit unterschiedlichen Depressionsrisikofaktoren.</w:t>
      </w:r>
    </w:p>
    <w:p>
      <w:r>
        <w:rPr>
          <w:b/>
        </w:rPr>
        <w:t xml:space="preserve">Ergebnis: </w:t>
      </w:r>
      <w:r>
        <w:t>PHQ-9 zeigte hohe diagnostische Genauigkeit (AUC 0,92–0,97) in Primärversorgung. Optimal-Cutoffs variierten je nach Risikofaktoren (7–13 Punkte). Sensitivität 0,78–0,99; Spezifität 0,80–0,91; NPW 0,80–0,99. Ergebnisse unterstützen risikoadaptiertes Screening mittels PHQ-9 in der Hausarztpraxis.</w:t>
      </w:r>
    </w:p>
    <w:p>
      <w:r>
        <w:rPr>
          <w:b/>
          <w:sz w:val="19"/>
        </w:rPr>
        <w:t xml:space="preserve">Übertragbarkeit: </w:t>
      </w:r>
      <w:r>
        <w:rPr>
          <w:sz w:val="19"/>
        </w:rPr>
        <w:t>Deutsche Routinedaten aus Primärversorgung, gesetzlich Versicherte</w:t>
      </w:r>
    </w:p>
    <w:p>
      <w:r>
        <w:rPr>
          <w:color w:val="5A7D3A"/>
          <w:sz w:val="18"/>
        </w:rPr>
        <w:t>https://pubmed.ncbi.nlm.nih.gov/42612565/</w:t>
      </w:r>
    </w:p>
    <w:p>
      <w:pPr>
        <w:pStyle w:val="Heading2"/>
      </w:pPr>
      <w:r>
        <w:t>PROMIS GH-10 als Patient-Reported Outcome Maß in Rehabilitationskliniken: Mixed-Methods-Studie zur Implementierungseignung</w:t>
      </w:r>
    </w:p>
    <w:p>
      <w:r>
        <w:rPr>
          <w:i/>
          <w:color w:val="666666"/>
          <w:sz w:val="18"/>
        </w:rPr>
        <w:t>Utsch M et al.  ·  BMC Health Serv Res  ·  12.08.2026  ·  PMID 42608694</w:t>
      </w:r>
    </w:p>
    <w:p>
      <w:r>
        <w:t>Erprobung des PROMIS GH-10 zur Messung patientenberichteter Gesundheitsergebnisse in stationärer Schweizer Rehabilitation mit Fokus auf Responsivität und praktische Umsetzbarkeit.</w:t>
      </w:r>
    </w:p>
    <w:p>
      <w:r>
        <w:rPr>
          <w:b/>
        </w:rPr>
        <w:t xml:space="preserve">Ergebnis: </w:t>
      </w:r>
      <w:r>
        <w:t>2.083 Patienten, 1.217 vollständige Messungen. Signifikante Verbesserungen: Physische Gesundheit d=0,68 (p&lt;0,001); Psychische Gesundheit d=0,48 (p&lt;0,001). Effektstärken je Setting 0,50–0,95 bzw. 0,33–1,19. 41% der Patienten brauchten Unterstützung. Barrieren: Unsicherheit über Nutzen, fehlende Ressourcen. PROMIS GH-10 zeigte adäquate Responsivität.</w:t>
      </w:r>
    </w:p>
    <w:p>
      <w:r>
        <w:rPr>
          <w:b/>
          <w:sz w:val="19"/>
        </w:rPr>
        <w:t xml:space="preserve">Übertragbarkeit: </w:t>
      </w:r>
      <w:r>
        <w:rPr>
          <w:sz w:val="19"/>
        </w:rPr>
        <w:t>Schweiz, Sozialversicherungssystem, direkt auf deutsches System übertragbar</w:t>
      </w:r>
    </w:p>
    <w:p>
      <w:r>
        <w:rPr>
          <w:color w:val="5A7D3A"/>
          <w:sz w:val="18"/>
        </w:rPr>
        <w:t>https://pubmed.ncbi.nlm.nih.gov/42608694/</w:t>
      </w:r>
    </w:p>
    <w:p>
      <w:pPr>
        <w:pStyle w:val="Heading2"/>
      </w:pPr>
      <w:r>
        <w:t>Kosten-Nutzen-Parameter für Magnet®-Zertifizierung in deutschen Krankenhäusern</w:t>
      </w:r>
    </w:p>
    <w:p>
      <w:r>
        <w:rPr>
          <w:i/>
          <w:color w:val="666666"/>
          <w:sz w:val="18"/>
        </w:rPr>
        <w:t>Gurisch C et al.  ·  BMC Health Serv Res  ·  12.08.2026  ·  PMID 42608687</w:t>
      </w:r>
    </w:p>
    <w:p>
      <w:r>
        <w:t>Analyse relevanter Parameter für eine Kosten-Nutzen-Analyse der Magnet®-Designation (Organisationsintervention zur Verbesserung der Pflegefachkräftearbeitsbedingungen) im deutschen Kontext.</w:t>
      </w:r>
    </w:p>
    <w:p>
      <w:r>
        <w:rPr>
          <w:b/>
        </w:rPr>
        <w:t xml:space="preserve">Ergebnis: </w:t>
      </w:r>
      <w:r>
        <w:t>Potenzielle Kosten: ANCC-Gebühren, Benchmarking, Fortbildungen, Ressourcen und Datenverwaltung. Kostenersparnisse durch: Verbesserung pflegefachkraftsensibler Indikatoren, Personalindikatoren, Krankenhausleistung. Für Deutschland zusätzlich relevant: Kosten der Akademisierung von Pflegekräften und Datenmanagement. Erhebliche Datenlücken bremsen aktuelle Kosten-Nutzen-Analyse.</w:t>
      </w:r>
    </w:p>
    <w:p>
      <w:r>
        <w:rPr>
          <w:b/>
          <w:sz w:val="19"/>
        </w:rPr>
        <w:t xml:space="preserve">Übertragbarkeit: </w:t>
      </w:r>
      <w:r>
        <w:rPr>
          <w:sz w:val="19"/>
        </w:rPr>
        <w:t>Deutschland, deutsches Krankenhaussystem; deutsche Stakeholder-Interviews</w:t>
      </w:r>
    </w:p>
    <w:p>
      <w:r>
        <w:rPr>
          <w:color w:val="5A7D3A"/>
          <w:sz w:val="18"/>
        </w:rPr>
        <w:t>https://pubmed.ncbi.nlm.nih.gov/42608687/</w:t>
      </w:r>
    </w:p>
    <w:p>
      <w:pPr>
        <w:pStyle w:val="Heading2"/>
      </w:pPr>
      <w:r>
        <w:t>Erfahrungen von Nutzern mit Kriseninterventionen und Peer-Support in der Psychiatrie: qualitative Studie</w:t>
      </w:r>
    </w:p>
    <w:p>
      <w:r>
        <w:rPr>
          <w:i/>
          <w:color w:val="666666"/>
          <w:sz w:val="18"/>
        </w:rPr>
        <w:t>Oeltjen LK et al.  ·  BMC Health Serv Res  ·  11.08.2026  ·  PMID 42608682</w:t>
      </w:r>
    </w:p>
    <w:p>
      <w:r>
        <w:t>Qualitative Studie über Erfahrungen von Menschen mit schweren psychischen Erkrankungen während psychiatrischer Kriseninterventionen mit oder ohne Peer-Unterstützung.</w:t>
      </w:r>
    </w:p>
    <w:p>
      <w:r>
        <w:rPr>
          <w:b/>
        </w:rPr>
        <w:t xml:space="preserve">Ergebnis: </w:t>
      </w:r>
      <w:r>
        <w:t>25 Interviews. Als hilfreich erlebt: empathisches Zuhören, ruhige Kommunikation, transparente Erklärungen, Partizipation in Entscheidungen. Als belastend: konfrontative Kommunikation, unzureichende Information. Peer-Support: überwiegend positiv wahrgenommen wegen Authentizität und Hoffnungsgebung. Erfahrungen mit Polizei ambivalent. Strukturfaktoren (Kontinuität, Warteumgebung) prägten Erlebnis.</w:t>
      </w:r>
    </w:p>
    <w:p>
      <w:r>
        <w:rPr>
          <w:b/>
          <w:sz w:val="19"/>
        </w:rPr>
        <w:t xml:space="preserve">Übertragbarkeit: </w:t>
      </w:r>
      <w:r>
        <w:rPr>
          <w:sz w:val="19"/>
        </w:rPr>
        <w:t>Deutschland (Bremen), deutsches Sektor-Setting der Psychiatrie; qualitativ hochrelevant</w:t>
      </w:r>
    </w:p>
    <w:p>
      <w:r>
        <w:rPr>
          <w:color w:val="5A7D3A"/>
          <w:sz w:val="18"/>
        </w:rPr>
        <w:t>https://pubmed.ncbi.nlm.nih.gov/42608682/</w:t>
      </w:r>
    </w:p>
    <w:p>
      <w:pPr>
        <w:pStyle w:val="Heading2"/>
      </w:pPr>
      <w:r>
        <w:t>Vorhersagefaktoren von Überzeugungen zu Antipsychotika bei Psychosestörungen: longitudinale Beobachtungsstudie</w:t>
      </w:r>
    </w:p>
    <w:p>
      <w:r>
        <w:rPr>
          <w:i/>
          <w:color w:val="666666"/>
          <w:sz w:val="18"/>
        </w:rPr>
        <w:t>Skaare-Fatland K et al.  ·  Patient Prefer Adherence  ·  12.08.2026  ·  PMID 42605315</w:t>
      </w:r>
    </w:p>
    <w:p>
      <w:r>
        <w:t>Longitudinale Studie über Faktoren, die Notwendigkeits- und Besorgnis-Überzeugungen bezüglich antipsychotischer Medikamente bei psychotischen Störungen vorhersagen (12-Monats-Follow-up).</w:t>
      </w:r>
    </w:p>
    <w:p>
      <w:r>
        <w:rPr>
          <w:b/>
        </w:rPr>
        <w:t xml:space="preserve">Ergebnis: </w:t>
      </w:r>
      <w:r>
        <w:t>Baseline (N=310): Höhere Medikations-Unterstützung assoziiert mit höheren Notwendigkeits-Scores (β=0,18; 95% KI 0,04–0,33) und niedriger Besorgnis (β=-0,29; 95% KI -0,42 bis -0,16). Nach 12 Monaten: Notwendigkeits-Scores fielen (β=-0,35; 95% KI -0,60 bis -0,11), Besorgnis stiegen (β=0,25; 95% KI 0,05–0,45). Höhere Symptombelastung und Nebenwirkungen mit höherer Besorgnis assoziiert.</w:t>
      </w:r>
    </w:p>
    <w:p>
      <w:r>
        <w:rPr>
          <w:b/>
          <w:sz w:val="19"/>
        </w:rPr>
        <w:t xml:space="preserve">Übertragbarkeit: </w:t>
      </w:r>
      <w:r>
        <w:rPr>
          <w:sz w:val="19"/>
        </w:rPr>
        <w:t>Skandinavien (Norwegen), steuerfinanziert; Prozesse und Patientenperspektive relevant</w:t>
      </w:r>
    </w:p>
    <w:p>
      <w:r>
        <w:rPr>
          <w:color w:val="5A7D3A"/>
          <w:sz w:val="18"/>
        </w:rPr>
        <w:t>https://pubmed.ncbi.nlm.nih.gov/42605315/</w:t>
      </w:r>
    </w:p>
    <w:p>
      <w:pPr>
        <w:pStyle w:val="Heading1"/>
      </w:pPr>
      <w:r>
        <w:t>Aufgenommen am 18.08.2026</w:t>
      </w:r>
    </w:p>
    <w:p>
      <w:pPr>
        <w:pStyle w:val="Heading2"/>
      </w:pPr>
      <w:r>
        <w:t>Genomische Testung in der Nephrologie: Mainstreaming als effektives Versorgungsmodell</w:t>
      </w:r>
    </w:p>
    <w:p>
      <w:r>
        <w:rPr>
          <w:i/>
          <w:color w:val="666666"/>
          <w:sz w:val="18"/>
        </w:rPr>
        <w:t>Jayasinghe K et al.  ·  Clin J Am Soc Nephrol  ·  17.08.2026  ·  PMID 42606900</w:t>
      </w:r>
    </w:p>
    <w:p>
      <w:r>
        <w:t>Beobachtungsstudie an vier Zentren zur Evaluierung eines "hub and spoke"-Modells für genomische Testung bei Nierenkrankheiten mit Schulung niedergelassener Nephrologen.</w:t>
      </w:r>
    </w:p>
    <w:p>
      <w:r>
        <w:rPr>
          <w:b/>
        </w:rPr>
        <w:t xml:space="preserve">Ergebnis: </w:t>
      </w:r>
      <w:r>
        <w:t>1.028 genomische Tests wurden durchgeführt (diagnostische Ausbeute 34%); ähnlich erfolgreich in Zentren (32%) und bei lokalen Nephrologen (38%). Der Anteil der Tests in Mainstream-Nephrologie-Settings stieg von 23% auf 74%, während die Absolutzahlen in Spezialkliniken stabil blieben.</w:t>
      </w:r>
    </w:p>
    <w:p>
      <w:r>
        <w:rPr>
          <w:b/>
          <w:sz w:val="19"/>
        </w:rPr>
        <w:t xml:space="preserve">Übertragbarkeit: </w:t>
      </w:r>
      <w:r>
        <w:rPr>
          <w:sz w:val="19"/>
        </w:rPr>
        <w:t>Australische Daten, aber Implementierungsrahmen systemunabhängig auf deutsches Versorgungssystem übertragbar</w:t>
      </w:r>
    </w:p>
    <w:p>
      <w:r>
        <w:rPr>
          <w:color w:val="5A7D3A"/>
          <w:sz w:val="18"/>
        </w:rPr>
        <w:t>https://pubmed.ncbi.nlm.nih.gov/42606900/</w:t>
      </w:r>
    </w:p>
    <w:p>
      <w:pPr>
        <w:pStyle w:val="Heading2"/>
      </w:pPr>
      <w:r>
        <w:t>Sicherheit von Antikonvulsiva unter direkten oralen Antikoagulanzien bei Epilepsie</w:t>
      </w:r>
    </w:p>
    <w:p>
      <w:r>
        <w:rPr>
          <w:i/>
          <w:color w:val="666666"/>
          <w:sz w:val="18"/>
        </w:rPr>
        <w:t>Schubert KM et al.  ·  JAMA Neurol  ·  17.08.2026  ·  PMID 42606848</w:t>
      </w:r>
    </w:p>
    <w:p>
      <w:r>
        <w:t>Retrospektive Kohortenstudie mit TriNetX-Daten zu Thromboembolie-, Blutungs- und Mortalitätsrisiken verschiedener Antikonvulsiva bei Epilepsiepatienten unter DOAC-Therapie.</w:t>
      </w:r>
    </w:p>
    <w:p>
      <w:r>
        <w:rPr>
          <w:b/>
        </w:rPr>
        <w:t xml:space="preserve">Ergebnis: </w:t>
      </w:r>
      <w:r>
        <w:t>Levetiracetam war mit erhöhtem thromboembolischem Risiko assoziiert (HR 1,98; 95% CI 1,37–2,87) und höherer Mortalität (HR 1,60; 95% CI 1,23–2,08). Starke Enzym-induzierende ASMs zeigten erhöhtes thromboembolisches Risiko (HR 1,55), aber niedrigere Blutungsrate (HR 0,62).</w:t>
      </w:r>
    </w:p>
    <w:p>
      <w:r>
        <w:rPr>
          <w:b/>
          <w:sz w:val="19"/>
        </w:rPr>
        <w:t xml:space="preserve">Übertragbarkeit: </w:t>
      </w:r>
      <w:r>
        <w:rPr>
          <w:sz w:val="19"/>
        </w:rPr>
        <w:t>Internationale TriNetX-Daten, Arzneisicherheit-Fragestellung systemunabhängig relevant</w:t>
      </w:r>
    </w:p>
    <w:p>
      <w:r>
        <w:rPr>
          <w:color w:val="5A7D3A"/>
          <w:sz w:val="18"/>
        </w:rPr>
        <w:t>https://pubmed.ncbi.nlm.nih.gov/42606848/</w:t>
      </w:r>
    </w:p>
    <w:p>
      <w:pPr>
        <w:pStyle w:val="Heading1"/>
      </w:pPr>
      <w:r>
        <w:t>Aufgenommen am 17.08.2026</w:t>
      </w:r>
    </w:p>
    <w:p>
      <w:pPr>
        <w:pStyle w:val="Heading2"/>
      </w:pPr>
      <w:r>
        <w:t>Expansion von Telehealth-Regelungen in US-Medicaid-Programmen 2018–2023: Legal-Mapping-Studie</w:t>
      </w:r>
    </w:p>
    <w:p>
      <w:r>
        <w:rPr>
          <w:i/>
          <w:color w:val="666666"/>
          <w:sz w:val="18"/>
        </w:rPr>
        <w:t>Leung LB et al.  ·  Milbank Q  ·  16.08.2026  ·  PMID 42604452</w:t>
      </w:r>
    </w:p>
    <w:p>
      <w:r>
        <w:t>50-Staaten-Analyse zur Adoption von Telehealth-Richtlinien in Medicaid-Programmen und deren mögliche Einflussfaktoren.</w:t>
      </w:r>
    </w:p>
    <w:p>
      <w:r>
        <w:rPr>
          <w:b/>
        </w:rPr>
        <w:t xml:space="preserve">Ergebnis: </w:t>
      </w:r>
      <w:r>
        <w:t>Durchschnittlich 2,7 Telehealth-Richtlinien je Bundesstaat (SD 1,4); Audiotelefonie in 43 Staaten eingeführt; schnellste Adoption 2020–2021; Adoption unabhängig von Ländlichkeit, Fachkräftemangel, Medicaid-Expansion oder Internetverfügbarkeit (alle p ≥ 0,07).</w:t>
      </w:r>
    </w:p>
    <w:p>
      <w:r>
        <w:rPr>
          <w:b/>
          <w:sz w:val="19"/>
        </w:rPr>
        <w:t xml:space="preserve">Übertragbarkeit: </w:t>
      </w:r>
      <w:r>
        <w:rPr>
          <w:sz w:val="19"/>
        </w:rPr>
        <w:t>Nur bedingt: US-Medicaid-System, Fragestellung aber systemunabhängig</w:t>
      </w:r>
    </w:p>
    <w:p>
      <w:r>
        <w:rPr>
          <w:color w:val="5A7D3A"/>
          <w:sz w:val="18"/>
        </w:rPr>
        <w:t>https://pubmed.ncbi.nlm.nih.gov/42604452/</w:t>
      </w:r>
    </w:p>
    <w:p>
      <w:pPr>
        <w:pStyle w:val="Heading2"/>
      </w:pPr>
      <w:r>
        <w:t>Reale Effektivität und Sicherheit von Lebrikizumab bei atopischer Dermatitis: TREATgermany-Registerdaten</w:t>
      </w:r>
    </w:p>
    <w:p>
      <w:r>
        <w:rPr>
          <w:i/>
          <w:color w:val="666666"/>
          <w:sz w:val="18"/>
        </w:rPr>
        <w:t>Kind B et al.  ·  Acta Derm Venereol  ·  13.08.2026  ·  PMID 42593155</w:t>
      </w:r>
    </w:p>
    <w:p>
      <w:r>
        <w:t>Prospektive Evaluierung von Lebrikizumab (IL-13-Inhibitor) bei atopischer Dermatitis in deutschen Dermatologie-Praxen mit Effectiveness-Daten zur Routineversorgung.</w:t>
      </w:r>
    </w:p>
    <w:p>
      <w:r>
        <w:rPr>
          <w:b/>
        </w:rPr>
        <w:t xml:space="preserve">Ergebnis: </w:t>
      </w:r>
      <w:r>
        <w:t>80 Patienten mit Follow-up; EASI-Score sank von Baseline 14,8 auf 5,6 (Monat 3) und 3,0 (Monat 6); PP-NRS von 6,6 auf 3,8 und 3,4; DLQI von 11,9 auf 4,9 und 4,8; Nebenwirkungen bei 26,6 % (Konjunktivitis 20,3 %); EASI-75 in Kohorte mit EASI≥16 bei 60 % (M3) und 70 % (M6).</w:t>
      </w:r>
    </w:p>
    <w:p>
      <w:r>
        <w:rPr>
          <w:b/>
          <w:sz w:val="19"/>
        </w:rPr>
        <w:t xml:space="preserve">Übertragbarkeit: </w:t>
      </w:r>
      <w:r>
        <w:rPr>
          <w:sz w:val="19"/>
        </w:rPr>
        <w:t>Deutsche Routinedaten (TREATgermany-Registry)</w:t>
      </w:r>
    </w:p>
    <w:p>
      <w:r>
        <w:rPr>
          <w:color w:val="5A7D3A"/>
          <w:sz w:val="18"/>
        </w:rPr>
        <w:t>https://pubmed.ncbi.nlm.nih.gov/42593155/</w:t>
      </w:r>
    </w:p>
    <w:p>
      <w:pPr>
        <w:pStyle w:val="Heading2"/>
      </w:pPr>
      <w:r>
        <w:t>Mortalität von Hirntumor-Patienten in zertifizierten Onkologiezentren versus Nicht-Zentren: Deutschland</w:t>
      </w:r>
    </w:p>
    <w:p>
      <w:r>
        <w:rPr>
          <w:i/>
          <w:color w:val="666666"/>
          <w:sz w:val="18"/>
        </w:rPr>
        <w:t>Seliger C et al.  ·  Cancer Treat Res Commun  ·  11.08.2026  ·  PMID 42580197</w:t>
      </w:r>
    </w:p>
    <w:p>
      <w:r>
        <w:t>Kohortenstudie mit 62.735 GKV-Patienten und 5.196 Patienten aus klinischen Krebsregistern zu Überleben nach Behandlung in zertifizierten vs. nicht-zertifizierten Krankenhäusern.</w:t>
      </w:r>
    </w:p>
    <w:p>
      <w:r>
        <w:rPr>
          <w:b/>
        </w:rPr>
        <w:t xml:space="preserve">Ergebnis: </w:t>
      </w:r>
      <w:r>
        <w:t>91,9 % der SHI-Patienten nicht in neuro-onkologischen Zentren behandelt; adjustierte Cox-Regression zeigte verbessertes Gesamtüberleben in zertifizierten Zentren (HR SHI 0,93, 95%-KI 0,86–1,00; HR KKR 0,84, 95%-KI 0,76–0,93); ältere Patienten und höhere WHO-Grade profilierten besonders.</w:t>
      </w:r>
    </w:p>
    <w:p>
      <w:r>
        <w:rPr>
          <w:b/>
          <w:sz w:val="19"/>
        </w:rPr>
        <w:t xml:space="preserve">Übertragbarkeit: </w:t>
      </w:r>
      <w:r>
        <w:rPr>
          <w:sz w:val="19"/>
        </w:rPr>
        <w:t>Deutsche Routinedaten, gesetzlich Versicherte + Krebsregister</w:t>
      </w:r>
    </w:p>
    <w:p>
      <w:r>
        <w:rPr>
          <w:color w:val="5A7D3A"/>
          <w:sz w:val="18"/>
        </w:rPr>
        <w:t>https://pubmed.ncbi.nlm.nih.gov/42580197/</w:t>
      </w:r>
    </w:p>
    <w:p>
      <w:pPr>
        <w:pStyle w:val="Heading1"/>
      </w:pPr>
      <w:r>
        <w:t>Aufgenommen am 16.08.2026</w:t>
      </w:r>
    </w:p>
    <w:p>
      <w:pPr>
        <w:pStyle w:val="Heading2"/>
      </w:pPr>
      <w:r>
        <w:t>Arbeitsbedingungen und psychische Gesundheit bei Ärztinnen und Ärzten sowie Pflegekräften in der EU: Querschnittsstudie</w:t>
      </w:r>
    </w:p>
    <w:p>
      <w:r>
        <w:rPr>
          <w:i/>
          <w:color w:val="666666"/>
          <w:sz w:val="18"/>
        </w:rPr>
        <w:t>Mediavilla R et al.  ·  Lancet Reg Health Eur  ·  08.08.2026  ·  PMID 42604020</w:t>
      </w:r>
    </w:p>
    <w:p>
      <w:r>
        <w:t>Die Studie untersuchte Zusammenhänge zwischen Arbeitsbedingungen und psychischer Gesundheit bei 90.171 Gesundheitsberuflern aus 28 EU-Staaten, Island und Norwegen im Zeitraum Oktober 2024 bis April 2025.</w:t>
      </w:r>
    </w:p>
    <w:p>
      <w:r>
        <w:rPr>
          <w:b/>
        </w:rPr>
        <w:t xml:space="preserve">Ergebnis: </w:t>
      </w:r>
      <w:r>
        <w:t>30% zeigten depressive Symptome, 23% Angstsymptome, 13% suizidale Gedanken. Physische Gewalt betraf 10% der Ärzte und 18% der Pflegekräfte. Ungünstige Arbeitsbedingungen korreliertten mit schlechterer psychischer Gesundheit (adjustierte Prävalenzratios 0,98-1,94), während Jobressourcen positive Effekte zeigten (PR 1,06-0,56).</w:t>
      </w:r>
    </w:p>
    <w:p>
      <w:r>
        <w:rPr>
          <w:b/>
          <w:sz w:val="19"/>
        </w:rPr>
        <w:t xml:space="preserve">Übertragbarkeit: </w:t>
      </w:r>
      <w:r>
        <w:rPr>
          <w:sz w:val="19"/>
        </w:rPr>
        <w:t>Europäische Daten, systemisch vergleichbar mit Deutschland</w:t>
      </w:r>
    </w:p>
    <w:p>
      <w:r>
        <w:rPr>
          <w:color w:val="5A7D3A"/>
          <w:sz w:val="18"/>
        </w:rPr>
        <w:t>https://pubmed.ncbi.nlm.nih.gov/42604020/</w:t>
      </w:r>
    </w:p>
    <w:p>
      <w:pPr>
        <w:pStyle w:val="Heading2"/>
      </w:pPr>
      <w:r>
        <w:t>Tage zu Hause nach Herzinsuffizienzspitalisierung in Singapur: Trends und Equity 2011-2019</w:t>
      </w:r>
    </w:p>
    <w:p>
      <w:r>
        <w:rPr>
          <w:i/>
          <w:color w:val="666666"/>
          <w:sz w:val="18"/>
        </w:rPr>
        <w:t>Liu S et al.  ·  Circ Popul Health Outcomes  ·  14.08.2026  ·  PMID 42596879</w:t>
      </w:r>
    </w:p>
    <w:p>
      <w:r>
        <w:t>Die Studie untersuchte zeitliche Trends in Days Alive and Out of Hospital (DAOH) nach erster Hospitalisierung wegen Herzinsuffizienz mit reduzierter Auswurffraktion und prüfte Unterschiede zwischen Altersgruppen, Geschlecht und Ethnizität.</w:t>
      </w:r>
    </w:p>
    <w:p>
      <w:r>
        <w:rPr>
          <w:b/>
        </w:rPr>
        <w:t xml:space="preserve">Ergebnis: </w:t>
      </w:r>
      <w:r>
        <w:t>Von 10.147 Patienten (Medianalter 68,9 Jahre; 31,5% weiblich) verbesserte sich die 1-Jahres-DAOH von 291,7 auf 301,0 Tage (1,16 Tage pro Jahr; p&lt;0,001), während 30-Tage-DAOH stabil blieb (p=0,554). Die Rückgangsraten bei herzinsuffizienzbedingten Readmissionen waren bei Männern steiler als bei Frauen. 1-Jahres-DAOH-Gewinne waren bei Patienten malaiischer Abstammung größer als bei chinesischen Patienten.</w:t>
      </w:r>
    </w:p>
    <w:p>
      <w:r>
        <w:rPr>
          <w:color w:val="5A7D3A"/>
          <w:sz w:val="18"/>
        </w:rPr>
        <w:t>https://pubmed.ncbi.nlm.nih.gov/42596879/</w:t>
      </w:r>
    </w:p>
    <w:p>
      <w:pPr>
        <w:pStyle w:val="Heading2"/>
      </w:pPr>
      <w:r>
        <w:t>Chirurgische Therapie bei Pankreaskarzinom im Alter ≥80 Jahren: Nutzen-Risiko-Analyse</w:t>
      </w:r>
    </w:p>
    <w:p>
      <w:r>
        <w:rPr>
          <w:i/>
          <w:color w:val="666666"/>
          <w:sz w:val="18"/>
        </w:rPr>
        <w:t>von Fritsch L et al.  ·  Cancers (Basel)  ·  28.07.2026  ·  PMID 42588642</w:t>
      </w:r>
    </w:p>
    <w:p>
      <w:r>
        <w:t>Vergleichende Analyse von 3016 Pankreaskarzinom-Patienten (≤65 Jahre: n=944; 66-79 Jahre: n=1535; ≥80 Jahre: n=537) aus deutschen Krebsregistern 2015-2023 bezüglich Behandlungsmuster und Überleben.</w:t>
      </w:r>
    </w:p>
    <w:p>
      <w:r>
        <w:rPr>
          <w:b/>
        </w:rPr>
        <w:t xml:space="preserve">Ergebnis: </w:t>
      </w:r>
      <w:r>
        <w:t>Anteil Patienten ≥80 Jahre stieg von 15% (2015) auf 32% (2023). 24% der operierten Oktogenare erhielten adjuvante Chemotherapie. Overall Survival und disease-free Survival waren schlechter als in jüngeren Kohorten. Oktogenare mit alleiniger Operation oder Chemotherapie hatten vergleichbare Überlebensraten wie palliativ behandelte Patienten.</w:t>
      </w:r>
    </w:p>
    <w:p>
      <w:r>
        <w:rPr>
          <w:b/>
          <w:sz w:val="19"/>
        </w:rPr>
        <w:t xml:space="preserve">Übertragbarkeit: </w:t>
      </w:r>
      <w:r>
        <w:rPr>
          <w:sz w:val="19"/>
        </w:rPr>
        <w:t>Deutsche Krebsregisterdaten, gesetzlich Versicherte</w:t>
      </w:r>
    </w:p>
    <w:p>
      <w:r>
        <w:rPr>
          <w:color w:val="5A7D3A"/>
          <w:sz w:val="18"/>
        </w:rPr>
        <w:t>https://pubmed.ncbi.nlm.nih.gov/42588642/</w:t>
      </w:r>
    </w:p>
    <w:p>
      <w:pPr>
        <w:pStyle w:val="Heading2"/>
      </w:pPr>
      <w:r>
        <w:t>Erlebte integrierte Versorgung für Kinder mit Sonderbedarf in Deutschland: PART-CHILD-Kohortenstudie</w:t>
      </w:r>
    </w:p>
    <w:p>
      <w:r>
        <w:rPr>
          <w:i/>
          <w:color w:val="666666"/>
          <w:sz w:val="18"/>
        </w:rPr>
        <w:t>Bohnert K et al.  ·  BMC Health Serv Res  ·  08.08.2026  ·  PMID 42576220</w:t>
      </w:r>
    </w:p>
    <w:p>
      <w:r>
        <w:t>Querschnittsanalyse von 459 Betreuungspersonen von Kindern mit Sonderbedarf zu ihrer Erfahrung mit integrierten Versorgungsangeboten und Zusammenhänge mit soziodemografischen, gesundheits- und netzwerkbezogenen Faktoren.</w:t>
      </w:r>
    </w:p>
    <w:p>
      <w:r>
        <w:rPr>
          <w:b/>
        </w:rPr>
        <w:t xml:space="preserve">Ergebnis: </w:t>
      </w:r>
      <w:r>
        <w:t>Durchschnittliche Bewertung Teamqualität/Kommunikation 4,1±1,1 (Skala bis 9), Aufmerksamkeit für Familienbelastung 2,3±1,1. Höhere unmet needs assoziiert mit niedrigerer Teamqualität (≥5 unmet needs: β=-0,83; 95%-KI -1,28 bis -0,38). Größere Versorgungsnetzwerke (6-10 Anbieter) positiv mit Familienaufmerksamkeit (β=0,38; 95%-KI 0,07-0,70).</w:t>
      </w:r>
    </w:p>
    <w:p>
      <w:r>
        <w:rPr>
          <w:b/>
          <w:sz w:val="19"/>
        </w:rPr>
        <w:t xml:space="preserve">Übertragbarkeit: </w:t>
      </w:r>
      <w:r>
        <w:rPr>
          <w:sz w:val="19"/>
        </w:rPr>
        <w:t>Deutsche Daten, gesetzlich versicherte Bevölkerung</w:t>
      </w:r>
    </w:p>
    <w:p>
      <w:r>
        <w:rPr>
          <w:color w:val="5A7D3A"/>
          <w:sz w:val="18"/>
        </w:rPr>
        <w:t>https://pubmed.ncbi.nlm.nih.gov/42576220/</w:t>
      </w:r>
    </w:p>
    <w:p>
      <w:pPr>
        <w:pStyle w:val="Heading1"/>
      </w:pPr>
      <w:r>
        <w:t>Aufgenommen am 15.08.2026</w:t>
      </w:r>
    </w:p>
    <w:p>
      <w:pPr>
        <w:pStyle w:val="Heading2"/>
      </w:pPr>
      <w:r>
        <w:t>Elektrische Kardioversion bei Vorhofflimmern: nationale Trends in Dänemark 2010-2022</w:t>
      </w:r>
    </w:p>
    <w:p>
      <w:r>
        <w:rPr>
          <w:i/>
          <w:color w:val="666666"/>
          <w:sz w:val="18"/>
        </w:rPr>
        <w:t>Frost L et al.  ·  Open Heart  ·  14.08.2026  ·  PMID 42601168</w:t>
      </w:r>
    </w:p>
    <w:p>
      <w:r>
        <w:t>Die Studie untersuchte zeitliche Trends in der Nutzung von elektrischer Kardioversion bei Patienten mit Vorhofflimmern in Dänemark über 12 Jahre.</w:t>
      </w:r>
    </w:p>
    <w:p>
      <w:r>
        <w:rPr>
          <w:b/>
        </w:rPr>
        <w:t xml:space="preserve">Ergebnis: </w:t>
      </w:r>
      <w:r>
        <w:t>Die Gesamtzahl der Kardioversionen pro Jahr stieg von 2204 (2010) auf 8300 (2022) um das Vierfache; die altersadjustierte und geschlechterstandardisierte Rate sank jedoch von 449,5 auf 316,6 pro 1000 Personenjahre im ersten Jahr nach Diagnose, was auf eine gezieltere Einsatzweise hindeutet.</w:t>
      </w:r>
    </w:p>
    <w:p>
      <w:r>
        <w:rPr>
          <w:color w:val="5A7D3A"/>
          <w:sz w:val="18"/>
        </w:rPr>
        <w:t>https://pubmed.ncbi.nlm.nih.gov/42601168/</w:t>
      </w:r>
    </w:p>
    <w:p>
      <w:pPr>
        <w:pStyle w:val="Heading2"/>
      </w:pPr>
      <w:r>
        <w:t>Machbarkeit von S-Patch versus 24-Stunden-Holter bei älteren Erwachsenen mit Stürzen: randomisierte Crossover-Pilotstudie</w:t>
      </w:r>
    </w:p>
    <w:p>
      <w:r>
        <w:rPr>
          <w:i/>
          <w:color w:val="666666"/>
          <w:sz w:val="18"/>
        </w:rPr>
        <w:t>Rosario B et al.  ·  JMIR Rehabil Assist Technol  ·  14.08.2026  ·  PMID 42600137</w:t>
      </w:r>
    </w:p>
    <w:p>
      <w:r>
        <w:t>Die Studie verglich Machbarkeit, Verträglichkeit und Adhärenz eines neuen tragbaren EKG-Geräts (S-Patch) mit Standard-Holter-Monitoring bei älteren Patienten mit Sturzrisiko.</w:t>
      </w:r>
    </w:p>
    <w:p>
      <w:r>
        <w:rPr>
          <w:b/>
        </w:rPr>
        <w:t xml:space="preserve">Ergebnis: </w:t>
      </w:r>
      <w:r>
        <w:t>Bei 70 Patienten (45,7% mit kognitiver Beeinträchtigung) zeigte S-Patch längere durchschnittliche Tragedauer (&gt;60 Stunden, signifikant länger wenn zuerst angewendet: 68,8 vs. 62,9 Stunden; p=0,04) mit vergleichbaren Arrhythmie-Erkennungsraten und guter Verträglichkeit auch bei kognitiv beeinträchtigten Patienten.</w:t>
      </w:r>
    </w:p>
    <w:p>
      <w:r>
        <w:rPr>
          <w:color w:val="5A7D3A"/>
          <w:sz w:val="18"/>
        </w:rPr>
        <w:t>https://pubmed.ncbi.nlm.nih.gov/42600137/</w:t>
      </w:r>
    </w:p>
    <w:p>
      <w:pPr>
        <w:pStyle w:val="Heading2"/>
      </w:pPr>
      <w:r>
        <w:t>Entwicklung konsensbasierter Sicherheits- und Qualitäsindikatoren für sicheren Opioid-Einsatz in Krankenhäusern mittels modifizierter Delphi-Methode</w:t>
      </w:r>
    </w:p>
    <w:p>
      <w:r>
        <w:rPr>
          <w:i/>
          <w:color w:val="666666"/>
          <w:sz w:val="18"/>
        </w:rPr>
        <w:t>Mutashar A et al.  ·  Int J Qual Health Care  ·  14.08.2026  ·  PMID 42599219</w:t>
      </w:r>
    </w:p>
    <w:p>
      <w:r>
        <w:t>Die Studie entwickelte einen Katalog von Indikatoren zur Überwachung der Sicherheit und Qualität des Opioid-Einsatzes in australischen Krankenhäusern durch ein multidisziplinäres Expertengremium.</w:t>
      </w:r>
    </w:p>
    <w:p>
      <w:r>
        <w:rPr>
          <w:b/>
        </w:rPr>
        <w:t xml:space="preserve">Ergebnis: </w:t>
      </w:r>
      <w:r>
        <w:t>Von 34 bewerteten Indikatoren erreichten 17 Konsens für Wichtigkeit und Durchführbarkeit (Antwortquoten: Round 1 91%, Treffen 50%, Round 2 77%), was ein praktikables Werkzeug zur Verbesserung der Opioid-Medikamentensicherheit ermöglicht.</w:t>
      </w:r>
    </w:p>
    <w:p>
      <w:r>
        <w:rPr>
          <w:color w:val="5A7D3A"/>
          <w:sz w:val="18"/>
        </w:rPr>
        <w:t>https://pubmed.ncbi.nlm.nih.gov/42599219/</w:t>
      </w:r>
    </w:p>
    <w:p>
      <w:pPr>
        <w:pStyle w:val="Heading2"/>
      </w:pPr>
      <w:r>
        <w:t>Inzidenz, Ätiologien und Überlebensoutcomes von pädiatrischen außerklinischen Herzstillständen in Singapur</w:t>
      </w:r>
    </w:p>
    <w:p>
      <w:r>
        <w:rPr>
          <w:i/>
          <w:color w:val="666666"/>
          <w:sz w:val="18"/>
        </w:rPr>
        <w:t>Chee DS et al.  ·  Resusc Plus  ·  22.07.2026  ·  PMID 42598112</w:t>
      </w:r>
    </w:p>
    <w:p>
      <w:r>
        <w:t>Die Studie beschrieb Inzidenz, Ursachen und Überlebensraten von Herzstillständen bei Kindern in Singapur von 2010-2021 mittels der PAROS-Registry.</w:t>
      </w:r>
    </w:p>
    <w:p>
      <w:r>
        <w:rPr>
          <w:b/>
        </w:rPr>
        <w:t xml:space="preserve">Ergebnis: </w:t>
      </w:r>
      <w:r>
        <w:t>Von 414 Patienten betrug die Gesamtinzidenz 4,62 pro 100.000 Personenjahre (höchste Rate bei Säuglingen &lt;1 Jahr: 33,5 pro 100.000), Bystander-CPR-Rate 64,5%, häufigste Ursachen Atemwegsobstruktion (21%), Ertrinken (20,2%) und Trauma (18,5%); 30-Tage-Überlebensrate 11,1%, gutes neurologisches Ergebnis (CPC 1-2) 8,0% mit Verbesserung 2019-2021 (aOR 4,34; 95% CI 1,09-17,22; p=0,037).</w:t>
      </w:r>
    </w:p>
    <w:p>
      <w:r>
        <w:rPr>
          <w:color w:val="5A7D3A"/>
          <w:sz w:val="18"/>
        </w:rPr>
        <w:t>https://pubmed.ncbi.nlm.nih.gov/42598112/</w:t>
      </w:r>
    </w:p>
    <w:p>
      <w:pPr>
        <w:pStyle w:val="Heading2"/>
      </w:pPr>
      <w:r>
        <w:t>Rolle von Life's Essential 8 in der Assoziation von Nachtschichtarbeit mit kardiovaskulären Erkrankungen: prospektive UK-Biobank-Kohorte</w:t>
      </w:r>
    </w:p>
    <w:p>
      <w:r>
        <w:rPr>
          <w:i/>
          <w:color w:val="666666"/>
          <w:sz w:val="18"/>
        </w:rPr>
        <w:t>Huang Y et al.  ·  J Glob Health  ·  14.08.2026  ·  PMID 42596889</w:t>
      </w:r>
    </w:p>
    <w:p>
      <w:r>
        <w:t>Die Studie untersuchte die Assoziation zwischen Nachtschichtarbeit und kardiovaskulären Erkrankungen sowie die vermittelnde Rolle des Life's Essential 8-Lebensstilscores bei 131.844 Erwerbstätigen.</w:t>
      </w:r>
    </w:p>
    <w:p>
      <w:r>
        <w:rPr>
          <w:b/>
        </w:rPr>
        <w:t xml:space="preserve">Ergebnis: </w:t>
      </w:r>
      <w:r>
        <w:t>Über einen Median-Follow-up von 13,78 Jahren entwickelten 29,7% kardiovaskuläre Erkrankungen und 4,2% starben; Patienten mit permanenten Nachtschichten hatten erhöhtes Risiko für kardiovaskuläre Erkrankungen (HR=1,24; 95% CI 1,18-1,31), Gesamtmortalität (HR=1,23; 95% CI 1,07-1,41) und Myokardinfarkt (HR=1,29; 95% CI 1,09-1,51); Life's Essential 8 vermittelte 39,2% der kardiovaskulären Assoziation und 33,1% der Mortalität.</w:t>
      </w:r>
    </w:p>
    <w:p>
      <w:r>
        <w:rPr>
          <w:color w:val="5A7D3A"/>
          <w:sz w:val="18"/>
        </w:rPr>
        <w:t>https://pubmed.ncbi.nlm.nih.gov/42596889/</w:t>
      </w:r>
    </w:p>
    <w:p>
      <w:pPr>
        <w:pStyle w:val="Heading2"/>
      </w:pPr>
      <w:r>
        <w:t>Implementierung eines umfassenden Sichelzellzentrums führt zu verbessertem Zugang und reduzierter Notfallversorgung</w:t>
      </w:r>
    </w:p>
    <w:p>
      <w:r>
        <w:rPr>
          <w:i/>
          <w:color w:val="666666"/>
          <w:sz w:val="18"/>
        </w:rPr>
        <w:t>Kanter J et al.  ·  BMC Health Serv Res  ·  24.07.2026  ·  PMID 42596005</w:t>
      </w:r>
    </w:p>
    <w:p>
      <w:r>
        <w:t>Die Studie evaluierte die Auswirkungen der Implementierung eines multidisziplinären erwachsenen Sichelzellzentrums auf Ambulanznutzung und Notfallverlagerung in Alabama.</w:t>
      </w:r>
    </w:p>
    <w:p>
      <w:r>
        <w:rPr>
          <w:b/>
        </w:rPr>
        <w:t xml:space="preserve">Ergebnis: </w:t>
      </w:r>
      <w:r>
        <w:t>Die ambulante Klinikpopulation wuchs um mehr als das Dreifache auf 810 Patienten (2024), Infusions-Therapiebesuche stiegen um das Fünfzehnfache; durchschnittliche acute-care-Besuche pro Person/Jahr sanken signifikant von 2,11 auf 1,26 (p&lt;0,001), während routinemäßige ambulante Besuche von 2,65 auf 5,32 stiegen.</w:t>
      </w:r>
    </w:p>
    <w:p>
      <w:r>
        <w:rPr>
          <w:color w:val="5A7D3A"/>
          <w:sz w:val="18"/>
        </w:rPr>
        <w:t>https://pubmed.ncbi.nlm.nih.gov/42596005/</w:t>
      </w:r>
    </w:p>
    <w:p>
      <w:pPr>
        <w:pStyle w:val="Heading1"/>
      </w:pPr>
      <w:r>
        <w:t>Aufgenommen am 14.08.2026</w:t>
      </w:r>
    </w:p>
    <w:p>
      <w:pPr>
        <w:pStyle w:val="Heading2"/>
      </w:pPr>
      <w:r>
        <w:t>Dokumentationslücke bei eingeschränkter Gelenkbeweglichkeit in Pflegeheimen</w:t>
      </w:r>
    </w:p>
    <w:p>
      <w:r>
        <w:rPr>
          <w:i/>
          <w:color w:val="666666"/>
          <w:sz w:val="18"/>
        </w:rPr>
        <w:t>Austen S et al.  ·  J Am Med Dir Assoc  ·  13.08.2026  ·  PMID 42594509</w:t>
      </w:r>
    </w:p>
    <w:p>
      <w:r>
        <w:t>Die Studie untersuchte die Dokumentation von Gelenkbewegungseinschränkungen und schmerzenden Gelenken bei Pflegeheimbewohnern im Vergleich zur standardisierten klinischen Untersuchung.</w:t>
      </w:r>
    </w:p>
    <w:p>
      <w:r>
        <w:rPr>
          <w:b/>
        </w:rPr>
        <w:t xml:space="preserve">Ergebnis: </w:t>
      </w:r>
      <w:r>
        <w:t>Bei 69% der Bewohner wurde eine eingeschränkte Gelenkbeweglichkeit festgestellt, aber nur in 4% der Fälle dokumentiert. Die Hüftbeweglichkeit war in 51% der Fälle limitiert, wurde aber in keinem Fall dokumentiert. Bewohner mit nicht dokumentierten Bewegungseinschränkungen zeigten signifikant höhere funktionelle Abhängigkeit beim Umlagern (p &lt; 0,001).</w:t>
      </w:r>
    </w:p>
    <w:p>
      <w:r>
        <w:rPr>
          <w:color w:val="5A7D3A"/>
          <w:sz w:val="18"/>
        </w:rPr>
        <w:t>https://pubmed.ncbi.nlm.nih.gov/42594509/</w:t>
      </w:r>
    </w:p>
    <w:p>
      <w:pPr>
        <w:pStyle w:val="Heading2"/>
      </w:pPr>
      <w:r>
        <w:t>Emotionale Belastung durch Alarme bei Diabetes-Technologien</w:t>
      </w:r>
    </w:p>
    <w:p>
      <w:r>
        <w:rPr>
          <w:i/>
          <w:color w:val="666666"/>
          <w:sz w:val="18"/>
        </w:rPr>
        <w:t>Everett E et al.  ·  JMIR Diabetes  ·  13.08.2026  ·  PMID 42594259</w:t>
      </w:r>
    </w:p>
    <w:p>
      <w:r>
        <w:t>Die Studie verglich die Alarmhäufigkeit, emotionale Belastung und Verhaltensreaktionen auf Alarme zwischen Nutzern von kontinuierlichen Glukosemessgeräten, sensorunterstützten Pumpen und automatisierten Insulinabgabesystemen.</w:t>
      </w:r>
    </w:p>
    <w:p>
      <w:r>
        <w:rPr>
          <w:b/>
        </w:rPr>
        <w:t xml:space="preserve">Ergebnis: </w:t>
      </w:r>
      <w:r>
        <w:t>Von 838 Befragten berichteten Nutzer von automatisierten Systemen die höchste Alarmfrequenz (49% mehrmals täglich vs. 35% bzw. 32% in anderen Gruppen, p &lt; 0,001). Nach Adjustment zeigte sich ein erhöhtes Risiko für häufige Alarme (OR 1,98, 95% KI 1,48–2,65) und Überkorrektionen bei niedriger Glukose (OR 1,61, 95% KI 1,20–2,15) bei automatisierten Systemen.</w:t>
      </w:r>
    </w:p>
    <w:p>
      <w:r>
        <w:rPr>
          <w:color w:val="5A7D3A"/>
          <w:sz w:val="18"/>
        </w:rPr>
        <w:t>https://pubmed.ncbi.nlm.nih.gov/42594259/</w:t>
      </w:r>
    </w:p>
    <w:p>
      <w:pPr>
        <w:pStyle w:val="Heading2"/>
      </w:pPr>
      <w:r>
        <w:t>Chronic Kidney Disease Care Model zur Verbesserung von Patientenergebnissen</w:t>
      </w:r>
    </w:p>
    <w:p>
      <w:r>
        <w:rPr>
          <w:i/>
          <w:color w:val="666666"/>
          <w:sz w:val="18"/>
        </w:rPr>
        <w:t>Briggs AH et al.  ·  Pharmacoecon Open  ·  13.08.2026  ·  PMID 42593670</w:t>
      </w:r>
    </w:p>
    <w:p>
      <w:r>
        <w:t>Die Studie beschreibt ein Entscheidungsmodell zur Quantifizierung von Managementstrategien bei chronischer Nierenerkrankung und deren Kosteneffektivität in den USA.</w:t>
      </w:r>
    </w:p>
    <w:p>
      <w:r>
        <w:rPr>
          <w:b/>
        </w:rPr>
        <w:t xml:space="preserve">Ergebnis: </w:t>
      </w:r>
      <w:r>
        <w:t>Unter Standardbehandlung werden 15% der Patienten von Ursachen unabhängig von Nierenerkrankung sterben (nach durchschnittlich 12 Jahren). Mit optimierter Behandlung erhöht sich dieser Anteil auf 20% (nach 14 Jahren). Leitliniengerechte Behandlung ohne Verzögerung führt zu 0,68 QALYs Lebenszeitgewinn bei Kosten von 47.800 USD pro Patient.</w:t>
      </w:r>
    </w:p>
    <w:p>
      <w:r>
        <w:rPr>
          <w:color w:val="5A7D3A"/>
          <w:sz w:val="18"/>
        </w:rPr>
        <w:t>https://pubmed.ncbi.nlm.nih.gov/42593670/</w:t>
      </w:r>
    </w:p>
    <w:p>
      <w:pPr>
        <w:pStyle w:val="Heading2"/>
      </w:pPr>
      <w:r>
        <w:t>Algorithmen zur Identifikation klinisch beabsichtigter Medikamentenabsetzungen</w:t>
      </w:r>
    </w:p>
    <w:p>
      <w:r>
        <w:rPr>
          <w:i/>
          <w:color w:val="666666"/>
          <w:sz w:val="18"/>
        </w:rPr>
        <w:t>Goodrich GK et al.  ·  Med Care  ·  13.08.2026  ·  PMID 42593400</w:t>
      </w:r>
    </w:p>
    <w:p>
      <w:r>
        <w:t>Die Studie entwickelte algorithmische Verfahren zur Identifikation absichtlicher Medikamentenabsetzungen mittels Textsuche und klinischen Daten für fünf Arzneimittelgruppen.</w:t>
      </w:r>
    </w:p>
    <w:p>
      <w:r>
        <w:rPr>
          <w:b/>
        </w:rPr>
        <w:t xml:space="preserve">Ergebnis: </w:t>
      </w:r>
      <w:r>
        <w:t>Für die Validierungsstichproben betrugen Sensitivität und Spezifität für den vollständigen Algorithmus: orale Antidiabetika 80% und 85% (n=467), Statine 75% und 95% (n=282), Antihypertensiva 82% und 75% (n=599), Blasen-Antimuscarinergika 77% und 80% (n=80), Antikoagulanzien 74% und 78% (n=160).</w:t>
      </w:r>
    </w:p>
    <w:p>
      <w:r>
        <w:rPr>
          <w:color w:val="5A7D3A"/>
          <w:sz w:val="18"/>
        </w:rPr>
        <w:t>https://pubmed.ncbi.nlm.nih.gov/42593400/</w:t>
      </w:r>
    </w:p>
    <w:p>
      <w:pPr>
        <w:pStyle w:val="Heading2"/>
      </w:pPr>
      <w:r>
        <w:t>Mechanisch beatmete Kinder in pädiatrischen vs. allgemeinen Intensivstationen in Japan</w:t>
      </w:r>
    </w:p>
    <w:p>
      <w:r>
        <w:rPr>
          <w:i/>
          <w:color w:val="666666"/>
          <w:sz w:val="18"/>
        </w:rPr>
        <w:t>Sakurai Y et al.  ·  Front Pediatr  ·  29.07.2026  ·  PMID 42591500</w:t>
      </w:r>
    </w:p>
    <w:p>
      <w:r>
        <w:t>Die Studie verglich klinische Ergebnisse mechanisch beatmeter Kinder in spezialisierten pädiatrischen Intensivstationen (PICU) versus allgemeinen Intensivstationen (GICU).</w:t>
      </w:r>
    </w:p>
    <w:p>
      <w:r>
        <w:rPr>
          <w:b/>
        </w:rPr>
        <w:t xml:space="preserve">Ergebnis: </w:t>
      </w:r>
      <w:r>
        <w:t>Von 48.106 Patienten wurden 36% auf PICUs behandelt. Nach Propensity-Score-Analyse zeigte PICU-Versorgung signifikant niedrigere Krankenhaussterblichkeit (2,73% vs. 3,42%; OR 0,79, 95% KI 0,69–0,91; p = 0,001), aber längere Gesamtaufenthalte (22,74 vs. 22,13 Tage; p &lt; 0,001).</w:t>
      </w:r>
    </w:p>
    <w:p>
      <w:r>
        <w:rPr>
          <w:color w:val="5A7D3A"/>
          <w:sz w:val="18"/>
        </w:rPr>
        <w:t>https://pubmed.ncbi.nlm.nih.gov/42591500/</w:t>
      </w:r>
    </w:p>
    <w:p>
      <w:pPr>
        <w:pStyle w:val="Heading1"/>
      </w:pPr>
      <w:r>
        <w:t>Aufgenommen am 13.08.2026</w:t>
      </w:r>
    </w:p>
    <w:p>
      <w:pPr>
        <w:pStyle w:val="Heading2"/>
      </w:pPr>
      <w:r>
        <w:t>Door-to-Balloon-Zeit, Komplikationen und Verweildauer bei STEMI</w:t>
      </w:r>
    </w:p>
    <w:p>
      <w:r>
        <w:rPr>
          <w:i/>
          <w:color w:val="666666"/>
          <w:sz w:val="18"/>
        </w:rPr>
        <w:t>Eid AbuRuz M et al.  ·  J Clin Med  ·  26.07.2026  ·  PMID 42589943</w:t>
      </w:r>
    </w:p>
    <w:p>
      <w:r>
        <w:t>Diese prospektive Beobachtungsstudie untersuchte, ob die Door-to-Balloon-Zeit (D2B) bei ST-Hebungs-Myokardinfarkt (STEMI) postoperative Komplikationen und Krankenhausverweildauer vorhersagt.</w:t>
      </w:r>
    </w:p>
    <w:p>
      <w:r>
        <w:rPr>
          <w:b/>
        </w:rPr>
        <w:t xml:space="preserve">Ergebnis: </w:t>
      </w:r>
      <w:r>
        <w:t>Eine verzögerte D2B-Zeit (≥2 h) war mit 2,22-fach erhöhtem Komplikationsrisiko assoziiert; jede zusätzliche Stunde Verzögerung führte zu 0,294 Tagen mehr Krankenhausaufenthalt. Ein Median D2B von 108 Minuten wurde beobachtet (IQR 65–395).</w:t>
      </w:r>
    </w:p>
    <w:p>
      <w:r>
        <w:rPr>
          <w:color w:val="5A7D3A"/>
          <w:sz w:val="18"/>
        </w:rPr>
        <w:t>https://pubmed.ncbi.nlm.nih.gov/42589943/</w:t>
      </w:r>
    </w:p>
    <w:p>
      <w:pPr>
        <w:pStyle w:val="Heading2"/>
      </w:pPr>
      <w:r>
        <w:t>Simulation der Effekte von Mindestfallzahl-Schwellenwerten auf die geografische Erreichbarkeit neurochirurgischer Kliniken in Deutschland</w:t>
      </w:r>
    </w:p>
    <w:p>
      <w:r>
        <w:rPr>
          <w:i/>
          <w:color w:val="666666"/>
          <w:sz w:val="18"/>
        </w:rPr>
        <w:t>Mayer S et al.  ·  Healthcare (Basel)  ·  06.08.2026  ·  PMID 42588405</w:t>
      </w:r>
    </w:p>
    <w:p>
      <w:r>
        <w:t>Diese Simulationsstudie untersuchte die Auswirkungen unterschiedlicher Mindestfallzahl-Schwellenwerte auf die geografische Erreichbarkeit neurochirurgischer Versorgung in Deutschland.</w:t>
      </w:r>
    </w:p>
    <w:p>
      <w:r>
        <w:rPr>
          <w:b/>
        </w:rPr>
        <w:t xml:space="preserve">Ergebnis: </w:t>
      </w:r>
      <w:r>
        <w:t>Basale Erreichbarkeit innerhalb 40 Minuten Fahrtzeit (A2N40) betrug 66,6 % der Fläche und 84,7 % der Bevölkerung. Eine Erhöhung um einen Perzentilpunkt der Fallzahl-Schwelle reduzierte A2N40 um durchschnittlich 0,70 Prozentpunkte, was etwa 305.000 zusätzliche Menschen betrifft.</w:t>
      </w:r>
    </w:p>
    <w:p>
      <w:r>
        <w:rPr>
          <w:color w:val="5A7D3A"/>
          <w:sz w:val="18"/>
        </w:rPr>
        <w:t>https://pubmed.ncbi.nlm.nih.gov/42588405/</w:t>
      </w:r>
    </w:p>
    <w:p>
      <w:pPr>
        <w:pStyle w:val="Heading2"/>
      </w:pPr>
      <w:r>
        <w:t>Evaluation eines Stärkenbasierten Resilienz-Programms auf Widerstandskraft, wahrgenommenen Stress und depressive Symptome bei Schülern in Thailand</w:t>
      </w:r>
    </w:p>
    <w:p>
      <w:r>
        <w:rPr>
          <w:i/>
          <w:color w:val="666666"/>
          <w:sz w:val="18"/>
        </w:rPr>
        <w:t>Na Nakorn S et al.  ·  Healthcare (Basel)  ·  01.08.2026  ·  PMID 42588304</w:t>
      </w:r>
    </w:p>
    <w:p>
      <w:r>
        <w:t>Diese quasi-experimentelle Single-Group-Studie evaluierte ein sechswöchiges Resilienz-Programm bei 26 sekundarschul-Schülern mit Messungen zu Baseline, direkt nach Intervention und nach einem Monat.</w:t>
      </w:r>
    </w:p>
    <w:p>
      <w:r>
        <w:rPr>
          <w:b/>
        </w:rPr>
        <w:t xml:space="preserve">Ergebnis: </w:t>
      </w:r>
      <w:r>
        <w:t>Resilienz stieg von M=64,00 (Baseline) auf M=76,46 (direkt post) und M=78,19 (ein Monat später; p&amp;lt;0,001, η²=0,752). Wahrgenommener Stress sank von M=20,62 auf M=13,04 und M=9,62 (p&amp;lt;0,001, η²=0,808). Depressive Symptome sanken von M=7,27 auf M=5,81 und M=4,88 (p&amp;lt;0,001, η²=0,371).</w:t>
      </w:r>
    </w:p>
    <w:p>
      <w:r>
        <w:rPr>
          <w:color w:val="5A7D3A"/>
          <w:sz w:val="18"/>
        </w:rPr>
        <w:t>https://pubmed.ncbi.nlm.nih.gov/42588304/</w:t>
      </w:r>
    </w:p>
    <w:p>
      <w:pPr>
        <w:pStyle w:val="Heading2"/>
      </w:pPr>
      <w:r>
        <w:t>Kürzere Verweildauer nach risikoarmem Kaiserschnitt</w:t>
      </w:r>
    </w:p>
    <w:p>
      <w:r>
        <w:rPr>
          <w:i/>
          <w:color w:val="666666"/>
          <w:sz w:val="18"/>
        </w:rPr>
        <w:t>Su WG et al.  ·  BMJ Open Qual  ·  12.08.2026  ·  PMID 42586586</w:t>
      </w:r>
    </w:p>
    <w:p>
      <w:r>
        <w:t>Qualitätsverbesserungsprojekt zur Entlassung am dritten Tag nach risikoarmem Kaiserschnitt.</w:t>
      </w:r>
    </w:p>
    <w:p>
      <w:r>
        <w:rPr>
          <w:b/>
        </w:rPr>
        <w:t xml:space="preserve">Ergebnis: </w:t>
      </w:r>
      <w:r>
        <w:t>Die Entlassungsrate am dritten Tag stieg von 80,0 % (n = 352) auf 84,5 % (n = 241), nach dem gebündelten Maßnahmenpaket von 83,3 % auf 92,5 %; geschätzte Einsparung 70.884 SGD. Standardisierte Abläufe verkürzen die Liegezeit ohne Qualitätsverlust.</w:t>
      </w:r>
    </w:p>
    <w:p>
      <w:r>
        <w:rPr>
          <w:color w:val="5A7D3A"/>
          <w:sz w:val="18"/>
        </w:rPr>
        <w:t>https://pubmed.ncbi.nlm.nih.gov/42586586/</w:t>
      </w:r>
    </w:p>
    <w:p>
      <w:pPr>
        <w:pStyle w:val="Heading2"/>
      </w:pPr>
      <w:r>
        <w:t>Entwicklung und Validierung des N-DROP-Scores zur Vorhersage der 30-Tage-Sterblichkeit bei Pflegeheim-assoziierten Pneumonien</w:t>
      </w:r>
    </w:p>
    <w:p>
      <w:r>
        <w:rPr>
          <w:i/>
          <w:color w:val="666666"/>
          <w:sz w:val="18"/>
        </w:rPr>
        <w:t>Taniguchi J et al.  ·  J Infect Chemother  ·  12.08.2026  ·  PMID 42586261</w:t>
      </w:r>
    </w:p>
    <w:p>
      <w:r>
        <w:t>Diese Studie entwickelte mittels LASSO-Regression ein verbessertes Modell zur Vorhersage der in-Hospital-Sterblichkeit bei Pflegeheim-assoziierten Pneumonien (NHCAP) basierend auf Faktoren jenseits des klassischen A-DROP-Scores.</w:t>
      </w:r>
    </w:p>
    <w:p>
      <w:r>
        <w:rPr>
          <w:b/>
        </w:rPr>
        <w:t xml:space="preserve">Ergebnis: </w:t>
      </w:r>
      <w:r>
        <w:t>Die 30-Tage-Sterblichkeit in 116.185 Patienten betrug 11,7 %. Der N-DROP-Score zeigte verbesserte Diskriminationsfähigkeit (C-Statistik 0,746; 95 % KI 0,734–0,757) gegenüber A-DROP (0,708; 95 % KI 0,695–0,720; p&amp;lt;0,001).</w:t>
      </w:r>
    </w:p>
    <w:p>
      <w:r>
        <w:rPr>
          <w:color w:val="5A7D3A"/>
          <w:sz w:val="18"/>
        </w:rPr>
        <w:t>https://pubmed.ncbi.nlm.nih.gov/42586261/</w:t>
      </w:r>
    </w:p>
    <w:p>
      <w:pPr>
        <w:pStyle w:val="Heading2"/>
      </w:pPr>
      <w:r>
        <w:t>Wertbasierte Vergütung in der Primärversorgung und Low-Value Care</w:t>
      </w:r>
    </w:p>
    <w:p>
      <w:r>
        <w:rPr>
          <w:i/>
          <w:color w:val="666666"/>
          <w:sz w:val="18"/>
        </w:rPr>
        <w:t>Izguttinov A et al.  ·  Health Serv Res  ·  Aug. 2026  ·  PMID 42584215</w:t>
      </w:r>
    </w:p>
    <w:p>
      <w:r>
        <w:t>Untersuchung, ob die Einführung wertbasierter Vergütung in Hausarztpraxen unnötige Leistungen reduziert.</w:t>
      </w:r>
    </w:p>
    <w:p>
      <w:r>
        <w:rPr>
          <w:b/>
        </w:rPr>
        <w:t xml:space="preserve">Ergebnis: </w:t>
      </w:r>
      <w:r>
        <w:t>Über 33,6 Mio. Versichertenmonate (1,34 Mio. Versicherte, 7.903 Praxen) blieben die Unterschiede ohne statistische Signifikanz: Bildgebung bei Fersensporn 31,2 % gegenüber 28,9 %, bei Kopfschmerz 14,8 % gegenüber 14,5 %, bei Rückenschmerz je 13,8 %. Vergütungsanreize allein senken Low-Value Care offenbar nicht.</w:t>
      </w:r>
    </w:p>
    <w:p>
      <w:r>
        <w:rPr>
          <w:color w:val="5A7D3A"/>
          <w:sz w:val="18"/>
        </w:rPr>
        <w:t>https://pubmed.ncbi.nlm.nih.gov/42584215/</w:t>
      </w:r>
    </w:p>
    <w:p>
      <w:pPr>
        <w:pStyle w:val="Heading2"/>
      </w:pPr>
      <w:r>
        <w:t>Inanspruchnahme und Kosten bei Long COVID (England und Wales)</w:t>
      </w:r>
    </w:p>
    <w:p>
      <w:r>
        <w:rPr>
          <w:i/>
          <w:color w:val="666666"/>
          <w:sz w:val="18"/>
        </w:rPr>
        <w:t>Dashtban A et al.  ·  J R Soc Med  ·  12.08.2026  ·  PMID 42584205</w:t>
      </w:r>
    </w:p>
    <w:p>
      <w:r>
        <w:t>Vergleich von Versorgungskosten und Arztkontakten zwischen Long-COVID-Betroffenen und Kontrollpersonen.</w:t>
      </w:r>
    </w:p>
    <w:p>
      <w:r>
        <w:rPr>
          <w:b/>
        </w:rPr>
        <w:t xml:space="preserve">Ergebnis: </w:t>
      </w:r>
      <w:r>
        <w:t>Die mittleren Jahreskosten lagen in Wales bei 6.681,60 £ gegenüber 2.039,90 £ (3,27-fach), in England bei 3.378,30 £ gegenüber 1.355,80 £ (2,49-fach); Wales verzeichnete einen um 25 % stärkeren relativen Kostenanstieg (Verhältnis 1,25; 95%-KI 1,09–1,42). Die Versorgungslast fällt regional deutlich unterschiedlich aus.</w:t>
      </w:r>
    </w:p>
    <w:p>
      <w:r>
        <w:rPr>
          <w:color w:val="5A7D3A"/>
          <w:sz w:val="18"/>
        </w:rPr>
        <w:t>https://pubmed.ncbi.nlm.nih.gov/42584205/</w:t>
      </w:r>
    </w:p>
    <w:p>
      <w:pPr>
        <w:pStyle w:val="Heading2"/>
      </w:pPr>
      <w:r>
        <w:t>Eigenbesitz an Zusatzleistungen und Testhäufigkeit in Urologiepraxen</w:t>
      </w:r>
    </w:p>
    <w:p>
      <w:r>
        <w:rPr>
          <w:i/>
          <w:color w:val="666666"/>
          <w:sz w:val="18"/>
        </w:rPr>
        <w:t>Srivastava A et al.  ·  Med Care  ·  12.08.2026  ·  PMID 42583905</w:t>
      </w:r>
    </w:p>
    <w:p>
      <w:r>
        <w:t>Analyse, ob unternehmerische Beteiligung von Urologiepraxen an Zusatzleistungen die Zahl angeordneter Tests erhöht.</w:t>
      </w:r>
    </w:p>
    <w:p>
      <w:r>
        <w:rPr>
          <w:b/>
        </w:rPr>
        <w:t xml:space="preserve">Ergebnis: </w:t>
      </w:r>
      <w:r>
        <w:t>20,6 % der Praxen (706 von 3.430) besaßen eigene Zusatzleistungen; pro 10 Punkte auf dem Unternehmerindex stiegen bei 49.285 Männern die Chancen für Urinuntersuchungen auf das 1,13-Fache (95%-KI 1,09–1,18; p &lt; 0,001) und für nicht indikationsbezogene Tests auf das 1,21-Fache (95%-KI 1,15–1,27; p &lt; 0,001). Finanzielle Eigeninteressen schlagen messbar auf die Leistungsmenge durch.</w:t>
      </w:r>
    </w:p>
    <w:p>
      <w:r>
        <w:rPr>
          <w:color w:val="5A7D3A"/>
          <w:sz w:val="18"/>
        </w:rPr>
        <w:t>https://pubmed.ncbi.nlm.nih.gov/42583905/</w:t>
      </w:r>
    </w:p>
    <w:p>
      <w:pPr>
        <w:pStyle w:val="Heading2"/>
      </w:pPr>
      <w:r>
        <w:t>Soziale Bedarfe und Versorgungszugang nach Kostenträger</w:t>
      </w:r>
    </w:p>
    <w:p>
      <w:r>
        <w:rPr>
          <w:i/>
          <w:color w:val="666666"/>
          <w:sz w:val="18"/>
        </w:rPr>
        <w:t>Wang VH et al.  ·  Med Care  ·  10.08.2026  ·  PMID 42583901</w:t>
      </w:r>
    </w:p>
    <w:p>
      <w:r>
        <w:t>Querschnittsanalyse, wie häufig gesundheitsbezogene soziale Bedarfe je nach Versicherungsart auftreten und den Zugang zur Versorgung beeinflussen.</w:t>
      </w:r>
    </w:p>
    <w:p>
      <w:r>
        <w:rPr>
          <w:b/>
        </w:rPr>
        <w:t xml:space="preserve">Ergebnis: </w:t>
      </w:r>
      <w:r>
        <w:t>Unter 126.490 Befragten war Ernährungsunsicherheit bei Medicaid-Versicherten mit 49,20 % weit häufiger als bei privat (11,89 %) oder über Medicare (5,20 %) Versicherten; Wohnungsunsicherheit lag bei 54,61 %, 25,18 % und 14,99 %. Ernährungsunsicherheit ging in allen Gruppen mit häufiger unterlassener Versorgung einher.</w:t>
      </w:r>
    </w:p>
    <w:p>
      <w:r>
        <w:rPr>
          <w:color w:val="5A7D3A"/>
          <w:sz w:val="18"/>
        </w:rPr>
        <w:t>https://pubmed.ncbi.nlm.nih.gov/42583901/</w:t>
      </w:r>
    </w:p>
    <w:p>
      <w:pPr>
        <w:pStyle w:val="Heading2"/>
      </w:pPr>
      <w:r>
        <w:t>Leitlinientreue in der Nachsorge nach akuter Nierenschädigung</w:t>
      </w:r>
    </w:p>
    <w:p>
      <w:r>
        <w:rPr>
          <w:i/>
          <w:color w:val="666666"/>
          <w:sz w:val="18"/>
        </w:rPr>
        <w:t>Mok PLH et al.  ·  BMC Med  ·  12.08.2026  ·  PMID 42581362</w:t>
      </w:r>
    </w:p>
    <w:p>
      <w:r>
        <w:t>Routinedatenanalyse zur Frage, wie konsequent die empfohlene Nachsorge nach akuter Nierenschädigung umgesetzt wird.</w:t>
      </w:r>
    </w:p>
    <w:p>
      <w:r>
        <w:rPr>
          <w:b/>
        </w:rPr>
        <w:t xml:space="preserve">Ergebnis: </w:t>
      </w:r>
      <w:r>
        <w:t>Bei 209.222 Patientinnen und Patienten (279.187 Episoden) wurde die Nierenschädigung nur in 19,5 % kodiert (95%-KI 18,5–20,5); 72,6 % hatten Hausarztkontakt, aber nur 34,2 % eine Kreatininkontrolle nach 90 Tagen und 4,2 % eine Albumin-Kreatinin-Bestimmung. Die empfohlene Nachsorge findet weitgehend nicht statt.</w:t>
      </w:r>
    </w:p>
    <w:p>
      <w:r>
        <w:rPr>
          <w:color w:val="5A7D3A"/>
          <w:sz w:val="18"/>
        </w:rPr>
        <w:t>https://pubmed.ncbi.nlm.nih.gov/42581362/</w:t>
      </w:r>
    </w:p>
    <w:p>
      <w:pPr>
        <w:pStyle w:val="Heading1"/>
      </w:pPr>
      <w:r>
        <w:t>Aufgenommen am 10.08.2026</w:t>
      </w:r>
    </w:p>
    <w:p>
      <w:pPr>
        <w:pStyle w:val="Heading2"/>
      </w:pPr>
      <w:r>
        <w:t>ConcePTION-Algorithmus: Schwangerschaften in Routinedaten erkennen</w:t>
      </w:r>
    </w:p>
    <w:p>
      <w:r>
        <w:rPr>
          <w:i/>
          <w:color w:val="666666"/>
          <w:sz w:val="18"/>
        </w:rPr>
        <w:t>Limoncella G et al.  ·  Pharmacoepidemiol Drug Saf  ·  Aug. 2026  ·  PMID 42571911</w:t>
      </w:r>
    </w:p>
    <w:p>
      <w:r>
        <w:t>Entwicklung und Anwendung eines Algorithmus, der Schwangerschaften in bevölkerungsbezogenen Gesundheitsdatenbanken identifiziert.</w:t>
      </w:r>
    </w:p>
    <w:p>
      <w:r>
        <w:rPr>
          <w:b/>
        </w:rPr>
        <w:t xml:space="preserve">Ergebnis: </w:t>
      </w:r>
      <w:r>
        <w:t>Über 10 europäische Datenbanken wurden rund 2,7 Mio. Schwangerschaften erkannt; 50–83 % endeten in Lebendgeburten, 4–10 % in Fehlgeburten. Das Gestationsalter war für 6–89 % der Datensätze schätzbar (RMSE 17–50 Tage). Das verbessert die Nutzung von Routinedaten für die Arzneimittelsicherheit in der Schwangerschaft.</w:t>
      </w:r>
    </w:p>
    <w:p>
      <w:r>
        <w:rPr>
          <w:color w:val="5A7D3A"/>
          <w:sz w:val="18"/>
        </w:rPr>
        <w:t>https://pubmed.ncbi.nlm.nih.gov/42571911/</w:t>
      </w:r>
    </w:p>
    <w:p>
      <w:pPr>
        <w:pStyle w:val="Heading2"/>
      </w:pPr>
      <w:r>
        <w:t>Wartezeit von Diagnose bis Operation beim Zervixkarzinom</w:t>
      </w:r>
    </w:p>
    <w:p>
      <w:r>
        <w:rPr>
          <w:i/>
          <w:color w:val="666666"/>
          <w:sz w:val="18"/>
        </w:rPr>
        <w:t>Jalink M et al.  ·  Cancer Epidemiol  ·  04.08.2026  ·  PMID 42551070</w:t>
      </w:r>
    </w:p>
    <w:p>
      <w:r>
        <w:t>Kohortenstudie zum Zusammenhang zwischen dem Intervall Diagnose–Operation und dem Gesamtüberleben.</w:t>
      </w:r>
    </w:p>
    <w:p>
      <w:r>
        <w:rPr>
          <w:b/>
        </w:rPr>
        <w:t xml:space="preserve">Ergebnis: </w:t>
      </w:r>
      <w:r>
        <w:t>Bei 1.501 Patientinnen (mediane Wartezeit 80 Tage) war ein sehr kurzes Intervall (2–6 Wochen) mit erhöhtem Sterberisiko verbunden (HR 2,33; 95%-KI 1,14–4,77) gegenüber 10–14 Wochen; das Muster war U-förmig. Sowohl sehr kurze als auch sehr lange Wartezeiten erscheinen ungünstig.</w:t>
      </w:r>
    </w:p>
    <w:p>
      <w:r>
        <w:rPr>
          <w:color w:val="5A7D3A"/>
          <w:sz w:val="18"/>
        </w:rPr>
        <w:t>https://pubmed.ncbi.nlm.nih.gov/42551070/</w:t>
      </w:r>
    </w:p>
    <w:p>
      <w:pPr>
        <w:pStyle w:val="Heading1"/>
      </w:pPr>
      <w:r>
        <w:t>Aufgenommen am 09.08.2026</w:t>
      </w:r>
    </w:p>
    <w:p>
      <w:pPr>
        <w:pStyle w:val="Heading2"/>
      </w:pPr>
      <w:r>
        <w:t>Aufhörversuche beim Shisha-Rauchen junger Erwachsener in Deutschland</w:t>
      </w:r>
    </w:p>
    <w:p>
      <w:r>
        <w:rPr>
          <w:i/>
          <w:color w:val="666666"/>
          <w:sz w:val="18"/>
        </w:rPr>
        <w:t>Fedler C et al.  ·  Tob Use Insights  ·  07.08.2026  ·  PMID 42571166</w:t>
      </w:r>
    </w:p>
    <w:p>
      <w:r>
        <w:t>Befragung zu Aufhörverhalten und dessen Prädiktoren bei jungen Shisha-Rauchenden in Deutschland.</w:t>
      </w:r>
    </w:p>
    <w:p>
      <w:r>
        <w:rPr>
          <w:b/>
        </w:rPr>
        <w:t xml:space="preserve">Ergebnis: </w:t>
      </w:r>
      <w:r>
        <w:t>Nur 14,6 % (95%-KI 11,9–17,8) hatten je einen Aufhörversuch unternommen; die wahrgenommene Abhängigkeit war der einzige signifikante Prädiktor. Präventions- und Entwöhnungsangebote erreichen die Gruppe bislang kaum.</w:t>
      </w:r>
    </w:p>
    <w:p>
      <w:r>
        <w:rPr>
          <w:color w:val="5A7D3A"/>
          <w:sz w:val="18"/>
        </w:rPr>
        <w:t>https://pubmed.ncbi.nlm.nih.gov/42571166/</w:t>
      </w:r>
    </w:p>
    <w:p>
      <w:pPr>
        <w:pStyle w:val="Heading2"/>
      </w:pPr>
      <w:r>
        <w:t>Determinanten der Teilnahme am Mammographie-Screening (Ankara, Türkei)</w:t>
      </w:r>
    </w:p>
    <w:p>
      <w:r>
        <w:rPr>
          <w:i/>
          <w:color w:val="666666"/>
          <w:sz w:val="18"/>
        </w:rPr>
        <w:t>Topcu FB et al.  ·  BMC Health Serv Res  ·  07.08.2026  ·  PMID 42571012</w:t>
      </w:r>
    </w:p>
    <w:p>
      <w:r>
        <w:t>Querschnittstudie zu Faktoren, die die Inanspruchnahme der Brustkrebs-Früherkennung bei Frauen beeinflussen.</w:t>
      </w:r>
    </w:p>
    <w:p>
      <w:r>
        <w:rPr>
          <w:b/>
        </w:rPr>
        <w:t xml:space="preserve">Ergebnis: </w:t>
      </w:r>
      <w:r>
        <w:t>Frauen, die Screening-Programme kannten, nahmen 8,5-mal häufiger teil; nach früherer anderer Krebsfrüherkennung 5,5-mal häufiger; eine chronische Erkrankung verdoppelte die Chance. Bekanntheit und Aufklärung sind die zentralen Hebel.</w:t>
      </w:r>
    </w:p>
    <w:p>
      <w:r>
        <w:rPr>
          <w:color w:val="5A7D3A"/>
          <w:sz w:val="18"/>
        </w:rPr>
        <w:t>https://pubmed.ncbi.nlm.nih.gov/42571012/</w:t>
      </w:r>
    </w:p>
    <w:p>
      <w:pPr>
        <w:pStyle w:val="Heading2"/>
      </w:pPr>
      <w:r>
        <w:t>Therapieunterbrechende Systemfehler der Heim-Peritonealdialyse (HomeChoice-Cycler)</w:t>
      </w:r>
    </w:p>
    <w:p>
      <w:r>
        <w:rPr>
          <w:i/>
          <w:color w:val="666666"/>
          <w:sz w:val="18"/>
        </w:rPr>
        <w:t>Albert A et al.  ·  BMC Health Serv Res  ·  08.08.2026  ·  PMID 42571003</w:t>
      </w:r>
    </w:p>
    <w:p>
      <w:r>
        <w:t>Analyse technischer Fehler bei der Heimdialyse und ihrer Häufigkeit im Versorgungsalltag.</w:t>
      </w:r>
    </w:p>
    <w:p>
      <w:r>
        <w:rPr>
          <w:b/>
        </w:rPr>
        <w:t xml:space="preserve">Ergebnis: </w:t>
      </w:r>
      <w:r>
        <w:t>49 verschiedene Fehlertypen in 138 Vorfällen; Druckkammer-Fehler machten 21,7 % aus; Fehler traten in unter 0,25 % der Behandlungssitzungen auf. Die Heimtechnik ist überwiegend zuverlässig; einzelne Fehlerquellen sind gezielt adressierbar.</w:t>
      </w:r>
    </w:p>
    <w:p>
      <w:r>
        <w:rPr>
          <w:color w:val="5A7D3A"/>
          <w:sz w:val="18"/>
        </w:rPr>
        <w:t>https://pubmed.ncbi.nlm.nih.gov/42571003/</w:t>
      </w:r>
    </w:p>
    <w:p>
      <w:pPr>
        <w:pStyle w:val="Heading2"/>
      </w:pPr>
      <w:r>
        <w:t>Lebensqualität nach risikoreduzierender Hysterektomie</w:t>
      </w:r>
    </w:p>
    <w:p>
      <w:r>
        <w:rPr>
          <w:i/>
          <w:color w:val="666666"/>
          <w:sz w:val="18"/>
        </w:rPr>
        <w:t>Oxley S et al.  ·  Gynecol Oncol  ·  08.08.2026  ·  PMID 42570385</w:t>
      </w:r>
    </w:p>
    <w:p>
      <w:r>
        <w:t>Untersuchung der gesundheitsbezogenen Lebensqualität (Nutzwerte) nach vorbeugender Gebärmutterentfernung.</w:t>
      </w:r>
    </w:p>
    <w:p>
      <w:r>
        <w:rPr>
          <w:b/>
        </w:rPr>
        <w:t xml:space="preserve">Ergebnis: </w:t>
      </w:r>
      <w:r>
        <w:t>Mittlere Nutzwerte lagen je nach Eingriff und Zeitpunkt zwischen 0,670 und 0,942, mit signifikanten Gruppenunterschieden (p &lt; 0,001). Art und Zeitpunkt des Eingriffs beeinflussen die Lebensqualität deutlich.</w:t>
      </w:r>
    </w:p>
    <w:p>
      <w:r>
        <w:rPr>
          <w:color w:val="5A7D3A"/>
          <w:sz w:val="18"/>
        </w:rPr>
        <w:t>https://pubmed.ncbi.nlm.nih.gov/42570385/</w:t>
      </w:r>
    </w:p>
    <w:p>
      <w:pPr>
        <w:pStyle w:val="Heading2"/>
      </w:pPr>
      <w:r>
        <w:t>Orale Antikoagulation und neu auftretende Demenz bei Vorhofflimmern</w:t>
      </w:r>
    </w:p>
    <w:p>
      <w:r>
        <w:rPr>
          <w:i/>
          <w:color w:val="666666"/>
          <w:sz w:val="18"/>
        </w:rPr>
        <w:t>Belachew EA et al.  ·  Geroscience  ·  08.08.2026  ·  PMID 42570194</w:t>
      </w:r>
    </w:p>
    <w:p>
      <w:r>
        <w:t>Real-World-Kohortenstudie zum Zusammenhang zwischen Art des Gerinnungshemmers und Demenzrisiko.</w:t>
      </w:r>
    </w:p>
    <w:p>
      <w:r>
        <w:rPr>
          <w:b/>
        </w:rPr>
        <w:t xml:space="preserve">Ergebnis: </w:t>
      </w:r>
      <w:r>
        <w:t>DOAK gingen mit geringerem Demenzrisiko einher (HR 0,63; 95%-KI 0,56–0,70), Warfarin mit höherem Risiko (HR 1,31; 95%-KI 1,16–1,49). Die Wirkstoffwahl könnte für die kognitive Langzeitprognose bedeutsam sein.</w:t>
      </w:r>
    </w:p>
    <w:p>
      <w:r>
        <w:rPr>
          <w:color w:val="5A7D3A"/>
          <w:sz w:val="18"/>
        </w:rPr>
        <w:t>https://pubmed.ncbi.nlm.nih.gov/42570194/</w:t>
      </w:r>
    </w:p>
    <w:p>
      <w:pPr>
        <w:pStyle w:val="Heading2"/>
      </w:pPr>
      <w:r>
        <w:t>Adhärenz zu Bewegungsleitlinien bei US-Krebsüberlebenden</w:t>
      </w:r>
    </w:p>
    <w:p>
      <w:r>
        <w:rPr>
          <w:i/>
          <w:color w:val="666666"/>
          <w:sz w:val="18"/>
        </w:rPr>
        <w:t>Kumar G et al.  ·  J Cancer Surviv  ·  08.08.2026  ·  PMID 42570052</w:t>
      </w:r>
    </w:p>
    <w:p>
      <w:r>
        <w:t>Auswertung landesweiter Surveydaten zur Einhaltung der Empfehlungen für körperliche Aktivität über die Zeit.</w:t>
      </w:r>
    </w:p>
    <w:p>
      <w:r>
        <w:rPr>
          <w:b/>
        </w:rPr>
        <w:t xml:space="preserve">Ergebnis: </w:t>
      </w:r>
      <w:r>
        <w:t>Die Adhärenz stieg von 9,2 % (2010) auf 22,0 % (2015) und fiel bis 2020 wieder auf 8,7 %. Anhaltend niedrige, zuletzt rückläufige Werte weisen auf Versorgungslücken in der Bewegungsförderung hin.</w:t>
      </w:r>
    </w:p>
    <w:p>
      <w:r>
        <w:rPr>
          <w:color w:val="5A7D3A"/>
          <w:sz w:val="18"/>
        </w:rPr>
        <w:t>https://pubmed.ncbi.nlm.nih.gov/42570052/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Versorgungsforschung</dc:title>
  <dc:subject/>
  <dc:creator>Monitor Versorgungsforschung</dc:creator>
  <cp:keywords/>
  <dc:description>generated by python-docx</dc:description>
  <cp:lastModifiedBy/>
  <cp:revision>1</cp:revision>
  <dcterms:created xsi:type="dcterms:W3CDTF">2026-09-09T06:00:00Z</dcterms:created>
  <dcterms:modified xsi:type="dcterms:W3CDTF">2026-09-09T06:00:00Z</dcterms:modified>
  <cp:category/>
</cp:coreProperties>
</file>