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23.10.2026  |  418 Studien  |  wissen.m-vf.de</w:t>
      </w:r>
    </w:p>
    <w:p>
      <w:pPr>
        <w:pStyle w:val="Heading1"/>
      </w:pPr>
      <w:r>
        <w:t>Aufgenommen am 23.10.2026</w:t>
      </w:r>
    </w:p>
    <w:p>
      <w:pPr>
        <w:pStyle w:val="Heading2"/>
      </w:pPr>
      <w:r>
        <w:t>Arbeitszeit, Karriere und Zufriedenheit: Ärzte in Deutschland</w:t>
      </w:r>
    </w:p>
    <w:p>
      <w:r>
        <w:rPr>
          <w:i/>
          <w:color w:val="666666"/>
          <w:sz w:val="18"/>
        </w:rPr>
        <w:t>Carolina V et al.  ·  BMC Health Serv Res  ·  21.10.2026  ·  PMID 42908019</w:t>
      </w:r>
    </w:p>
    <w:p>
      <w:r>
        <w:t>Befragung von 898 deutschen Ärzten zu Arbeitszeitmodellen, Karrierechancen und Work-Life-Balance.</w:t>
      </w:r>
    </w:p>
    <w:p>
      <w:r>
        <w:rPr>
          <w:b/>
        </w:rPr>
        <w:t xml:space="preserve">Ergebnis: </w:t>
      </w:r>
      <w:r>
        <w:t>56,8% arbeiteten Vollzeit, 52,8% der Teilzeitbeschäftigten waren zufriedener als 45,3% der Vollzeitbeschäftigten (p = 0,020). Klinikärzte hatten geringere Chancen auf Arbeitszeitzufriedenheit (aOR 0,33), Arbeitgeberunterstützung (aOR 0,24) und gleiche Karrierechancen (aOR 0,31); 58,2% fürchteten negative Karrierefolgen bei Stundenreduktion.</w:t>
      </w:r>
    </w:p>
    <w:p>
      <w:r>
        <w:rPr>
          <w:b/>
          <w:sz w:val="19"/>
        </w:rPr>
        <w:t xml:space="preserve">Übertragbarkeit: </w:t>
      </w:r>
      <w:r>
        <w:rPr>
          <w:sz w:val="19"/>
        </w:rPr>
        <w:t>Deutsche Routinedaten, Ärzte aus allen Fachgruppen und Karrierestufen</w:t>
      </w:r>
    </w:p>
    <w:p>
      <w:r>
        <w:rPr>
          <w:color w:val="5A7D3A"/>
          <w:sz w:val="18"/>
        </w:rPr>
        <w:t>https://pubmed.ncbi.nlm.nih.gov/42908019/</w:t>
      </w:r>
    </w:p>
    <w:p>
      <w:pPr>
        <w:pStyle w:val="Heading2"/>
      </w:pPr>
      <w:r>
        <w:t>Patientenfeedback zur Geburtshilfe: partizipativ entwickeltes Instrument</w:t>
      </w:r>
    </w:p>
    <w:p>
      <w:r>
        <w:rPr>
          <w:i/>
          <w:color w:val="666666"/>
          <w:sz w:val="18"/>
        </w:rPr>
        <w:t>Gondwe MJ et al.  ·  BMC Health Serv Res  ·  24.07.2026  ·  PMID 42908016</w:t>
      </w:r>
    </w:p>
    <w:p>
      <w:r>
        <w:t>Partizipative Co-Design-Studie zur Entwicklung eines Feedback-Tools für Geburtshilfeleistungen mit Stakeholdern in Malawi.</w:t>
      </w:r>
    </w:p>
    <w:p>
      <w:r>
        <w:rPr>
          <w:b/>
        </w:rPr>
        <w:t xml:space="preserve">Ergebnis: </w:t>
      </w:r>
      <w:r>
        <w:t>87 Stakeholder in zwei Workshops erarbeiteten 7 Prioritätsbereiche und 27-32 Indikatoren für ante-, intra- und postpartale Versorgung. Durch iterative Konsensfindung aus ~300 Empfehlungen entstanden: respektvolle Versorgung, Kommunikation/Gesundheitserziehung, emotionale Unterstützung, Zugang und Kontinuität der Versorgung.</w:t>
      </w:r>
    </w:p>
    <w:p>
      <w:r>
        <w:rPr>
          <w:b/>
          <w:sz w:val="19"/>
        </w:rPr>
        <w:t xml:space="preserve">Übertragbarkeit: </w:t>
      </w:r>
      <w:r>
        <w:rPr>
          <w:sz w:val="19"/>
        </w:rPr>
        <w:t>Qualitative Partizipationsstudie, systemunabhängig zur Qualitätssicherung</w:t>
      </w:r>
    </w:p>
    <w:p>
      <w:r>
        <w:rPr>
          <w:color w:val="5A7D3A"/>
          <w:sz w:val="18"/>
        </w:rPr>
        <w:t>https://pubmed.ncbi.nlm.nih.gov/42908016/</w:t>
      </w:r>
    </w:p>
    <w:p>
      <w:pPr>
        <w:pStyle w:val="Heading2"/>
      </w:pPr>
      <w:r>
        <w:t>Shared Decision Making in der Behandlung von Morbus Crohn und Colitis</w:t>
      </w:r>
    </w:p>
    <w:p>
      <w:r>
        <w:rPr>
          <w:i/>
          <w:color w:val="666666"/>
          <w:sz w:val="18"/>
        </w:rPr>
        <w:t>Schoefs E et al.  ·  BMC Health Serv Res  ·  05.10.2026  ·  PMID 42907825</w:t>
      </w:r>
    </w:p>
    <w:p>
      <w:r>
        <w:t>Qualitative Befragung von 15 IBD-Patienten, 11 Gastroenterologen und 12 IBD-Krankenschwestern in Belgien zu Implementierung von Shared Decision Making.</w:t>
      </w:r>
    </w:p>
    <w:p>
      <w:r>
        <w:rPr>
          <w:b/>
        </w:rPr>
        <w:t xml:space="preserve">Ergebnis: </w:t>
      </w:r>
      <w:r>
        <w:t>Gastroenterologen berichten routinemäßige SDM-Integration, Patienten beschreiben Inkonsistenzen, besonders bei emotionaler Unterstützung und Präferenzenfeststellung. IBD-Krankenschwestern als wesentliche Partner identifiziert. Hauptbarrieren: niedrige Gesundheitskompetenz, schlechte Kommunikation, Zeitmangel. Schlüsselfaktoren: SDM-Schulung und Organisationsveränderungen.</w:t>
      </w:r>
    </w:p>
    <w:p>
      <w:r>
        <w:rPr>
          <w:b/>
          <w:sz w:val="19"/>
        </w:rPr>
        <w:t xml:space="preserve">Übertragbarkeit: </w:t>
      </w:r>
      <w:r>
        <w:rPr>
          <w:sz w:val="19"/>
        </w:rPr>
        <w:t>Belgien, vergleichbares Sozialversicherungssystem (Niederlande, Schweiz)</w:t>
      </w:r>
    </w:p>
    <w:p>
      <w:r>
        <w:rPr>
          <w:color w:val="5A7D3A"/>
          <w:sz w:val="18"/>
        </w:rPr>
        <w:t>https://pubmed.ncbi.nlm.nih.gov/42907825/</w:t>
      </w:r>
    </w:p>
    <w:p>
      <w:pPr>
        <w:pStyle w:val="Heading2"/>
      </w:pPr>
      <w:r>
        <w:t>Personalfluktuation in Gesundheitsbehörden: Einflussfaktoren</w:t>
      </w:r>
    </w:p>
    <w:p>
      <w:r>
        <w:rPr>
          <w:i/>
          <w:color w:val="666666"/>
          <w:sz w:val="18"/>
        </w:rPr>
        <w:t>Mohammed FZ et al.  ·  BMC Health Serv Res  ·  25.07.2026  ·  PMID 42907823</w:t>
      </w:r>
    </w:p>
    <w:p>
      <w:r>
        <w:t>Cross-sectional-Studie zu Kündigungsabsichten bei 418 Mitarbeitern regionaler und städtischer Gesundheitsbehörden in Äthiopien.</w:t>
      </w:r>
    </w:p>
    <w:p>
      <w:r>
        <w:rPr>
          <w:b/>
        </w:rPr>
        <w:t xml:space="preserve">Ergebnis: </w:t>
      </w:r>
      <w:r>
        <w:t>55,5% hatten Kündigungsabsicht. Assoziiert: &lt;2 Familienmitglieder (AOR 6,077), Arbeit außerhalb Familienresidenz (AOR 3,241), Trennung von Ehepartner/Kindern (AOR 2,040), Unzufriedenheit mit Gehalt (AOR 7,021) oder Organisation (AOR 2,705). Protektiver Faktor: unzureichende Schulinfrastruktur (AOR 0,411).</w:t>
      </w:r>
    </w:p>
    <w:p>
      <w:r>
        <w:rPr>
          <w:b/>
          <w:sz w:val="19"/>
        </w:rPr>
        <w:t xml:space="preserve">Übertragbarkeit: </w:t>
      </w:r>
      <w:r>
        <w:rPr>
          <w:sz w:val="19"/>
        </w:rPr>
        <w:t>Äthiopien, aber Fragestellung zu Personalmanagement systemunabhängig relevant</w:t>
      </w:r>
    </w:p>
    <w:p>
      <w:r>
        <w:rPr>
          <w:color w:val="5A7D3A"/>
          <w:sz w:val="18"/>
        </w:rPr>
        <w:t>https://pubmed.ncbi.nlm.nih.gov/42907823/</w:t>
      </w:r>
    </w:p>
    <w:p>
      <w:pPr>
        <w:pStyle w:val="Heading2"/>
      </w:pPr>
      <w:r>
        <w:t>Schmerzbehandlung und Angstabbau bei Kindern in der Notaufnahme</w:t>
      </w:r>
    </w:p>
    <w:p>
      <w:r>
        <w:rPr>
          <w:i/>
          <w:color w:val="666666"/>
          <w:sz w:val="18"/>
        </w:rPr>
        <w:t>Kappel RKK et al.  ·  Dan Med J  ·  24.09.2026  ·  PMID 42902749</w:t>
      </w:r>
    </w:p>
    <w:p>
      <w:r>
        <w:t>Prospektive Studie zur Schmerzlinderung bei 184 verletzten Kindern in dänischer Notaufnahme.</w:t>
      </w:r>
    </w:p>
    <w:p>
      <w:r>
        <w:rPr>
          <w:b/>
        </w:rPr>
        <w:t xml:space="preserve">Ergebnis: </w:t>
      </w:r>
      <w:r>
        <w:t>50% (92/184; 95% KI 43-57%) erhielten adequate Schmerzlinderung. Nicht-pharmakologische Maßnahmen selten eingesetzt (57% ≤5 Jahre, 97% &gt;5 Jahre). Pädiatrischer Anästhesist-Konsultation in nur 1,7% (n=3) genutzt. Unerwünschte Arzneimittelwirkungen bei 16,2% (6/37 medikamentös behandelt).</w:t>
      </w:r>
    </w:p>
    <w:p>
      <w:r>
        <w:rPr>
          <w:b/>
          <w:sz w:val="19"/>
        </w:rPr>
        <w:t xml:space="preserve">Übertragbarkeit: </w:t>
      </w:r>
      <w:r>
        <w:rPr>
          <w:sz w:val="19"/>
        </w:rPr>
        <w:t>Dänemark, Nordeuropa, steuerfinanziert, aber Fragestellung zu Patientensicherheit systemunabhängig</w:t>
      </w:r>
    </w:p>
    <w:p>
      <w:r>
        <w:rPr>
          <w:color w:val="5A7D3A"/>
          <w:sz w:val="18"/>
        </w:rPr>
        <w:t>https://pubmed.ncbi.nlm.nih.gov/42902749/</w:t>
      </w:r>
    </w:p>
    <w:p>
      <w:pPr>
        <w:pStyle w:val="Heading2"/>
      </w:pPr>
      <w:r>
        <w:t>Krebsversorgung in Deutschland: Inzidenz und Inanspruchnahme 2003-2016</w:t>
      </w:r>
    </w:p>
    <w:p>
      <w:r>
        <w:rPr>
          <w:i/>
          <w:color w:val="666666"/>
          <w:sz w:val="18"/>
        </w:rPr>
        <w:t>Nowossadeck E et al.  ·  BMC Health Serv Res  ·  14.10.2026  ·  PMID 42902261</w:t>
      </w:r>
    </w:p>
    <w:p>
      <w:r>
        <w:t>Analyse von deutschen Krebsregisterdaten und Versorgungsstatistiken zu Hospitalisierung und Rehabilitation (2003-2016).</w:t>
      </w:r>
    </w:p>
    <w:p>
      <w:r>
        <w:rPr>
          <w:b/>
        </w:rPr>
        <w:t xml:space="preserve">Ergebnis: </w:t>
      </w:r>
      <w:r>
        <w:t>Krebsinzidenz 2003-2016: +9,6% Frauen, +7,0% Männer. Stationäre Fälle: -0,4% Frauen, +4,5% Männer. 2016: 2,46 stationäre Fälle pro Krebsneufall (Frauen), 2,72 (Männer). Rehabilitation pro 100 1-Jahr-Überlebende: Frauen 2003-2016 von 59,2 auf 57,2 gesunken, Männer von 50,8 auf 46,9.</w:t>
      </w:r>
    </w:p>
    <w:p>
      <w:r>
        <w:rPr>
          <w:b/>
          <w:sz w:val="19"/>
        </w:rPr>
        <w:t xml:space="preserve">Übertragbarkeit: </w:t>
      </w:r>
      <w:r>
        <w:rPr>
          <w:sz w:val="19"/>
        </w:rPr>
        <w:t>Deutsche Routinedaten, Krebsregister und statistische Bundesämter</w:t>
      </w:r>
    </w:p>
    <w:p>
      <w:r>
        <w:rPr>
          <w:color w:val="5A7D3A"/>
          <w:sz w:val="18"/>
        </w:rPr>
        <w:t>https://pubmed.ncbi.nlm.nih.gov/42902261/</w:t>
      </w:r>
    </w:p>
    <w:p>
      <w:pPr>
        <w:pStyle w:val="Heading1"/>
      </w:pPr>
      <w:r>
        <w:t>Aufgenommen am 22.10.2026</w:t>
      </w:r>
    </w:p>
    <w:p>
      <w:pPr>
        <w:pStyle w:val="Heading2"/>
      </w:pPr>
      <w:r>
        <w:t>Sicherheit und Umsetzung eines regionalen Hospital-at-Home-Modells in Dänemark</w:t>
      </w:r>
    </w:p>
    <w:p>
      <w:r>
        <w:rPr>
          <w:i/>
          <w:color w:val="666666"/>
          <w:sz w:val="18"/>
        </w:rPr>
        <w:t>Hägi-Pedersen MB et al.  ·  BMC Health Serv Res  ·  24.07.2026  ·  PMID 42902350</w:t>
      </w:r>
    </w:p>
    <w:p>
      <w:r>
        <w:t>Retrospektive Beobachtungsstudie zur Implementierung und Sicherheit eines regionalen Hospital-at-Home-Dienstes mit 2.511 Patienten in Dänemark 2022–2024.</w:t>
      </w:r>
    </w:p>
    <w:p>
      <w:r>
        <w:rPr>
          <w:b/>
        </w:rPr>
        <w:t xml:space="preserve">Ergebnis: </w:t>
      </w:r>
      <w:r>
        <w:t>Medianer stationärer Aufenthalt stieg von 5,1 auf 7,3 Tage; ungeplante Krankenhausaufenthalte blieben stabil (27,0–31,1%), 30-Tage-Wiederaufnahmequoten sanken von 11,0% auf 7,0%, 30-Tage-Überlebensrate konsistent hoch (91,6–92,4%). Infektionskrankheiten häufigste Diagnose (43–47%).</w:t>
      </w:r>
    </w:p>
    <w:p>
      <w:r>
        <w:rPr>
          <w:b/>
          <w:sz w:val="19"/>
        </w:rPr>
        <w:t xml:space="preserve">Übertragbarkeit: </w:t>
      </w:r>
      <w:r>
        <w:rPr>
          <w:sz w:val="19"/>
        </w:rPr>
        <w:t>Dänemark, vergleichbares steuerfinanziertes Gesundheitssystem mit ähnlicher Primärversorgungsstruktur</w:t>
      </w:r>
    </w:p>
    <w:p>
      <w:r>
        <w:rPr>
          <w:color w:val="5A7D3A"/>
          <w:sz w:val="18"/>
        </w:rPr>
        <w:t>https://pubmed.ncbi.nlm.nih.gov/42902350/</w:t>
      </w:r>
    </w:p>
    <w:p>
      <w:pPr>
        <w:pStyle w:val="Heading2"/>
      </w:pPr>
      <w:r>
        <w:t>Fluktuation im Gesundheitspersonal: Rolle von Konflikten und Burnout in China</w:t>
      </w:r>
    </w:p>
    <w:p>
      <w:r>
        <w:rPr>
          <w:i/>
          <w:color w:val="666666"/>
          <w:sz w:val="18"/>
        </w:rPr>
        <w:t>Qi Z et al.  ·  BMC Health Serv Res  ·  25.09.2026  ·  PMID 42902343</w:t>
      </w:r>
    </w:p>
    <w:p>
      <w:r>
        <w:t>Querschnittsstudie mit 1.570 Ärztinnen und medizinischen Fachkräften zur Assoziation von Konflikten und Burnout mit Kündigungsabsicht.</w:t>
      </w:r>
    </w:p>
    <w:p>
      <w:r>
        <w:rPr>
          <w:b/>
        </w:rPr>
        <w:t xml:space="preserve">Ergebnis: </w:t>
      </w:r>
      <w:r>
        <w:t>24,8% der Teilnehmenden berichten Kündigungsabsicht. Nach Anpassung: Konflikte (OR 1,68; 95% KI 1,17–2,43) und höheres Burnout (OR 1,10; 1,07–1,13) assoziiert mit höherer Kündigungsabsicht; bessere Servicequalität (OR 0,97; 0,95–0,99) mit niedrigerer Kündigungsabsicht.</w:t>
      </w:r>
    </w:p>
    <w:p>
      <w:r>
        <w:rPr>
          <w:b/>
          <w:sz w:val="19"/>
        </w:rPr>
        <w:t xml:space="preserve">Übertragbarkeit: </w:t>
      </w:r>
      <w:r>
        <w:rPr>
          <w:sz w:val="19"/>
        </w:rPr>
        <w:t>China, Systemunabhängige Fragestellung zu Arbeitszufriedenheit und Personalverlust relevant</w:t>
      </w:r>
    </w:p>
    <w:p>
      <w:r>
        <w:rPr>
          <w:color w:val="5A7D3A"/>
          <w:sz w:val="18"/>
        </w:rPr>
        <w:t>https://pubmed.ncbi.nlm.nih.gov/42902343/</w:t>
      </w:r>
    </w:p>
    <w:p>
      <w:pPr>
        <w:pStyle w:val="Heading2"/>
      </w:pPr>
      <w:r>
        <w:t>Inanspruchnahme und Barrieren traditioneller chinesischer Medizin bei älteren Erwachsenen</w:t>
      </w:r>
    </w:p>
    <w:p>
      <w:r>
        <w:rPr>
          <w:i/>
          <w:color w:val="666666"/>
          <w:sz w:val="18"/>
        </w:rPr>
        <w:t>Yue Y et al.  ·  BMC Health Serv Res  ·  26.09.2026  ·  PMID 42902286</w:t>
      </w:r>
    </w:p>
    <w:p>
      <w:r>
        <w:t>Mixed-Methods-Studie mit 1.195 älteren Erwachsenen (Querschnitt) und 11 Interviews mit Fachkräften zur TCM-Nutzung und Umsetzungsbarrieren.</w:t>
      </w:r>
    </w:p>
    <w:p>
      <w:r>
        <w:rPr>
          <w:b/>
        </w:rPr>
        <w:t xml:space="preserve">Ergebnis: </w:t>
      </w:r>
      <w:r>
        <w:t>61,0% der Älteren (n=729) nutzten TCM-Dienste; Nutzung assoziiert mit höherer Bildung, höherem Einkommen, mehr chronischen Erkrankungen; ohne Krankenversicherung: aOR 0,30 (0,11–0,77). Provider berichten Barrieren: Politikdefizite, Personalknappheit, Ressourcenlimits, geringe Akzeptanz in der Gemeinschaft.</w:t>
      </w:r>
    </w:p>
    <w:p>
      <w:r>
        <w:rPr>
          <w:b/>
          <w:sz w:val="19"/>
        </w:rPr>
        <w:t xml:space="preserve">Übertragbarkeit: </w:t>
      </w:r>
      <w:r>
        <w:rPr>
          <w:sz w:val="19"/>
        </w:rPr>
        <w:t>China, Primärversorgung; systemspezifisch aber Fragestellung zu Versorgungszugang bei älteren Menschen relevant</w:t>
      </w:r>
    </w:p>
    <w:p>
      <w:r>
        <w:rPr>
          <w:color w:val="5A7D3A"/>
          <w:sz w:val="18"/>
        </w:rPr>
        <w:t>https://pubmed.ncbi.nlm.nih.gov/42902286/</w:t>
      </w:r>
    </w:p>
    <w:p>
      <w:pPr>
        <w:pStyle w:val="Heading2"/>
      </w:pPr>
      <w:r>
        <w:t>Systemische Determinanten der Effektivität von Diabetesversorgung im iranischen Primärsektor</w:t>
      </w:r>
    </w:p>
    <w:p>
      <w:r>
        <w:rPr>
          <w:i/>
          <w:color w:val="666666"/>
          <w:sz w:val="18"/>
        </w:rPr>
        <w:t>Ehteshami F et al.  ·  BMC Health Serv Res  ·  24.07.2026  ·  PMID 42902281</w:t>
      </w:r>
    </w:p>
    <w:p>
      <w:r>
        <w:t>Qualitative Analyse mit 29 Teilnehmern (14 Fachkräfte, 15 Patienten) in Isfahan zur Identifikation von Barrieren und Enabler in der ambulanten Diabetesversorgung.</w:t>
      </w:r>
    </w:p>
    <w:p>
      <w:r>
        <w:rPr>
          <w:b/>
        </w:rPr>
        <w:t xml:space="preserve">Ergebnis: </w:t>
      </w:r>
      <w:r>
        <w:t>Kernbefunde: Vier Versorgungskapazitäten (integriert, zugänglich, teambasiert, kontinuierlich) mit jeweiligen Facilitatoren und Barrieren. Wichtigste Enabler: Leitlinien (IraPEN), IT-Systeme (SIB), Versorgungsabdeckung; Hauptbarrieren: fragmentierte Versorgung, schlechte Koordination zwischen Leistungserbringern, Personalknappheit, Zeitdruck.</w:t>
      </w:r>
    </w:p>
    <w:p>
      <w:r>
        <w:rPr>
          <w:b/>
          <w:sz w:val="19"/>
        </w:rPr>
        <w:t xml:space="preserve">Übertragbarkeit: </w:t>
      </w:r>
      <w:r>
        <w:rPr>
          <w:sz w:val="19"/>
        </w:rPr>
        <w:t>Iran, Sozialversicherungssystem ähnlich deutschem, Primärversorgungskontext vergleichbar</w:t>
      </w:r>
    </w:p>
    <w:p>
      <w:r>
        <w:rPr>
          <w:color w:val="5A7D3A"/>
          <w:sz w:val="18"/>
        </w:rPr>
        <w:t>https://pubmed.ncbi.nlm.nih.gov/42902281/</w:t>
      </w:r>
    </w:p>
    <w:p>
      <w:pPr>
        <w:pStyle w:val="Heading2"/>
      </w:pPr>
      <w:r>
        <w:t>Forschungsbeteiligung von Selbsthilfegruppen seltener Erkrankungen in Polen</w:t>
      </w:r>
    </w:p>
    <w:p>
      <w:r>
        <w:rPr>
          <w:i/>
          <w:color w:val="666666"/>
          <w:sz w:val="18"/>
        </w:rPr>
        <w:t>Domaradzki J et al.  ·  BMC Health Serv Res  ·  22.07.2026  ·  PMID 42897645</w:t>
      </w:r>
    </w:p>
    <w:p>
      <w:r>
        <w:t>Querschnittsstudie mit 64 polnischen Patientenverbänden zu deren Engagement in Forschung und Intersektoralen Kollaborationen.</w:t>
      </w:r>
    </w:p>
    <w:p>
      <w:r>
        <w:rPr>
          <w:b/>
        </w:rPr>
        <w:t xml:space="preserve">Ergebnis: </w:t>
      </w:r>
      <w:r>
        <w:t>Die meisten Verbände berichten gelegentliche Forschungsbeteiligung, aber heterogen und begrenzt. Schwerpunkt: nichtklische Forschung (sozial, Register, Dissemination). Klinische und translationale Forschung seltener, meist unterstützend. Hauptbarrieren: Finanzierungslücken (erwähnt), begrenzte Ressourcen, eingeschränkter Einfluss auf Forschungsprozesse. Modell: eingeschränkte Co-Produktion.</w:t>
      </w:r>
    </w:p>
    <w:p>
      <w:r>
        <w:rPr>
          <w:b/>
          <w:sz w:val="19"/>
        </w:rPr>
        <w:t xml:space="preserve">Übertragbarkeit: </w:t>
      </w:r>
      <w:r>
        <w:rPr>
          <w:sz w:val="19"/>
        </w:rPr>
        <w:t>Polen, Zentraleuropa; Gesundheitssystemkontext und Forschungsbeteiligung teilweise übertragbar</w:t>
      </w:r>
    </w:p>
    <w:p>
      <w:r>
        <w:rPr>
          <w:color w:val="5A7D3A"/>
          <w:sz w:val="18"/>
        </w:rPr>
        <w:t>https://pubmed.ncbi.nlm.nih.gov/42897645/</w:t>
      </w:r>
    </w:p>
    <w:p>
      <w:pPr>
        <w:pStyle w:val="Heading2"/>
      </w:pPr>
      <w:r>
        <w:t>Wahrnehmungen von Patienten und Angehörigen zu Sauerstofftherapie in Uganda</w:t>
      </w:r>
    </w:p>
    <w:p>
      <w:r>
        <w:rPr>
          <w:i/>
          <w:color w:val="666666"/>
          <w:sz w:val="18"/>
        </w:rPr>
        <w:t>Mutesi JS et al.  ·  BMC Health Serv Res  ·  22.07.2026  ·  PMID 42897540</w:t>
      </w:r>
    </w:p>
    <w:p>
      <w:r>
        <w:t>Qualitative Studie mit 46 Interviews (16 Patienten, 30 Angehörige) zu Wahrnehmungen und psychosozialen Barrieren gegenüber Sauerstofftherapie.</w:t>
      </w:r>
    </w:p>
    <w:p>
      <w:r>
        <w:rPr>
          <w:b/>
        </w:rPr>
        <w:t xml:space="preserve">Ergebnis: </w:t>
      </w:r>
      <w:r>
        <w:t>Kernbefunde: Sauerstoff wahrgenommen als lebensrettend, aber angstauslösend; oft als Symbol des bevorstehenden Todes interpretiert; spirituelle und emotionale Deutungen häufig (Angst, Besorgnis); Patienten und Angehörige berichten ähnliche Wahrnehmungen. Informationen stammen aus Schulen, Gemeinschaft, Krankenhaus, Internet.</w:t>
      </w:r>
    </w:p>
    <w:p>
      <w:r>
        <w:rPr>
          <w:b/>
          <w:sz w:val="19"/>
        </w:rPr>
        <w:t xml:space="preserve">Übertragbarkeit: </w:t>
      </w:r>
      <w:r>
        <w:rPr>
          <w:sz w:val="19"/>
        </w:rPr>
        <w:t>Uganda, Ressourcenlimitiertes Setting; Patientenperspektive und Barrieren bei Therapie-Adhärenz systemunabhängig relevant</w:t>
      </w:r>
    </w:p>
    <w:p>
      <w:r>
        <w:rPr>
          <w:color w:val="5A7D3A"/>
          <w:sz w:val="18"/>
        </w:rPr>
        <w:t>https://pubmed.ncbi.nlm.nih.gov/42897540/</w:t>
      </w:r>
    </w:p>
    <w:p>
      <w:pPr>
        <w:pStyle w:val="Heading1"/>
      </w:pPr>
      <w:r>
        <w:t>Aufgenommen am 21.10.2026</w:t>
      </w:r>
    </w:p>
    <w:p>
      <w:pPr>
        <w:pStyle w:val="Heading2"/>
      </w:pPr>
      <w:r>
        <w:t>Pestizidexposition und Gesundheitsfolgen: Kohortenstudie mit niederländischen Primärversorgungsdaten</w:t>
      </w:r>
    </w:p>
    <w:p>
      <w:r>
        <w:rPr>
          <w:i/>
          <w:color w:val="666666"/>
          <w:sz w:val="18"/>
        </w:rPr>
        <w:t>Steenhof T et al.  ·  BMJ Open  ·  20.10.2026  ·  PMID 42901572</w:t>
      </w:r>
    </w:p>
    <w:p>
      <w:r>
        <w:t>Niederländische Kohortenstudie untersucht Zusammenhang zwischen Wohnungsexposition gegenüber Pflanzenschutzmitteln und akuten sowie chronischen Gesundheitsergebnissen.</w:t>
      </w:r>
    </w:p>
    <w:p>
      <w:r>
        <w:rPr>
          <w:b/>
        </w:rPr>
        <w:t xml:space="preserve">Ergebnis: </w:t>
      </w:r>
      <w:r>
        <w:t>Studienprotokoll beschreibt geplante Nutzung von 3,7 Millionen Primärversorgungsdatensätzen aus NIVEL-Datenbank; keine Ergebnisse, aber systematische Methodik für Versorgungsforschung etabliert.</w:t>
      </w:r>
    </w:p>
    <w:p>
      <w:r>
        <w:rPr>
          <w:b/>
          <w:sz w:val="19"/>
        </w:rPr>
        <w:t xml:space="preserve">Übertragbarkeit: </w:t>
      </w:r>
      <w:r>
        <w:rPr>
          <w:sz w:val="19"/>
        </w:rPr>
        <w:t>Niederlande, Primärversorgungsdaten, hohes Übertragungspotenzial auf deutsches System</w:t>
      </w:r>
    </w:p>
    <w:p>
      <w:r>
        <w:rPr>
          <w:color w:val="5A7D3A"/>
          <w:sz w:val="18"/>
        </w:rPr>
        <w:t>https://pubmed.ncbi.nlm.nih.gov/42901572/</w:t>
      </w:r>
    </w:p>
    <w:p>
      <w:pPr>
        <w:pStyle w:val="Heading2"/>
      </w:pPr>
      <w:r>
        <w:t>Patientenbeteiligung an klinischer Dokumentation durch Kommentarfunktion in EHR</w:t>
      </w:r>
    </w:p>
    <w:p>
      <w:r>
        <w:rPr>
          <w:i/>
          <w:color w:val="666666"/>
          <w:sz w:val="18"/>
        </w:rPr>
        <w:t>Hagström J et al.  ·  J Med Internet Res  ·  20.10.2026  ·  PMID 42901489</w:t>
      </w:r>
    </w:p>
    <w:p>
      <w:r>
        <w:t>Schwedische Studie analysierte 1.655 Patientenkommentare in elektronischen Gesundheitsakten auf Nutzung, Inhalt und Sentiment.</w:t>
      </w:r>
    </w:p>
    <w:p>
      <w:r>
        <w:rPr>
          <w:b/>
        </w:rPr>
        <w:t xml:space="preserve">Ergebnis: </w:t>
      </w:r>
      <w:r>
        <w:t>57,3% der Kommentare bezogen sich nicht auf Noten selbst; 55,6% waren neutral, 42,4% negativ. Patienten mit psychischen Erkrankungen hinterließen mehr Kommentare (Median 7 vs. 2) mit höherem Negativanteil (63,2% vs. 33,5%, p&lt;0,001).</w:t>
      </w:r>
    </w:p>
    <w:p>
      <w:r>
        <w:rPr>
          <w:b/>
          <w:sz w:val="19"/>
        </w:rPr>
        <w:t xml:space="preserve">Übertragbarkeit: </w:t>
      </w:r>
      <w:r>
        <w:rPr>
          <w:sz w:val="19"/>
        </w:rPr>
        <w:t>Schweden, Sozialversicherungssystem; Fragestellung zu Patientenengagement systemunabhängig</w:t>
      </w:r>
    </w:p>
    <w:p>
      <w:r>
        <w:rPr>
          <w:color w:val="5A7D3A"/>
          <w:sz w:val="18"/>
        </w:rPr>
        <w:t>https://pubmed.ncbi.nlm.nih.gov/42901489/</w:t>
      </w:r>
    </w:p>
    <w:p>
      <w:pPr>
        <w:pStyle w:val="Heading2"/>
      </w:pPr>
      <w:r>
        <w:t>Kosten und Outcomes von Status epilepticus in Deutschland</w:t>
      </w:r>
    </w:p>
    <w:p>
      <w:r>
        <w:rPr>
          <w:i/>
          <w:color w:val="666666"/>
          <w:sz w:val="18"/>
        </w:rPr>
        <w:t>Jünemann C et al.  ·  Eur J Neurol  ·  Okt. 2026  ·  PMID 42899468</w:t>
      </w:r>
    </w:p>
    <w:p>
      <w:r>
        <w:t>Deutsche prospektive Populationsstudie analysierte 181 Patienten mit neu definiertem Status epilepticus bezüglich Verweildauer, Kosten und Einflussfaktoren.</w:t>
      </w:r>
    </w:p>
    <w:p>
      <w:r>
        <w:rPr>
          <w:b/>
        </w:rPr>
        <w:t xml:space="preserve">Ergebnis: </w:t>
      </w:r>
      <w:r>
        <w:t>Mittlere stationäre Kosten €10.543 (Median €6.376), Verweildauer 11 Tage (Median 9). Super-refraktärer Status: signifikant höhere Kosten und längere Verweildauer (p&lt;0,001). Mechanische Beatmung stärkster unabhängiger Kostenprädiktor (Exp(B)=2,918, p&lt;0,001).</w:t>
      </w:r>
    </w:p>
    <w:p>
      <w:r>
        <w:rPr>
          <w:b/>
          <w:sz w:val="19"/>
        </w:rPr>
        <w:t xml:space="preserve">Übertragbarkeit: </w:t>
      </w:r>
      <w:r>
        <w:rPr>
          <w:sz w:val="19"/>
        </w:rPr>
        <w:t>Deutsche Routinedaten, G-DRG-Kalkulation, direkt übertragbar auf hiesiges System</w:t>
      </w:r>
    </w:p>
    <w:p>
      <w:r>
        <w:rPr>
          <w:color w:val="5A7D3A"/>
          <w:sz w:val="18"/>
        </w:rPr>
        <w:t>https://pubmed.ncbi.nlm.nih.gov/42899468/</w:t>
      </w:r>
    </w:p>
    <w:p>
      <w:pPr>
        <w:pStyle w:val="Heading2"/>
      </w:pPr>
      <w:r>
        <w:t>Effekt von Langzeitpflegezugang auf Kurzeitpflege: Simulationsstudie</w:t>
      </w:r>
    </w:p>
    <w:p>
      <w:r>
        <w:rPr>
          <w:i/>
          <w:color w:val="666666"/>
          <w:sz w:val="18"/>
        </w:rPr>
        <w:t>Aydemir I et al.  ·  BMC Health Serv Res  ·  22.07.2026  ·  PMID 42897634</w:t>
      </w:r>
    </w:p>
    <w:p>
      <w:r>
        <w:t>Niederländische Diskrete-Ereignis-Simulationsstudie modelliert Effekte zentralisierter vs. dezentralisierter Aufnahmepolitik für Pflegebetten auf Wartezeiten und Inanspruchnahme.</w:t>
      </w:r>
    </w:p>
    <w:p>
      <w:r>
        <w:rPr>
          <w:b/>
        </w:rPr>
        <w:t xml:space="preserve">Ergebnis: </w:t>
      </w:r>
      <w:r>
        <w:t>Zentralisierte Aufnahmepolitik reduziert Wartezeiten von 336 auf 35 Tage und Kurzeitpflege-Aufnahmen von 45% auf 4,5%. Bei 90% regionaler Bettenauslastung maximal wirksam; Multiplier-Effekt bei erhöhtem Nicht-Langzeitpflege-Zustrom.</w:t>
      </w:r>
    </w:p>
    <w:p>
      <w:r>
        <w:rPr>
          <w:b/>
          <w:sz w:val="19"/>
        </w:rPr>
        <w:t xml:space="preserve">Übertragbarkeit: </w:t>
      </w:r>
      <w:r>
        <w:rPr>
          <w:sz w:val="19"/>
        </w:rPr>
        <w:t>Niederlande, Pflegesystem strukturell vergleichbar; Fragestellung zu Ressourcenallokation relevant</w:t>
      </w:r>
    </w:p>
    <w:p>
      <w:r>
        <w:rPr>
          <w:color w:val="5A7D3A"/>
          <w:sz w:val="18"/>
        </w:rPr>
        <w:t>https://pubmed.ncbi.nlm.nih.gov/42897634/</w:t>
      </w:r>
    </w:p>
    <w:p>
      <w:pPr>
        <w:pStyle w:val="Heading2"/>
      </w:pPr>
      <w:r>
        <w:t>Index für Integration von Palliativversorgung in Primärversorgung</w:t>
      </w:r>
    </w:p>
    <w:p>
      <w:r>
        <w:rPr>
          <w:i/>
          <w:color w:val="666666"/>
          <w:sz w:val="18"/>
        </w:rPr>
        <w:t>Muñoz Olivar C et al.  ·  BMC Health Serv Res  ·  23.07.2026  ·  PMID 42897626</w:t>
      </w:r>
    </w:p>
    <w:p>
      <w:r>
        <w:t>Kolumbianische Studie entwickelt und validiert Synthetic Index of Palliative Care Integration (SIPCI) zur Messung territorialer Integrationsmuster in 33 Departments.</w:t>
      </w:r>
    </w:p>
    <w:p>
      <w:r>
        <w:rPr>
          <w:b/>
        </w:rPr>
        <w:t xml:space="preserve">Ergebnis: </w:t>
      </w:r>
      <w:r>
        <w:t>SIPCI-Werte 0,04–0,71 (Mittelwert 0,38). 52% der Departments niedriges/mittleres, 48% mittleres-hohes/hohes Integrationsniveau. Starker geografischer Gradient; KMO=0,742, geringe Informationsverluste (NMSE=0,13).</w:t>
      </w:r>
    </w:p>
    <w:p>
      <w:r>
        <w:rPr>
          <w:b/>
          <w:sz w:val="19"/>
        </w:rPr>
        <w:t xml:space="preserve">Übertragbarkeit: </w:t>
      </w:r>
      <w:r>
        <w:rPr>
          <w:sz w:val="19"/>
        </w:rPr>
        <w:t>Kolumbien, aber SIPCI-Methodik auf europäische Systeme übertragbar; Fragestellung systemunabhängig</w:t>
      </w:r>
    </w:p>
    <w:p>
      <w:r>
        <w:rPr>
          <w:color w:val="5A7D3A"/>
          <w:sz w:val="18"/>
        </w:rPr>
        <w:t>https://pubmed.ncbi.nlm.nih.gov/42897626/</w:t>
      </w:r>
    </w:p>
    <w:p>
      <w:pPr>
        <w:pStyle w:val="Heading2"/>
      </w:pPr>
      <w:r>
        <w:t>Bedürfnisse von Patienten mit fortgeschrittener COPD und Angehörigen</w:t>
      </w:r>
    </w:p>
    <w:p>
      <w:r>
        <w:rPr>
          <w:i/>
          <w:color w:val="666666"/>
          <w:sz w:val="18"/>
        </w:rPr>
        <w:t>Schmidt-Stiedenroth K et al.  ·  BMC Pulm Med  ·  19.10.2026  ·  PMID 42897575</w:t>
      </w:r>
    </w:p>
    <w:p>
      <w:r>
        <w:t>Deutsche qualitative Multisicht-Studie mit 53 Interviews (Patienten, informelle und formale Pflegepersonen) zu Versorgungsbedürfnissen und Rolle von Palliativversorgung.</w:t>
      </w:r>
    </w:p>
    <w:p>
      <w:r>
        <w:rPr>
          <w:b/>
        </w:rPr>
        <w:t xml:space="preserve">Ergebnis: </w:t>
      </w:r>
      <w:r>
        <w:t>Sechs Bedarfsbereiche identifiziert: Dyspnoe-/Angstmanagement, Heimversorgung, Notfallplanung, psychosoziale Versorgung, organisatorische Unterstützung, Gesundheitsinformation. Patienten mit Palliativversorgung berichteten Linderung in den ersten fünf Bereichen.</w:t>
      </w:r>
    </w:p>
    <w:p>
      <w:r>
        <w:rPr>
          <w:b/>
          <w:sz w:val="19"/>
        </w:rPr>
        <w:t xml:space="preserve">Übertragbarkeit: </w:t>
      </w:r>
      <w:r>
        <w:rPr>
          <w:sz w:val="19"/>
        </w:rPr>
        <w:t>Deutschland, deutsche Primärdaten; direkt für hiesiges System relevant</w:t>
      </w:r>
    </w:p>
    <w:p>
      <w:r>
        <w:rPr>
          <w:color w:val="5A7D3A"/>
          <w:sz w:val="18"/>
        </w:rPr>
        <w:t>https://pubmed.ncbi.nlm.nih.gov/42897575/</w:t>
      </w:r>
    </w:p>
    <w:p>
      <w:pPr>
        <w:pStyle w:val="Heading1"/>
      </w:pPr>
      <w:r>
        <w:t>Aufgenommen am 20.10.2026</w:t>
      </w:r>
    </w:p>
    <w:p>
      <w:pPr>
        <w:pStyle w:val="Heading2"/>
      </w:pPr>
      <w:r>
        <w:t>Aussagekraft von Diabetes-Indikatoren: Verschreibungs- vs. Screeningdaten in Japan</w:t>
      </w:r>
    </w:p>
    <w:p>
      <w:r>
        <w:rPr>
          <w:i/>
          <w:color w:val="666666"/>
          <w:sz w:val="18"/>
        </w:rPr>
        <w:t>Saito H et al.  ·  Diabet Med  ·  19.10.2026  ·  PMID 42895806</w:t>
      </w:r>
    </w:p>
    <w:p>
      <w:r>
        <w:t>Querschnittsökologische Analyse japanischer Verwaltungsdaten zur Untersuchung, was zwei komplementäre Indikatorfamilien – Antidiabetika-Verordnungsmengen und HbA1c-Kontrollenindikatoren – über Diabeteslast tatsächlich abbilden.</w:t>
      </w:r>
    </w:p>
    <w:p>
      <w:r>
        <w:rPr>
          <w:b/>
        </w:rPr>
        <w:t xml:space="preserve">Ergebnis: </w:t>
      </w:r>
      <w:r>
        <w:t>Verordnungsmengen (Indikator A) korrelierte hauptsächlich mit Alter und Einkommen (finales Modell R² = 0,394); HbA1c-Hochwertraten (Indikator B) zeigten selektive ökologische Assoziation mit chronischer Dialysetherapie (β = 195,1 pro Prozentpunkt, p = 0,006, R² = 0,271). Beide Indikatorfamilien spiegeln nicht die tatsächliche Krankheitslast, sondern demografische Strukturen bzw. nachgelagerte Versorgungsnutzung wider.</w:t>
      </w:r>
    </w:p>
    <w:p>
      <w:r>
        <w:rPr>
          <w:b/>
          <w:sz w:val="19"/>
        </w:rPr>
        <w:t xml:space="preserve">Übertragbarkeit: </w:t>
      </w:r>
      <w:r>
        <w:rPr>
          <w:sz w:val="19"/>
        </w:rPr>
        <w:t>Japan, vergleichbar mit verweildauerintensiven Gesundheitssystemen; versorgungsrelevante Analyse von Verwaltungsindikatoren</w:t>
      </w:r>
    </w:p>
    <w:p>
      <w:r>
        <w:rPr>
          <w:color w:val="5A7D3A"/>
          <w:sz w:val="18"/>
        </w:rPr>
        <w:t>https://pubmed.ncbi.nlm.nih.gov/42895806/</w:t>
      </w:r>
    </w:p>
    <w:p>
      <w:pPr>
        <w:pStyle w:val="Heading2"/>
      </w:pPr>
      <w:r>
        <w:t>Gynäkologische Facharztausbildung: Urbanisierung und Folgen für ländliche Regionen</w:t>
      </w:r>
    </w:p>
    <w:p>
      <w:r>
        <w:rPr>
          <w:i/>
          <w:color w:val="666666"/>
          <w:sz w:val="18"/>
        </w:rPr>
        <w:t>Spencer R et al.  ·  J Rural Health  ·  Sept. 2026  ·  PMID 42895080</w:t>
      </w:r>
    </w:p>
    <w:p>
      <w:r>
        <w:t>Analyse der geografischen Verteilung von Gynäkologie-Weiterbildungsprogrammen in den USA und Vergleich von Merkmalen ländlicher Landkreise mit und ohne Weiterbildungsstandorte.</w:t>
      </w:r>
    </w:p>
    <w:p>
      <w:r>
        <w:rPr>
          <w:b/>
        </w:rPr>
        <w:t xml:space="preserve">Ergebnis: </w:t>
      </w:r>
      <w:r>
        <w:t>Nur 6,5 % der 294 Weiterbildungsprogramme boten ländliche Trainingsplätze an (2,4 % aller Standorte); ländliche Landkreise ohne Weiterbildungsstätte zeigten höhere Anteile unversicherter Personen unter 65 Jahren (11,5 % vs. 8,0 %, p &lt; 0,001), niedrigere Hausarztdichte (40,6 vs. 55,1 pro 100.000, p = 0,005) und höhere Health Professional Shortage Area-Quoten (69,0 % vs. 35,3 %, p &lt; 0,001).</w:t>
      </w:r>
    </w:p>
    <w:p>
      <w:r>
        <w:rPr>
          <w:b/>
          <w:sz w:val="19"/>
        </w:rPr>
        <w:t xml:space="preserve">Übertragbarkeit: </w:t>
      </w:r>
      <w:r>
        <w:rPr>
          <w:sz w:val="19"/>
        </w:rPr>
        <w:t>USA-Daten; Fragestellung zur Verfügbarkeit spezialisierter Ausbildung in unterversorgten Regionen systemunabhängig bedeutsam</w:t>
      </w:r>
    </w:p>
    <w:p>
      <w:r>
        <w:rPr>
          <w:color w:val="5A7D3A"/>
          <w:sz w:val="18"/>
        </w:rPr>
        <w:t>https://pubmed.ncbi.nlm.nih.gov/42895080/</w:t>
      </w:r>
    </w:p>
    <w:p>
      <w:pPr>
        <w:pStyle w:val="Heading2"/>
      </w:pPr>
      <w:r>
        <w:t>Kerndomänen und Messinstrumente für axiale Spondylarthritis in der Klinik</w:t>
      </w:r>
    </w:p>
    <w:p>
      <w:r>
        <w:rPr>
          <w:i/>
          <w:color w:val="666666"/>
          <w:sz w:val="18"/>
        </w:rPr>
        <w:t>Smits ML et al.  ·  EULAR Rheumatol Open  ·  07.10.2026  ·  PMID 42894661</w:t>
      </w:r>
    </w:p>
    <w:p>
      <w:r>
        <w:t>Delphi-Befragung mit Fachleuten, Nicht-Fachleuten und Patienten zur Identifizierung der wichtigsten Bewertungsdomänen und Instrumente für die klinische Praxis bei axialer Spondylarthritis.</w:t>
      </w:r>
    </w:p>
    <w:p>
      <w:r>
        <w:rPr>
          <w:b/>
        </w:rPr>
        <w:t xml:space="preserve">Ergebnis: </w:t>
      </w:r>
      <w:r>
        <w:t>Nach vier Delphi-Runden wurden 5 Domänen für Routinevisiten (Krankheitsaktivität, Schmerz, periphere Manifestationen, extra-muskuloskelettale Manifestationen, Therapieaspekte) und 4 ergänzende Domänen für erweiterte Visiten identifiziert; für jede Domäne mindestens ein empfohlenes Instrument ausgewählt. Beteiligung: 156 ASAS-Mitglieder (78 % der 201 Eingeladenen), 173 nicht-ASAS-Rheumatologen und 167 Patienten in Runde 1.</w:t>
      </w:r>
    </w:p>
    <w:p>
      <w:r>
        <w:rPr>
          <w:b/>
          <w:sz w:val="19"/>
        </w:rPr>
        <w:t xml:space="preserve">Übertragbarkeit: </w:t>
      </w:r>
      <w:r>
        <w:rPr>
          <w:sz w:val="19"/>
        </w:rPr>
        <w:t>Europäisches Expertenkonsens-Verfahren; relevant für deutschsprachige Praxis</w:t>
      </w:r>
    </w:p>
    <w:p>
      <w:r>
        <w:rPr>
          <w:color w:val="5A7D3A"/>
          <w:sz w:val="18"/>
        </w:rPr>
        <w:t>https://pubmed.ncbi.nlm.nih.gov/42894661/</w:t>
      </w:r>
    </w:p>
    <w:p>
      <w:pPr>
        <w:pStyle w:val="Heading2"/>
      </w:pPr>
      <w:r>
        <w:t>Unterstützung von Vätern nach perinataler Traumatisierung – partizipativ entwickelte Handlungsprinzipien</w:t>
      </w:r>
    </w:p>
    <w:p>
      <w:r>
        <w:rPr>
          <w:i/>
          <w:color w:val="666666"/>
          <w:sz w:val="18"/>
        </w:rPr>
        <w:t>Kothari A et al.  ·  Med J Aust  ·  Okt. 2026  ·  PMID 42894362</w:t>
      </w:r>
    </w:p>
    <w:p>
      <w:r>
        <w:t>Partizipative Aktionsforschung zur Entwicklung von Best-Practice-Prinzipien für die Versorgung von Vätern und nicht-gebärenden Elternteilen, die perinatales Trauma erfahren haben.</w:t>
      </w:r>
    </w:p>
    <w:p>
      <w:r>
        <w:rPr>
          <w:b/>
        </w:rPr>
        <w:t xml:space="preserve">Ergebnis: </w:t>
      </w:r>
      <w:r>
        <w:t>Aus 24 initialen Themen wurden 4 Kernprinzipien konsensual erarbeitet: (1) mitfühlende und inklusive Engagement, (2) Politik- und Gesetzesreform, (3) Bildungs- und Lernchancen, (4) psychische Gesundheit-Screening und -Unterstützung. Beteiligung: 11 Konsumenten mit Erfahrung, 30 Fachpersonen, Validierung mit 74 Teilnehmern aus diversen Hintergründen.</w:t>
      </w:r>
    </w:p>
    <w:p>
      <w:r>
        <w:rPr>
          <w:b/>
          <w:sz w:val="19"/>
        </w:rPr>
        <w:t xml:space="preserve">Übertragbarkeit: </w:t>
      </w:r>
      <w:r>
        <w:rPr>
          <w:sz w:val="19"/>
        </w:rPr>
        <w:t>Australien; qualitative Partizipationsforschung zu Versorgungslücken systemunabhängig relevant</w:t>
      </w:r>
    </w:p>
    <w:p>
      <w:r>
        <w:rPr>
          <w:color w:val="5A7D3A"/>
          <w:sz w:val="18"/>
        </w:rPr>
        <w:t>https://pubmed.ncbi.nlm.nih.gov/42894362/</w:t>
      </w:r>
    </w:p>
    <w:p>
      <w:pPr>
        <w:pStyle w:val="Heading2"/>
      </w:pPr>
      <w:r>
        <w:t>Telemedizin in Intensivmedizin: Auswirkungen auf Interhospitaltransfers</w:t>
      </w:r>
    </w:p>
    <w:p>
      <w:r>
        <w:rPr>
          <w:i/>
          <w:color w:val="666666"/>
          <w:sz w:val="18"/>
        </w:rPr>
        <w:t>Rai K et al.  ·  Crit Care Med  ·  15.10.2026  ·  PMID 42878611</w:t>
      </w:r>
    </w:p>
    <w:p>
      <w:r>
        <w:t>Retrospektive Kohortenstudie mit Medicare-Daten (2021–2023) zur Untersuchung, ob Tele-ICU-Fähigkeit an Index-Kliniken mit Interhospitaltransfers und potenziell niedrigwertigen Transfers assoziiert ist.</w:t>
      </w:r>
    </w:p>
    <w:p>
      <w:r>
        <w:rPr>
          <w:b/>
        </w:rPr>
        <w:t xml:space="preserve">Ergebnis: </w:t>
      </w:r>
      <w:r>
        <w:t>Unter 2.140.919 ICU-Aufenthalten war die absolute Transferrate ähnlich (2,5 % vs. 3,0 %), jedoch war Tele-ICU-Fähigkeit mit erhöhten Transferquoten assoziiert (bereinigtes OR 1,08; 95%-KI 1,01–1,14). Transferpatienten von Tele-ICU-Krankenhäusern zeigten seltener Versterben oder Hospiz innerhalb 1 Tag nach Transfer (4,6 % vs. 6,6 %; aOR 0,86; 95%-KI 0,76–0,97) und häufiger Entlassung nach Hause (4,7 % vs. 3,7 %; aOR 1,17; 95%-KI 1,03–1,33).</w:t>
      </w:r>
    </w:p>
    <w:p>
      <w:r>
        <w:rPr>
          <w:b/>
          <w:sz w:val="19"/>
        </w:rPr>
        <w:t xml:space="preserve">Übertragbarkeit: </w:t>
      </w:r>
      <w:r>
        <w:rPr>
          <w:sz w:val="19"/>
        </w:rPr>
        <w:t>USA Medicare; Fragestellung zu Technologieeinsatz und Transfer-Steuerung nur bedingt übertragbar</w:t>
      </w:r>
    </w:p>
    <w:p>
      <w:r>
        <w:rPr>
          <w:color w:val="5A7D3A"/>
          <w:sz w:val="18"/>
        </w:rPr>
        <w:t>https://pubmed.ncbi.nlm.nih.gov/42878611/</w:t>
      </w:r>
    </w:p>
    <w:p>
      <w:pPr>
        <w:pStyle w:val="Heading2"/>
      </w:pPr>
      <w:r>
        <w:t>Umwelt-Sanitation und Gesundheitsversorgungskapazität: Umsetzungslücken in chinesischen Städten</w:t>
      </w:r>
    </w:p>
    <w:p>
      <w:r>
        <w:rPr>
          <w:i/>
          <w:color w:val="666666"/>
          <w:sz w:val="18"/>
        </w:rPr>
        <w:t>Peng Z et al.  ·  BMC Health Serv Res  ·  25.08.2026  ·  PMID 42875776</w:t>
      </w:r>
    </w:p>
    <w:p>
      <w:r>
        <w:t>Panel-Analyse chinesischer Präfektur- und übergeordneter Städte (2002–2024) zur Untersuchung, ob Verbesserungen in Öko-Sanitation in erhöhte Gesundheitsversorgungskapazität konvertiert werden.</w:t>
      </w:r>
    </w:p>
    <w:p>
      <w:r>
        <w:rPr>
          <w:b/>
        </w:rPr>
        <w:t xml:space="preserve">Ergebnis: </w:t>
      </w:r>
      <w:r>
        <w:t>Das Basis-Zwei-Wege-Modell zeigte keine stabile positive Assoziation zwischen Öko-Sanitation-Verbesserung und Versorgungskapazität. Dimensionsspezifische Analysen offenbarten unterschiedliche Rollen: Positive Assoziation mit Umweltbelastungsindex konsistent mit nachfrageinduzierten oder kompensatorischen Ressourcenallokationen. Weder 2–3 Jahre verzögerte Umwelteffekte noch 1–2 Jahre verzögerte Investitionseffekte zeigten stabile Transmissionsketten. Interpretable Machine Learning identifizierte nichtlineare Grenzen und Einfluss von Entwicklungsstadium, Bevölkerungsgröße und Fiskalkompetenz.</w:t>
      </w:r>
    </w:p>
    <w:p>
      <w:r>
        <w:rPr>
          <w:b/>
          <w:sz w:val="19"/>
        </w:rPr>
        <w:t xml:space="preserve">Übertragbarkeit: </w:t>
      </w:r>
      <w:r>
        <w:rPr>
          <w:sz w:val="19"/>
        </w:rPr>
        <w:t>China; Health Services Research zu Investitions-Wirkketten in Gesundheitssystemen mit begrenzt übertragbaren Kontexten</w:t>
      </w:r>
    </w:p>
    <w:p>
      <w:r>
        <w:rPr>
          <w:color w:val="5A7D3A"/>
          <w:sz w:val="18"/>
        </w:rPr>
        <w:t>https://pubmed.ncbi.nlm.nih.gov/42875776/</w:t>
      </w:r>
    </w:p>
    <w:p>
      <w:pPr>
        <w:pStyle w:val="Heading1"/>
      </w:pPr>
      <w:r>
        <w:t>Aufgenommen am 19.10.2026</w:t>
      </w:r>
    </w:p>
    <w:p>
      <w:pPr>
        <w:pStyle w:val="Heading2"/>
      </w:pPr>
      <w:r>
        <w:t>Inanspruchnahme von Gesundheitsleistungen bei Demenz: Medicare Advantage vs. Traditional Medicare</w:t>
      </w:r>
    </w:p>
    <w:p>
      <w:r>
        <w:rPr>
          <w:i/>
          <w:color w:val="666666"/>
          <w:sz w:val="18"/>
        </w:rPr>
        <w:t>Joseph JM et al.  ·  Health Serv Res  ·  Okt. 2026  ·  PMID 42885186</w:t>
      </w:r>
    </w:p>
    <w:p>
      <w:r>
        <w:t>Vergleichende Analyse der Gesundheitsleistungsnutzung zwischen Medicare-Advantage- und Traditional-Medicare-Versicherten, stratifiziert nach Demenzstatus (ADRD).</w:t>
      </w:r>
    </w:p>
    <w:p>
      <w:r>
        <w:rPr>
          <w:b/>
        </w:rPr>
        <w:t xml:space="preserve">Ergebnis: </w:t>
      </w:r>
      <w:r>
        <w:t>Bei Versicherten mit ADRD waren sieben von acht adjustierten Unterschiede nicht signifikant. Spezialistenbesuche waren bei MA mit ADRD häufiger (5,2 Prozentpunkte, 95%-KI -0,1 bis 10,2). Ohne ADRD war MA mit niedrigeren stationären ambulanten Besuchen (-2,6; -3,7 bis -1,6) und weniger Bedarf für häusliche Krankenpflege (-0,9; -1,5 bis -0,3) assoziiert.</w:t>
      </w:r>
    </w:p>
    <w:p>
      <w:r>
        <w:rPr>
          <w:b/>
          <w:sz w:val="19"/>
        </w:rPr>
        <w:t xml:space="preserve">Übertragbarkeit: </w:t>
      </w:r>
      <w:r>
        <w:rPr>
          <w:sz w:val="19"/>
        </w:rPr>
        <w:t>US-Daten; Fragestellung zu Leistungsunterschieden aber systemunabhängig relevant</w:t>
      </w:r>
    </w:p>
    <w:p>
      <w:r>
        <w:rPr>
          <w:color w:val="5A7D3A"/>
          <w:sz w:val="18"/>
        </w:rPr>
        <w:t>https://pubmed.ncbi.nlm.nih.gov/42885186/</w:t>
      </w:r>
    </w:p>
    <w:p>
      <w:pPr>
        <w:pStyle w:val="Heading2"/>
      </w:pPr>
      <w:r>
        <w:t>Patientenperspektiven zu Notaufnahme vs. Hausarzt: qualitative Analyse des GPFirst-Programms</w:t>
      </w:r>
    </w:p>
    <w:p>
      <w:r>
        <w:rPr>
          <w:i/>
          <w:color w:val="666666"/>
          <w:sz w:val="18"/>
        </w:rPr>
        <w:t>Lee CYR et al.  ·  Singapore Med J  ·  15.10.2026  ·  PMID 42879300</w:t>
      </w:r>
    </w:p>
    <w:p>
      <w:r>
        <w:t>Qualitative Studie mit 16 Tiefeninterviews zu Determinanten der Arztwahl bei nicht-dringlichen Erkrankungen und zur Akzeptanz eines Steuerungsprogramms (GPFirst).</w:t>
      </w:r>
    </w:p>
    <w:p>
      <w:r>
        <w:rPr>
          <w:b/>
        </w:rPr>
        <w:t xml:space="preserve">Ergebnis: </w:t>
      </w:r>
      <w:r>
        <w:t>Vier Hauptthemen identifiziert: (1) Bestimmungsfaktoren der Arztwahl (wahrgenommene Schwere, Vertrauen in Krankenhausressourcen, Öffnungszeiten); (2) ED-Präferenz vs. GP-Vorzüge (Wartezeiten, Zugänglichkeit, personalisierte Versorgung); (3) GPFirst-Teilnahmebereitschaft trotz Barrieren (schlechte Selbsteinschätzung, mangelndes Wissen); (4) Verbesserungsvorschläge (Bewusstseinsförderung, Prozessklarheit, Anreizverstärkung).</w:t>
      </w:r>
    </w:p>
    <w:p>
      <w:r>
        <w:rPr>
          <w:b/>
          <w:sz w:val="19"/>
        </w:rPr>
        <w:t xml:space="preserve">Übertragbarkeit: </w:t>
      </w:r>
      <w:r>
        <w:rPr>
          <w:sz w:val="19"/>
        </w:rPr>
        <w:t>Singapur-Studie; Steuerungsmechanismen bei hausarztlicher Gatekeeper-Funktion übertragbar</w:t>
      </w:r>
    </w:p>
    <w:p>
      <w:r>
        <w:rPr>
          <w:color w:val="5A7D3A"/>
          <w:sz w:val="18"/>
        </w:rPr>
        <w:t>https://pubmed.ncbi.nlm.nih.gov/42879300/</w:t>
      </w:r>
    </w:p>
    <w:p>
      <w:pPr>
        <w:pStyle w:val="Heading2"/>
      </w:pPr>
      <w:r>
        <w:t>Kardiovaskuläre Gesundheit und Nierenversagen: Life's Essential 8 als Risikofaktor</w:t>
      </w:r>
    </w:p>
    <w:p>
      <w:r>
        <w:rPr>
          <w:i/>
          <w:color w:val="666666"/>
          <w:sz w:val="18"/>
        </w:rPr>
        <w:t>Ma C et al.  ·  Clin J Am Soc Nephrol  ·  15.10.2026  ·  PMID 42879211</w:t>
      </w:r>
    </w:p>
    <w:p>
      <w:r>
        <w:t>Prospektive Kohortenstudie zur Assoziation zwischen Life's Essential 8 (CVH-Metrik) und Inzidenz von Nierenersatztherapie-Bedürftigkeit (ESKD) in 276.494 Biobank-Teilnehmern.</w:t>
      </w:r>
    </w:p>
    <w:p>
      <w:r>
        <w:rPr>
          <w:b/>
        </w:rPr>
        <w:t xml:space="preserve">Ergebnis: </w:t>
      </w:r>
      <w:r>
        <w:t>Jeder 10-Punkte-Rückgang im LE8-Score erhöhte ESKD-Risiko (HR 1,47; 95%-KI 1,34–1,60). Niedriger LE8 war mit über fünffach erhöhtem Risiko assoziiert (HR 5,57; 95%-KI 3,42–9,07) vs. hohem LE8. Blutdruck und Blutglukose hatten größte populationsattribuierbare Fraktionen.</w:t>
      </w:r>
    </w:p>
    <w:p>
      <w:r>
        <w:rPr>
          <w:b/>
          <w:sz w:val="19"/>
        </w:rPr>
        <w:t xml:space="preserve">Übertragbarkeit: </w:t>
      </w:r>
      <w:r>
        <w:rPr>
          <w:sz w:val="19"/>
        </w:rPr>
        <w:t>UK-Daten; Primärversorgung und präventive Ansätze übertragbar</w:t>
      </w:r>
    </w:p>
    <w:p>
      <w:r>
        <w:rPr>
          <w:color w:val="5A7D3A"/>
          <w:sz w:val="18"/>
        </w:rPr>
        <w:t>https://pubmed.ncbi.nlm.nih.gov/42879211/</w:t>
      </w:r>
    </w:p>
    <w:p>
      <w:pPr>
        <w:pStyle w:val="Heading2"/>
      </w:pPr>
      <w:r>
        <w:t>Validität von EQ-5D-5L und EQ-HWB-9 zur Messung von Carer-Outcomes in gesundheitsökonomischen Evaluationen</w:t>
      </w:r>
    </w:p>
    <w:p>
      <w:r>
        <w:rPr>
          <w:i/>
          <w:color w:val="666666"/>
          <w:sz w:val="18"/>
        </w:rPr>
        <w:t>Faller J et al.  ·  Qual Life Res  ·  15.10.2026  ·  PMID 42879005</w:t>
      </w:r>
    </w:p>
    <w:p>
      <w:r>
        <w:t>Psychometrische Bewertung zweier Nutzen-Messinstrumente (EQ-5D-5L, EQ-HWB-9) bei 6.743 pflegenden Angehörigen aus fünf englischsprachigen Ländern.</w:t>
      </w:r>
    </w:p>
    <w:p>
      <w:r>
        <w:rPr>
          <w:b/>
        </w:rPr>
        <w:t xml:space="preserve">Ergebnis: </w:t>
      </w:r>
      <w:r>
        <w:t>EQ-5D-5L zeigte Deckeneffekt (19%), EQ-HWB-9 nicht (5%). Beide Instrumente korrelieren moderat mit WHO-5, PROMIS-10 und anderen Validierungsinstrumenten und zeigten Known-Group-Validität. EQ-HWB-9 erfasst breiteres Spektrum der Carer-Belastung.</w:t>
      </w:r>
    </w:p>
    <w:p>
      <w:r>
        <w:rPr>
          <w:b/>
          <w:sz w:val="19"/>
        </w:rPr>
        <w:t xml:space="preserve">Übertragbarkeit: </w:t>
      </w:r>
      <w:r>
        <w:rPr>
          <w:sz w:val="19"/>
        </w:rPr>
        <w:t>Multi-nationale Studie mit deutschsprachigen Ländern; ökonomische Evaluationen übertragbar</w:t>
      </w:r>
    </w:p>
    <w:p>
      <w:r>
        <w:rPr>
          <w:color w:val="5A7D3A"/>
          <w:sz w:val="18"/>
        </w:rPr>
        <w:t>https://pubmed.ncbi.nlm.nih.gov/42879005/</w:t>
      </w:r>
    </w:p>
    <w:p>
      <w:pPr>
        <w:pStyle w:val="Heading2"/>
      </w:pPr>
      <w:r>
        <w:t>Psychische Gesundheit von Ärzten und Pflegepersonen in der Ukraine während des Krieges</w:t>
      </w:r>
    </w:p>
    <w:p>
      <w:r>
        <w:rPr>
          <w:i/>
          <w:color w:val="666666"/>
          <w:sz w:val="18"/>
        </w:rPr>
        <w:t>Arrona Gómez VA et al.  ·  Br J Psychiatry  ·  15.10.2026  ·  PMID 42876069</w:t>
      </w:r>
    </w:p>
    <w:p>
      <w:r>
        <w:t>Landesweite Cross-sectional-Befragung von 23.805 Ärzten und Pflegepersonen zur Prävalenz von Depression, Angststörungen und suizidalen Gedanken sowie Assoziation mit Arbeitsplatzrisiken (Gewalt, Mobbing).</w:t>
      </w:r>
    </w:p>
    <w:p>
      <w:r>
        <w:rPr>
          <w:b/>
        </w:rPr>
        <w:t xml:space="preserve">Ergebnis: </w:t>
      </w:r>
      <w:r>
        <w:t>1 von 3 Ärzten und 1 von 4 Pflegepersonen berichteten Depressionssymptome; 1 von 4 Ärzte und 1 von 6 Pfleger Angstsymptome; ~1 von 10 suizidale Gedanken. Mobbing am stärksten mit Depression/Angst assoziiert (alle P&lt;0,001), physische Gewalt mit suizidalen Gedanken. Sinnvolle Arbeit schützend.</w:t>
      </w:r>
    </w:p>
    <w:p>
      <w:r>
        <w:rPr>
          <w:b/>
          <w:sz w:val="19"/>
        </w:rPr>
        <w:t xml:space="preserve">Übertragbarkeit: </w:t>
      </w:r>
      <w:r>
        <w:rPr>
          <w:sz w:val="19"/>
        </w:rPr>
        <w:t>Ukraine-Daten, Fragenstellung aber zu Workforce-Wohlbefinden systemunabhängig relevant</w:t>
      </w:r>
    </w:p>
    <w:p>
      <w:r>
        <w:rPr>
          <w:color w:val="5A7D3A"/>
          <w:sz w:val="18"/>
        </w:rPr>
        <w:t>https://pubmed.ncbi.nlm.nih.gov/42876069/</w:t>
      </w:r>
    </w:p>
    <w:p>
      <w:pPr>
        <w:pStyle w:val="Heading2"/>
      </w:pPr>
      <w:r>
        <w:t>Generative-AI-Nutzung bei älteren Menschen mit Multimorbidität: qualitative Analyse von Barrieren und Chancen</w:t>
      </w:r>
    </w:p>
    <w:p>
      <w:r>
        <w:rPr>
          <w:i/>
          <w:color w:val="666666"/>
          <w:sz w:val="18"/>
        </w:rPr>
        <w:t>Lin Q et al.  ·  BMC Health Serv Res  ·  23.07.2026  ·  PMID 42875768</w:t>
      </w:r>
    </w:p>
    <w:p>
      <w:r>
        <w:t>Qualitative Studie mit 16 semistrukturierten Interviews zu Erfahrungen älterer Menschen mit Multimorbidität bei der Nutzung von Generative-AI-Tools für Gesundheitsentscheidungen in China.</w:t>
      </w:r>
    </w:p>
    <w:p>
      <w:r>
        <w:rPr>
          <w:b/>
        </w:rPr>
        <w:t xml:space="preserve">Ergebnis: </w:t>
      </w:r>
      <w:r>
        <w:t>Vier Themen: (1) Wahrgenommener Nutzen (Informationszugang, integrierte Unterstützung, Entscheidungssicherheit); (2) Ease-of-Use mit großen individuellen Unterschieden; (3) Notwendigkeit von Ressourcenmobilisierung (soziale Unterstützung, technische Hilfe); (4) Dynamische, nicht-lineare Nutzungsmuster (Versuche, Unterbrechnungen, Wiederaufnahme oder Abbruch) statt einfache Adoption.</w:t>
      </w:r>
    </w:p>
    <w:p>
      <w:r>
        <w:rPr>
          <w:b/>
          <w:sz w:val="19"/>
        </w:rPr>
        <w:t xml:space="preserve">Übertragbarkeit: </w:t>
      </w:r>
      <w:r>
        <w:rPr>
          <w:sz w:val="19"/>
        </w:rPr>
        <w:t>China-Studie; Fragen zur technologischen Inklusion und Digital-Divide bei älteren Menschen relevant</w:t>
      </w:r>
    </w:p>
    <w:p>
      <w:r>
        <w:rPr>
          <w:color w:val="5A7D3A"/>
          <w:sz w:val="18"/>
        </w:rPr>
        <w:t>https://pubmed.ncbi.nlm.nih.gov/42875768/</w:t>
      </w:r>
    </w:p>
    <w:p>
      <w:pPr>
        <w:pStyle w:val="Heading2"/>
      </w:pPr>
      <w:r>
        <w:t>Hausarztbeteiligung in der onkologischen Nachsorge: Studienprotokoll zur mixed-methods-Analyse</w:t>
      </w:r>
    </w:p>
    <w:p>
      <w:r>
        <w:rPr>
          <w:i/>
          <w:color w:val="666666"/>
          <w:sz w:val="18"/>
        </w:rPr>
        <w:t>van Baal K et al.  ·  BMC Prim Care  ·  13.10.2026  ·  PMID 42875748</w:t>
      </w:r>
    </w:p>
    <w:p>
      <w:r>
        <w:t>Studienprotokoll zur Untersuchung der Hausarzt-Beteiligung in der onkologischen Nachsorge in Deutschland mittels Routinedaten, Surveys und qualitativen Interviews.</w:t>
      </w:r>
    </w:p>
    <w:p>
      <w:r>
        <w:rPr>
          <w:b/>
        </w:rPr>
        <w:t xml:space="preserve">Ergebnis: </w:t>
      </w:r>
      <w:r>
        <w:t>Geplante Analyse von AOK-Routinedaten und Niedersächsischem Krebsregister, Befragung von 300+ Hausärzten und Onkologen, 30 Patienteninterviews sowie Expert-Workshop zur Konsensfindung für strukturierte Empfehlungen.</w:t>
      </w:r>
    </w:p>
    <w:p>
      <w:r>
        <w:rPr>
          <w:b/>
          <w:sz w:val="19"/>
        </w:rPr>
        <w:t xml:space="preserve">Übertragbarkeit: </w:t>
      </w:r>
      <w:r>
        <w:rPr>
          <w:sz w:val="19"/>
        </w:rPr>
        <w:t>Deutsche Studie mit deutschem Versorgungssystem; direkt auf deutsche Versorgung übertragbar</w:t>
      </w:r>
    </w:p>
    <w:p>
      <w:r>
        <w:rPr>
          <w:color w:val="5A7D3A"/>
          <w:sz w:val="18"/>
        </w:rPr>
        <w:t>https://pubmed.ncbi.nlm.nih.gov/42875748/</w:t>
      </w:r>
    </w:p>
    <w:p>
      <w:pPr>
        <w:pStyle w:val="Heading1"/>
      </w:pPr>
      <w:r>
        <w:t>Aufgenommen am 18.10.2026</w:t>
      </w:r>
    </w:p>
    <w:p>
      <w:pPr>
        <w:pStyle w:val="Heading2"/>
      </w:pPr>
      <w:r>
        <w:t>Enzalutamid bei metastatischem hormonsensitivem Prostatakarzinom: Kosteneffektivitätsanalyse</w:t>
      </w:r>
    </w:p>
    <w:p>
      <w:r>
        <w:rPr>
          <w:i/>
          <w:color w:val="666666"/>
          <w:sz w:val="18"/>
        </w:rPr>
        <w:t>Law CK et al.  ·  EClinicalMedicine  ·  05.10.2026  ·  PMID 42890411</w:t>
      </w:r>
    </w:p>
    <w:p>
      <w:r>
        <w:t>Australische within-trial-Kosteneffektivitätsanalyse der ENZAMET-Studie verglich Enzalutamid plus Testosteronsuppression mit Standard-Nicht-Steroiden für Patienten mit metastatischem hormonsensitivem Prostatakarzinom über 60 Monate.</w:t>
      </w:r>
    </w:p>
    <w:p>
      <w:r>
        <w:rPr>
          <w:b/>
        </w:rPr>
        <w:t xml:space="preserve">Ergebnis: </w:t>
      </w:r>
      <w:r>
        <w:t>Enzalutamid führte zu AUD 127.262 zusätzlichen Kosten pro Patient, 0,24 Lebensjahren und 0,15 QALYs-Gewinn; ICER AUD 835.580 pro QALY. Kosteneffizienz nur bei Kaufpreis von AUD 6,73 pro Tablette erreichbar (Schwellenwert AUD 50.000/QALY). Erhöhte Hospitalisierungen und Muskel-Skelett-Medikationen in Enzalutamid-Gruppe.</w:t>
      </w:r>
    </w:p>
    <w:p>
      <w:r>
        <w:rPr>
          <w:b/>
          <w:sz w:val="19"/>
        </w:rPr>
        <w:t xml:space="preserve">Übertragbarkeit: </w:t>
      </w:r>
      <w:r>
        <w:rPr>
          <w:sz w:val="19"/>
        </w:rPr>
        <w:t>Australisches Gesundheitssystem, aber Analyse-Methodik auf deutsches System übertragbar.</w:t>
      </w:r>
    </w:p>
    <w:p>
      <w:r>
        <w:rPr>
          <w:color w:val="5A7D3A"/>
          <w:sz w:val="18"/>
        </w:rPr>
        <w:t>https://pubmed.ncbi.nlm.nih.gov/42890411/</w:t>
      </w:r>
    </w:p>
    <w:p>
      <w:pPr>
        <w:pStyle w:val="Heading2"/>
      </w:pPr>
      <w:r>
        <w:t>Nutzen von klinischen Qualitätsregistern: Governance und Systemintegration</w:t>
      </w:r>
    </w:p>
    <w:p>
      <w:r>
        <w:rPr>
          <w:i/>
          <w:color w:val="666666"/>
          <w:sz w:val="18"/>
        </w:rPr>
        <w:t>Bessen T et al.  ·  Med J Aust  ·  Okt. 2026  ·  PMID 42888857</w:t>
      </w:r>
    </w:p>
    <w:p>
      <w:r>
        <w:t>Konferenzbeitrag diskutiert, wie klinische Qualitätsregister (CQRs) zur Qualitätsverbesserung in Gesundheitssystemen beitragen und beschreibt Organizational-Infrastructure-Elemente für Systemintegration.</w:t>
      </w:r>
    </w:p>
    <w:p>
      <w:r>
        <w:rPr>
          <w:b/>
        </w:rPr>
        <w:t xml:space="preserve">Ergebnis: </w:t>
      </w:r>
      <w:r>
        <w:t>CQRs erfassen systematisch Sicherheits- und Qualitätsdaten mit Risikoanpassung und Benchmarking; Daten treiben Qualitätsverbesserungen. Zentrale Erkenntnis: Daten bleiben oft in Facheinheiten statt Organisation/System-weit integriert. Erforderlich: Governance-Infrastruktur zur Systemintegration auf Gesundheits- und Behördenebene.</w:t>
      </w:r>
    </w:p>
    <w:p>
      <w:r>
        <w:rPr>
          <w:b/>
          <w:sz w:val="19"/>
        </w:rPr>
        <w:t xml:space="preserve">Übertragbarkeit: </w:t>
      </w:r>
      <w:r>
        <w:rPr>
          <w:sz w:val="19"/>
        </w:rPr>
        <w:t>Australien; Registries-Governance-Ansätze auf deutsches Qualitätsmanagement übertragbar.</w:t>
      </w:r>
    </w:p>
    <w:p>
      <w:r>
        <w:rPr>
          <w:color w:val="5A7D3A"/>
          <w:sz w:val="18"/>
        </w:rPr>
        <w:t>https://pubmed.ncbi.nlm.nih.gov/42888857/</w:t>
      </w:r>
    </w:p>
    <w:p>
      <w:pPr>
        <w:pStyle w:val="Heading2"/>
      </w:pPr>
      <w:r>
        <w:t>Wartezeiten und Verzögerungen bei Kopf-Hals-Krebs in England</w:t>
      </w:r>
    </w:p>
    <w:p>
      <w:r>
        <w:rPr>
          <w:i/>
          <w:color w:val="666666"/>
          <w:sz w:val="18"/>
        </w:rPr>
        <w:t>Jashek-Ahmed F et al.  ·  Br J Cancer  ·  16.10.2026  ·  PMID 42888204</w:t>
      </w:r>
    </w:p>
    <w:p>
      <w:r>
        <w:t>Britische Kohortenstudie mit verlinkten nationalen Datenregistern untersuchte Wartezeiten von Überweisung bis zur ersten Krebsbehandlung (Chirurgie oder Strahlenchemotherapie) bei 30.506 Kopf-Hals-Karzinom-Patienten.</w:t>
      </w:r>
    </w:p>
    <w:p>
      <w:r>
        <w:rPr>
          <w:b/>
        </w:rPr>
        <w:t xml:space="preserve">Ergebnis: </w:t>
      </w:r>
      <w:r>
        <w:t>43 % erlebten Behandlungsverzögerung (&gt;62 Tage), 11 % bei Chirurgie und 20 % bei (Chemo-)Strahlung &gt;90 Tage. Nicht-dringende Überweisung (30 % der Patienten) war stärkster Prädiktor für lange Verzögerung (aOR 4,07; 95 %-KI 3,54–4,68). Zusätzliche Risikofaktoren: initiale Bewertung in Nicht-Spezialist-Kliniken, Non-Oropharynx-Karzinome, höhere Deprivation.</w:t>
      </w:r>
    </w:p>
    <w:p>
      <w:r>
        <w:rPr>
          <w:b/>
          <w:sz w:val="19"/>
        </w:rPr>
        <w:t xml:space="preserve">Übertragbarkeit: </w:t>
      </w:r>
      <w:r>
        <w:rPr>
          <w:sz w:val="19"/>
        </w:rPr>
        <w:t>England, NHS-System; Methodik zu Zugangssteuerung begrenzt übertragbar auf Deutschland.</w:t>
      </w:r>
    </w:p>
    <w:p>
      <w:r>
        <w:rPr>
          <w:color w:val="5A7D3A"/>
          <w:sz w:val="18"/>
        </w:rPr>
        <w:t>https://pubmed.ncbi.nlm.nih.gov/42888204/</w:t>
      </w:r>
    </w:p>
    <w:p>
      <w:pPr>
        <w:pStyle w:val="Heading2"/>
      </w:pPr>
      <w:r>
        <w:t>Zugang zu Versorgung bei Niereninsuffizienz: Sicht von Medicare-Advantage-Organisationen</w:t>
      </w:r>
    </w:p>
    <w:p>
      <w:r>
        <w:rPr>
          <w:i/>
          <w:color w:val="666666"/>
          <w:sz w:val="18"/>
        </w:rPr>
        <w:t>Tyler DA et al.  ·  Health Serv Res  ·  Okt. 2026  ·  PMID 42888180</w:t>
      </w:r>
    </w:p>
    <w:p>
      <w:r>
        <w:t>Qualitative Studie mit 56 Teilnehmern aus 8 Medicare-Advantage-Plänen, 6 Dialyse- und 5 Nierenbetreu-Unternehmen in den USA untersuchte Perspektiven zum Versorgungszugang nach Medicare-Advantage-Einschreibung bei Dialysepatienten.</w:t>
      </w:r>
    </w:p>
    <w:p>
      <w:r>
        <w:rPr>
          <w:b/>
        </w:rPr>
        <w:t xml:space="preserve">Ergebnis: </w:t>
      </w:r>
      <w:r>
        <w:t>Perspektiven differieren nach Organisation und Mitarbeiter-Funktion. MA-Plankvertreter berichten keine Zugangsbarrieren zu Dialyse; kleine Dialyse-Anbieter berichten Patienten-Fahrtweite zu In-Network-Einrichtungen. Informationen über Netzwerkbeschränkungen für Spezialisten oft nicht Patienten-bewusst. MA wählt ‚Centers of Excellence', andere berichten Transplant-Zugangs-Behinderung. Zusatzleistungen von Exekutive betont, von Frontline-Personal als begrenzt berichtet.</w:t>
      </w:r>
    </w:p>
    <w:p>
      <w:r>
        <w:rPr>
          <w:b/>
          <w:sz w:val="19"/>
        </w:rPr>
        <w:t xml:space="preserve">Übertragbarkeit: </w:t>
      </w:r>
      <w:r>
        <w:rPr>
          <w:sz w:val="19"/>
        </w:rPr>
        <w:t>USA; stark systemabhängig von Medicare-Struktur, begrenzte Übertragbarkeit.</w:t>
      </w:r>
    </w:p>
    <w:p>
      <w:r>
        <w:rPr>
          <w:color w:val="5A7D3A"/>
          <w:sz w:val="18"/>
        </w:rPr>
        <w:t>https://pubmed.ncbi.nlm.nih.gov/42888180/</w:t>
      </w:r>
    </w:p>
    <w:p>
      <w:pPr>
        <w:pStyle w:val="Heading2"/>
      </w:pPr>
      <w:r>
        <w:t>Konsensusdefinition schwere COPD: internationale Delphi-Studie</w:t>
      </w:r>
    </w:p>
    <w:p>
      <w:r>
        <w:rPr>
          <w:i/>
          <w:color w:val="666666"/>
          <w:sz w:val="18"/>
        </w:rPr>
        <w:t>Melles MC et al.  ·  Ann Am Thorac Soc  ·  16.10.2026  ·  PMID 42885566</w:t>
      </w:r>
    </w:p>
    <w:p>
      <w:r>
        <w:t>Internationale modifizierte Delphi-Studie mit 55 COPD-Experten entwickelte Konsensusdefinition und minimales Diagnose-Set für schwere COPD sowie notwendige Arbeitsvorgänge.</w:t>
      </w:r>
    </w:p>
    <w:p>
      <w:r>
        <w:rPr>
          <w:b/>
        </w:rPr>
        <w:t xml:space="preserve">Ergebnis: </w:t>
      </w:r>
      <w:r>
        <w:t>Konsens in 46 von 67 Aussagen (Runde 1, 69 %) und 15 von 20 (Runde 2, 75 %). Schwere COPD definiert als persistierende Symptome/Funktionsbeeinträchtigung trotz optimaler Therapie mit mindestens einem Merkmal: schwere Atemwegsobstruktion, schwere Diffusionsstörung, schwere Überblähung, häufige Exazerbationen, chronische Ateminsuffizienz, pulmonale Hypertonie oder Kachexie. Standardisiertes Workup inkl. Patient-Reported Outcomes, Exazerbationen, Lungenfunktion, Blutgase, Imaging, kardiale Bewertung, Belastungstestung.</w:t>
      </w:r>
    </w:p>
    <w:p>
      <w:r>
        <w:rPr>
          <w:b/>
          <w:sz w:val="19"/>
        </w:rPr>
        <w:t xml:space="preserve">Übertragbarkeit: </w:t>
      </w:r>
      <w:r>
        <w:rPr>
          <w:sz w:val="19"/>
        </w:rPr>
        <w:t>Internationale Konsensus-Studie mit 55 Experten; Definitionen für deutsches Versorgungssystem relevant.</w:t>
      </w:r>
    </w:p>
    <w:p>
      <w:r>
        <w:rPr>
          <w:color w:val="5A7D3A"/>
          <w:sz w:val="18"/>
        </w:rPr>
        <w:t>https://pubmed.ncbi.nlm.nih.gov/42885566/</w:t>
      </w:r>
    </w:p>
    <w:p>
      <w:pPr>
        <w:pStyle w:val="Heading2"/>
      </w:pPr>
      <w:r>
        <w:t>Social-Media-Nutzung und Angststörungen bei Gesundheitsmitarbeitern in COVID-19</w:t>
      </w:r>
    </w:p>
    <w:p>
      <w:r>
        <w:rPr>
          <w:i/>
          <w:color w:val="666666"/>
          <w:sz w:val="18"/>
        </w:rPr>
        <w:t>Powell M et al.  ·  J Med Internet Res  ·  15.10.2026  ·  PMID 42879747</w:t>
      </w:r>
    </w:p>
    <w:p>
      <w:r>
        <w:t>Sekundäranalyse der UC-COVID-Studie 2021 mit 427 Gesundheitsmitarbeitern untersuchte Assoziationen zwischen Social-Media-Nutzung über mehrere Plattformen und Angst-Symptomen während Pandemie.</w:t>
      </w:r>
    </w:p>
    <w:p>
      <w:r>
        <w:rPr>
          <w:b/>
        </w:rPr>
        <w:t xml:space="preserve">Ergebnis: </w:t>
      </w:r>
      <w:r>
        <w:t>29 % berichteten klinisch relevante Angststörungen (GAD-2 ≥3). Höhere Social-Media-Nutzung signifikant mit Angst assoziiert (OR 1,77; 95 %-KI 1,15–2,73). Älteres Alter reduzierte Angststörungen (aOR 0,97; 95 %-KI 0,95–0,99). Psychische-Anamnese erhöhte Angststörungen (aOR 2,33; 95 %-KI 1,35–4,03). Nicht-hispanische Asiaten weniger Angststörungen (aOR 0,39; KI 0,19–0,80). Höheres Einkommen reduzierte Angststörungen (aOR 0,51; KI 0,30–0,87).</w:t>
      </w:r>
    </w:p>
    <w:p>
      <w:r>
        <w:rPr>
          <w:b/>
          <w:sz w:val="19"/>
        </w:rPr>
        <w:t xml:space="preserve">Übertragbarkeit: </w:t>
      </w:r>
      <w:r>
        <w:rPr>
          <w:sz w:val="19"/>
        </w:rPr>
        <w:t>USA-Daten; Fragestellung zu Gesundheitsmitarbeiter-Psyche systemunabhängig relevant.</w:t>
      </w:r>
    </w:p>
    <w:p>
      <w:r>
        <w:rPr>
          <w:color w:val="5A7D3A"/>
          <w:sz w:val="18"/>
        </w:rPr>
        <w:t>https://pubmed.ncbi.nlm.nih.gov/42879747/</w:t>
      </w:r>
    </w:p>
    <w:p>
      <w:pPr>
        <w:pStyle w:val="Heading2"/>
      </w:pPr>
      <w:r>
        <w:t>Umsetzung von CVD-Risiko-Vorhersage-Tools in Subsahara-Afrika: Scoping Review</w:t>
      </w:r>
    </w:p>
    <w:p>
      <w:r>
        <w:rPr>
          <w:i/>
          <w:color w:val="666666"/>
          <w:sz w:val="18"/>
        </w:rPr>
        <w:t>Gouws M et al.  ·  BMC Health Serv Res  ·  19.08.2026  ·  PMID 42875763</w:t>
      </w:r>
    </w:p>
    <w:p>
      <w:r>
        <w:t>Systematische Scoping Review zur Implementierung von Kardiovaskulär-Risiko-Vorhersage-Scores in Subsahara-Afrika anhand von 41 Studien aus zehn Ländern; Struktur nach Implementation-Research-Logic-Model.</w:t>
      </w:r>
    </w:p>
    <w:p>
      <w:r>
        <w:rPr>
          <w:b/>
        </w:rPr>
        <w:t xml:space="preserve">Ergebnis: </w:t>
      </w:r>
      <w:r>
        <w:t>Vier Use-Cases identifiziert: ökonomische/Policy-Überlegungen, Screening hohes CVD-Risiko/Überweisung, Risikokommunikation, Behandlung Hochrisiko-Patienten. Häufigste Barrieren: Gesundheitssystem- und Organisations-Herausforderungen. Implementierungs-Strategien fokussieren Task-Shifting, Training, kurzfristige Materialien/Technologie-Unterstützung für Community-Health-Worker. Wenig Evidenz zu Nachhaltigkeits-Strategien in Einrichtungen; Mismatch zwischen Determinanten-Breite und Strategien-Enge.</w:t>
      </w:r>
    </w:p>
    <w:p>
      <w:r>
        <w:rPr>
          <w:b/>
          <w:sz w:val="19"/>
        </w:rPr>
        <w:t xml:space="preserve">Übertragbarkeit: </w:t>
      </w:r>
      <w:r>
        <w:rPr>
          <w:sz w:val="19"/>
        </w:rPr>
        <w:t>Sub-Sahara; systemabhängig von Ressourcenlage, begrenzte Übertragbarkeit auf Deutschland.</w:t>
      </w:r>
    </w:p>
    <w:p>
      <w:r>
        <w:rPr>
          <w:color w:val="5A7D3A"/>
          <w:sz w:val="18"/>
        </w:rPr>
        <w:t>https://pubmed.ncbi.nlm.nih.gov/42875763/</w:t>
      </w:r>
    </w:p>
    <w:p>
      <w:pPr>
        <w:pStyle w:val="Heading1"/>
      </w:pPr>
      <w:r>
        <w:t>Aufgenommen am 17.10.2026</w:t>
      </w:r>
    </w:p>
    <w:p>
      <w:pPr>
        <w:pStyle w:val="Heading2"/>
      </w:pPr>
      <w:r>
        <w:t>ASAS-Kernsatz zur Assessmentierung axialer Spondyloarthritis</w:t>
      </w:r>
    </w:p>
    <w:p>
      <w:r>
        <w:rPr>
          <w:i/>
          <w:color w:val="666666"/>
          <w:sz w:val="18"/>
        </w:rPr>
        <w:t>van Tubergen A et al.  ·  Ann Rheum Dis  ·  16.10.2026  ·  PMID 42888164</w:t>
      </w:r>
    </w:p>
    <w:p>
      <w:r>
        <w:t>Internationale Expertengruppe entwickelte per modifiziertem Delphi-Verfahren einen standardisierten Kernsatz von Assessmentdomänen und -instrumenten für die klinische Praxis.</w:t>
      </w:r>
    </w:p>
    <w:p>
      <w:r>
        <w:rPr>
          <w:b/>
        </w:rPr>
        <w:t xml:space="preserve">Ergebnis: </w:t>
      </w:r>
      <w:r>
        <w:t>Der Kernsatz wurde von der Mehrheit der ASAS-Mitglieder verabschiedet. Fünf Domänen für Routinevisiten (Krankheitsaktivität, Schmerz, periphere Manifestationen, extramuskuloskeletale Manifestationen, Therapieaspekte) mit je mindestens einem empfohlenen Instrument plus vier ergänzende Domänen für erweiterte Visiten (strukturelle Schäden, Funktionsfähigkeit, Komorbiditäten, Mobilität).</w:t>
      </w:r>
    </w:p>
    <w:p>
      <w:r>
        <w:rPr>
          <w:b/>
          <w:sz w:val="19"/>
        </w:rPr>
        <w:t xml:space="preserve">Übertragbarkeit: </w:t>
      </w:r>
      <w:r>
        <w:rPr>
          <w:sz w:val="19"/>
        </w:rPr>
        <w:t>Internationaler Konsens, europäische Beteiligung, deutsches Rheumazentrum beteiligt</w:t>
      </w:r>
    </w:p>
    <w:p>
      <w:r>
        <w:rPr>
          <w:color w:val="5A7D3A"/>
          <w:sz w:val="18"/>
        </w:rPr>
        <w:t>https://pubmed.ncbi.nlm.nih.gov/42888164/</w:t>
      </w:r>
    </w:p>
    <w:p>
      <w:pPr>
        <w:pStyle w:val="Heading2"/>
      </w:pPr>
      <w:r>
        <w:t>Partizipative Forschung mit Betroffenen: Impact und Team-Dynamik</w:t>
      </w:r>
    </w:p>
    <w:p>
      <w:r>
        <w:rPr>
          <w:i/>
          <w:color w:val="666666"/>
          <w:sz w:val="18"/>
        </w:rPr>
        <w:t>Fox J et al.  ·  Health Expect  ·  Okt. 2026  ·  PMID 42886175</w:t>
      </w:r>
    </w:p>
    <w:p>
      <w:r>
        <w:t>Qualitative Fallstudie erforschte über sieben Jahre die Erfahrungen von Forschungsteams und Betroffenen-Panels bei partizipativ durchgeführter Forschung zur Psychoseprävention.</w:t>
      </w:r>
    </w:p>
    <w:p>
      <w:r>
        <w:rPr>
          <w:b/>
        </w:rPr>
        <w:t xml:space="preserve">Ergebnis: </w:t>
      </w:r>
      <w:r>
        <w:t>Vier Hauptthemen: Impact wurde als Lernprozess mit Friktionen beschrieben; Studienteam schätzte Expertise der Betroffenen; Herausforderungen waren mangelnde Schulung zur Partizipation, Wechsel in Panelstruktur, COVID-bedingte Online-Verlagerung und Zweifel an Relevanzbezug. Regelmäßige reflexive Lernprozesse mit offenem Feedback waren zentral für positive Inklusionskultur.</w:t>
      </w:r>
    </w:p>
    <w:p>
      <w:r>
        <w:rPr>
          <w:b/>
          <w:sz w:val="19"/>
        </w:rPr>
        <w:t xml:space="preserve">Übertragbarkeit: </w:t>
      </w:r>
      <w:r>
        <w:rPr>
          <w:sz w:val="19"/>
        </w:rPr>
        <w:t>UK-Studie, Methode aber international übertragbar für Partizipationsforschung</w:t>
      </w:r>
    </w:p>
    <w:p>
      <w:r>
        <w:rPr>
          <w:color w:val="5A7D3A"/>
          <w:sz w:val="18"/>
        </w:rPr>
        <w:t>https://pubmed.ncbi.nlm.nih.gov/42886175/</w:t>
      </w:r>
    </w:p>
    <w:p>
      <w:pPr>
        <w:pStyle w:val="Heading2"/>
      </w:pPr>
      <w:r>
        <w:t>Depressive Symptome und Remission bei Psoriasis-Arthritis</w:t>
      </w:r>
    </w:p>
    <w:p>
      <w:r>
        <w:rPr>
          <w:i/>
          <w:color w:val="666666"/>
          <w:sz w:val="18"/>
        </w:rPr>
        <w:t>Reich A et al.  ·  BMC Rheumatol  ·  14.10.2026  ·  PMID 42881477</w:t>
      </w:r>
    </w:p>
    <w:p>
      <w:r>
        <w:t>Deutsche Registerstudie untersuchte die Assoziation depressiver Symptome mit Remissionserreichung bei Patienten mit Psoriasis-Arthritis unter systemischer Therapie.</w:t>
      </w:r>
    </w:p>
    <w:p>
      <w:r>
        <w:rPr>
          <w:b/>
        </w:rPr>
        <w:t xml:space="preserve">Ergebnis: </w:t>
      </w:r>
      <w:r>
        <w:t>29 % der 1.888 Patienten berichteten moderate/schwere depressive Symptome (34 % Frauen, 23 % Männer). Höheres Wohlbefinden war mit Remission assoziiert (OR 1,06–1,14 pro 10-Punkt-Steigerung). Beide Geschlechter mit moderaten/schweren Symptomen erreichten Minimal Disease Activity und DAPSA-Remission weniger häufig; die Assoziation unterschied sich nicht signifikant nach Geschlecht.</w:t>
      </w:r>
    </w:p>
    <w:p>
      <w:r>
        <w:rPr>
          <w:b/>
          <w:sz w:val="19"/>
        </w:rPr>
        <w:t xml:space="preserve">Übertragbarkeit: </w:t>
      </w:r>
      <w:r>
        <w:rPr>
          <w:sz w:val="19"/>
        </w:rPr>
        <w:t>Deutsche Routinedaten, ambulante rheumatologische Praxis</w:t>
      </w:r>
    </w:p>
    <w:p>
      <w:r>
        <w:rPr>
          <w:color w:val="5A7D3A"/>
          <w:sz w:val="18"/>
        </w:rPr>
        <w:t>https://pubmed.ncbi.nlm.nih.gov/42881477/</w:t>
      </w:r>
    </w:p>
    <w:p>
      <w:pPr>
        <w:pStyle w:val="Heading2"/>
      </w:pPr>
      <w:r>
        <w:t>Belastung von Eltern als Pflegende bei seltenen Kindererkrankungen</w:t>
      </w:r>
    </w:p>
    <w:p>
      <w:r>
        <w:rPr>
          <w:i/>
          <w:color w:val="666666"/>
          <w:sz w:val="18"/>
        </w:rPr>
        <w:t>Brandt M et al.  ·  Orphanet J Rare Dis  ·  12.10.2026  ·  PMID 42881418</w:t>
      </w:r>
    </w:p>
    <w:p>
      <w:r>
        <w:t>Deutsche Querschnittstudie untersuchte Pflegbelastung bei 123 Eltern von Kindern mit seltenen Erkrankungen und identifizierte assoziierte Faktoren.</w:t>
      </w:r>
    </w:p>
    <w:p>
      <w:r>
        <w:rPr>
          <w:b/>
        </w:rPr>
        <w:t xml:space="preserve">Ergebnis: </w:t>
      </w:r>
      <w:r>
        <w:t>23 % berichteten depressive Symptome, 77 % mindestens einen unerfüllten Unterstützungsbedarf. Bei Kindern mit Pflegebedarf: 24 % mit hoher Pflegbelastung. Nach Adjustierung für multiple Tests zeigten sich bei niedrigerer pflegbezogener Lebensqualität, höherer Sozioökonomie, elterlichen depressiven Symptomen und niedriger Therapiezufriedenheit stärkste Assoziationen mit Pflegbelastung.</w:t>
      </w:r>
    </w:p>
    <w:p>
      <w:r>
        <w:rPr>
          <w:b/>
          <w:sz w:val="19"/>
        </w:rPr>
        <w:t xml:space="preserve">Übertragbarkeit: </w:t>
      </w:r>
      <w:r>
        <w:rPr>
          <w:sz w:val="19"/>
        </w:rPr>
        <w:t>Deutsche Studie, spezialisierte Zentren und Patientenorganisationen</w:t>
      </w:r>
    </w:p>
    <w:p>
      <w:r>
        <w:rPr>
          <w:color w:val="5A7D3A"/>
          <w:sz w:val="18"/>
        </w:rPr>
        <w:t>https://pubmed.ncbi.nlm.nih.gov/42881418/</w:t>
      </w:r>
    </w:p>
    <w:p>
      <w:pPr>
        <w:pStyle w:val="Heading2"/>
      </w:pPr>
      <w:r>
        <w:t>Gesundheitskompetenz und Gesundheit bei Pflegestudierenden</w:t>
      </w:r>
    </w:p>
    <w:p>
      <w:r>
        <w:rPr>
          <w:i/>
          <w:color w:val="666666"/>
          <w:sz w:val="18"/>
        </w:rPr>
        <w:t>Otto R et al.  ·  Front Med (Lausanne)  ·  30.09.2026  ·  PMID 42876879</w:t>
      </w:r>
    </w:p>
    <w:p>
      <w:r>
        <w:t>Longitudinale deutsche Kohortenstudie verfolgten 128 Auszubildende und 43 Studierende im Pflegebereich über ein Jahr und untersuchten Gesundheitskompetenz, Gesundheitsstatus und Gesundheitsverhalten.</w:t>
      </w:r>
    </w:p>
    <w:p>
      <w:r>
        <w:rPr>
          <w:b/>
        </w:rPr>
        <w:t xml:space="preserve">Ergebnis: </w:t>
      </w:r>
      <w:r>
        <w:t>Durchschnittliche Gesundheitskompetenzscores blieben stabil, zeigten aber heterogene individuelle Veränderungen. BMI stieg signifikant an. Selbstbewerteter Gesundheitsstatus verschlechterte sich bei Auszubildenden signifikant. Raucherquote stieg signifikant an, andere Gesundheitsverhalten blieben unverändert. Keine signifikanten Assoziationen zwischen Baseline-Gesundheitskompetenz und späteren Outcomes oder Verhalten.</w:t>
      </w:r>
    </w:p>
    <w:p>
      <w:r>
        <w:rPr>
          <w:b/>
          <w:sz w:val="19"/>
        </w:rPr>
        <w:t xml:space="preserve">Übertragbarkeit: </w:t>
      </w:r>
      <w:r>
        <w:rPr>
          <w:sz w:val="19"/>
        </w:rPr>
        <w:t>Deutsche Studie, Unterricht und Ausbildungssetting</w:t>
      </w:r>
    </w:p>
    <w:p>
      <w:r>
        <w:rPr>
          <w:color w:val="5A7D3A"/>
          <w:sz w:val="18"/>
        </w:rPr>
        <w:t>https://pubmed.ncbi.nlm.nih.gov/42876879/</w:t>
      </w:r>
    </w:p>
    <w:p>
      <w:pPr>
        <w:pStyle w:val="Heading2"/>
      </w:pPr>
      <w:r>
        <w:t>Technische Effizienz öffentlicher Gesundheitseinrichtungen</w:t>
      </w:r>
    </w:p>
    <w:p>
      <w:r>
        <w:rPr>
          <w:i/>
          <w:color w:val="666666"/>
          <w:sz w:val="18"/>
        </w:rPr>
        <w:t>Momina AU et al.  ·  BMC Health Serv Res  ·  13.10.2026  ·  PMID 42870268</w:t>
      </w:r>
    </w:p>
    <w:p>
      <w:r>
        <w:t>Datenabgrenzungsanalyse evaluierte die technische Effizienz von 100 öffentlichen Gesundheitseinrichtungen in Pakistan bei der Familienplanungsversorgung.</w:t>
      </w:r>
    </w:p>
    <w:p>
      <w:r>
        <w:rPr>
          <w:b/>
        </w:rPr>
        <w:t xml:space="preserve">Ergebnis: </w:t>
      </w:r>
      <w:r>
        <w:t>Die durchschnittliche Effizienzquote betrug 78 %. Basic Health Units und Rural Health Centers zeigten erhebliche Ressourcenoptimierungslücken. Eine negative Assoziation bestand zwischen der Anzahl alternativer Anbieter im Einzugsgebiet und der Effizienz, was die Bedeutung der Angebotsorientierung nach lokaler Nachfrage unterstreicht.</w:t>
      </w:r>
    </w:p>
    <w:p>
      <w:r>
        <w:rPr>
          <w:b/>
          <w:sz w:val="19"/>
        </w:rPr>
        <w:t xml:space="preserve">Übertragbarkeit: </w:t>
      </w:r>
      <w:r>
        <w:rPr>
          <w:sz w:val="19"/>
        </w:rPr>
        <w:t>Nur bedingt: andere Ressourcenlage, Gesundheitssystem-Kontext unterscheidet sich grundlegend</w:t>
      </w:r>
    </w:p>
    <w:p>
      <w:r>
        <w:rPr>
          <w:color w:val="5A7D3A"/>
          <w:sz w:val="18"/>
        </w:rPr>
        <w:t>https://pubmed.ncbi.nlm.nih.gov/42870268/</w:t>
      </w:r>
    </w:p>
    <w:p>
      <w:pPr>
        <w:pStyle w:val="Heading1"/>
      </w:pPr>
      <w:r>
        <w:t>Aufgenommen am 16.10.2026</w:t>
      </w:r>
    </w:p>
    <w:p>
      <w:pPr>
        <w:pStyle w:val="Heading2"/>
      </w:pPr>
      <w:r>
        <w:t>Medizinische Kunstfehlerfälle in Katalonien: 22 Jahre Trends</w:t>
      </w:r>
    </w:p>
    <w:p>
      <w:r>
        <w:rPr>
          <w:i/>
          <w:color w:val="666666"/>
          <w:sz w:val="18"/>
        </w:rPr>
        <w:t>Arimany-Manso J et al.  ·  Health Policy  ·  13.10.2026  ·  PMID 42879821</w:t>
      </w:r>
    </w:p>
    <w:p>
      <w:r>
        <w:t>Retrospektive Analyse von 22 Jahren Kunstfehlermeldungen im katalanischen Versicherungssystem mit Fokus auf Trends und Unterschiede zwischen Fachbereichen.</w:t>
      </w:r>
    </w:p>
    <w:p>
      <w:r>
        <w:rPr>
          <w:b/>
        </w:rPr>
        <w:t xml:space="preserve">Ergebnis: </w:t>
      </w:r>
      <w:r>
        <w:t>Bei 22 % Bevölkerungswachstum sanken Kunstfehlerfälle um 9,5 %, adjustierte Raten sogar um 26,1 % (p &lt; 0,0005). Chirurgische Fälle fielen um 34,0 %, Notfallmedizin um 20,5 %; mittlere Latenz zwischen Ereignis und Anspruch: 23,9 Monate. Dies widerspricht der Wahrnehmung steigender Fälle.</w:t>
      </w:r>
    </w:p>
    <w:p>
      <w:r>
        <w:rPr>
          <w:b/>
          <w:sz w:val="19"/>
        </w:rPr>
        <w:t xml:space="preserve">Übertragbarkeit: </w:t>
      </w:r>
      <w:r>
        <w:rPr>
          <w:sz w:val="19"/>
        </w:rPr>
        <w:t>Katalonisches Versicherungsmodell, vergleichbar mit deutschen Strukturen und Sozialversicherungen</w:t>
      </w:r>
    </w:p>
    <w:p>
      <w:r>
        <w:rPr>
          <w:color w:val="5A7D3A"/>
          <w:sz w:val="18"/>
        </w:rPr>
        <w:t>https://pubmed.ncbi.nlm.nih.gov/42879821/</w:t>
      </w:r>
    </w:p>
    <w:p>
      <w:pPr>
        <w:pStyle w:val="Heading2"/>
      </w:pPr>
      <w:r>
        <w:t>Langzeiteffekte von Community-Screening auf kardiovaskuläres Risiko und Verhalten</w:t>
      </w:r>
    </w:p>
    <w:p>
      <w:r>
        <w:rPr>
          <w:i/>
          <w:color w:val="666666"/>
          <w:sz w:val="18"/>
        </w:rPr>
        <w:t>Gani LU et al.  ·  Singapore Med J  ·  15.10.2026  ·  PMID 42879299</w:t>
      </w:r>
    </w:p>
    <w:p>
      <w:r>
        <w:t>Achtjährige Beobachtungsstudie (2011–2019): 28.565 Teilnehmer an ECHO-Screening; Auswertung der Auswirkungen auf Risikofaktoren, Arztbesuche und Gesundheitsverhalten.</w:t>
      </w:r>
    </w:p>
    <w:p>
      <w:r>
        <w:rPr>
          <w:b/>
        </w:rPr>
        <w:t xml:space="preserve">Ergebnis: </w:t>
      </w:r>
      <w:r>
        <w:t>12.762 Personen beim Screening teilgenommen, 5.977 (46,8 %) hatten abnorme Befunde; 56 % besuchten Hausarzt innerhalb eines Jahres. Bewohner von kostengünstigen Wohnungen zeigten höhere Besuchsraten (74 % vs. 52,5 %, p &lt; 0,001). Wiederholte ECHO-Teilnahme war mit verbesserten kardiomet. Indikatoren assoziiert trotz bescheidener Verhaltensänderungen.</w:t>
      </w:r>
    </w:p>
    <w:p>
      <w:r>
        <w:rPr>
          <w:b/>
          <w:sz w:val="19"/>
        </w:rPr>
        <w:t xml:space="preserve">Übertragbarkeit: </w:t>
      </w:r>
      <w:r>
        <w:rPr>
          <w:sz w:val="19"/>
        </w:rPr>
        <w:t>Singapur, vergleichbare Mehrschichtstruktur; Befunde zu niederschwelligem Screening in Gemeinden übertragbar</w:t>
      </w:r>
    </w:p>
    <w:p>
      <w:r>
        <w:rPr>
          <w:color w:val="5A7D3A"/>
          <w:sz w:val="18"/>
        </w:rPr>
        <w:t>https://pubmed.ncbi.nlm.nih.gov/42879299/</w:t>
      </w:r>
    </w:p>
    <w:p>
      <w:pPr>
        <w:pStyle w:val="Heading2"/>
      </w:pPr>
      <w:r>
        <w:t>Telehealth bei Morbus Parkinson: Urbane vs. ländliche Disparitäten</w:t>
      </w:r>
    </w:p>
    <w:p>
      <w:r>
        <w:rPr>
          <w:i/>
          <w:color w:val="666666"/>
          <w:sz w:val="18"/>
        </w:rPr>
        <w:t>Gros P et al.  ·  Can J Neurol Sci  ·  15.10.2026  ·  PMID 42878209</w:t>
      </w:r>
    </w:p>
    <w:p>
      <w:r>
        <w:t>Populationsgestützte Querschnittsstudie von 24.736 Patienten mit Parkinson in Ontario (März 2020–August 2023) zur Telehealth-Nutzung in Stadt vs. Land.</w:t>
      </w:r>
    </w:p>
    <w:p>
      <w:r>
        <w:rPr>
          <w:b/>
        </w:rPr>
        <w:t xml:space="preserve">Ergebnis: </w:t>
      </w:r>
      <w:r>
        <w:t>Ländliche Patienten hatten signifikant niedrigere Telehealth-Raten zu Neurologen (aRR 0,93; 95%-KI 0,90–0,96), Hausärzten (aRR 0,73; 95%-KI 0,70–0,77) und Geriatrie/Psychiatrie (aRR 0,67; 95%-KI 0,65–0,77). Telehealth fiel über 3,5 Jahre bei Neurologen auf aRR 0,23, bei Hausärzten auf aRR 0,39.</w:t>
      </w:r>
    </w:p>
    <w:p>
      <w:r>
        <w:rPr>
          <w:b/>
          <w:sz w:val="19"/>
        </w:rPr>
        <w:t xml:space="preserve">Übertragbarkeit: </w:t>
      </w:r>
      <w:r>
        <w:rPr>
          <w:sz w:val="19"/>
        </w:rPr>
        <w:t>Kanada, steuerfinanziert; Befunde zu Zugangsungleichheit sind systemunabhängig relevant</w:t>
      </w:r>
    </w:p>
    <w:p>
      <w:r>
        <w:rPr>
          <w:color w:val="5A7D3A"/>
          <w:sz w:val="18"/>
        </w:rPr>
        <w:t>https://pubmed.ncbi.nlm.nih.gov/42878209/</w:t>
      </w:r>
    </w:p>
    <w:p>
      <w:pPr>
        <w:pStyle w:val="Heading2"/>
      </w:pPr>
      <w:r>
        <w:t>SMS-Erinnerungen zur Zervixkrebsvorsorge: Effektivität bei Massenimplementierung</w:t>
      </w:r>
    </w:p>
    <w:p>
      <w:r>
        <w:rPr>
          <w:i/>
          <w:color w:val="666666"/>
          <w:sz w:val="18"/>
        </w:rPr>
        <w:t>Nichol B et al.  ·  Lancet Prim Care  ·  Sept. 2026  ·  PMID 42877070</w:t>
      </w:r>
    </w:p>
    <w:p>
      <w:r>
        <w:t>Rückwirkende Analyse der flächendeckenden Einführung von GP-unterstützten SMS-Erinnerungen für Zervixkrebsscreenings in London (Juni 2021–März 2024).</w:t>
      </w:r>
    </w:p>
    <w:p>
      <w:r>
        <w:rPr>
          <w:b/>
        </w:rPr>
        <w:t xml:space="preserve">Ergebnis: </w:t>
      </w:r>
      <w:r>
        <w:t>Von 3.127.759 Personen erhielten 2.112.003 (67,5 %) SMS-Erinnerungen. Teilnahmequote mit SMS: 51,7 % vs. ohne SMS: 25,0 %; Odds Ratio 3,36 (95%-KI 3,31–3,40, p &lt; 0,0001). SMS-Versand stieg Teilnahme um 1,7 Prozentpunkte.</w:t>
      </w:r>
    </w:p>
    <w:p>
      <w:r>
        <w:rPr>
          <w:b/>
          <w:sz w:val="19"/>
        </w:rPr>
        <w:t xml:space="preserve">Übertragbarkeit: </w:t>
      </w:r>
      <w:r>
        <w:rPr>
          <w:sz w:val="19"/>
        </w:rPr>
        <w:t>Britische Primärversorgung, gut übertragbar auf deutsche Screeningprogramme in der Hausarztpraxis</w:t>
      </w:r>
    </w:p>
    <w:p>
      <w:r>
        <w:rPr>
          <w:color w:val="5A7D3A"/>
          <w:sz w:val="18"/>
        </w:rPr>
        <w:t>https://pubmed.ncbi.nlm.nih.gov/42877070/</w:t>
      </w:r>
    </w:p>
    <w:p>
      <w:pPr>
        <w:pStyle w:val="Heading2"/>
      </w:pPr>
      <w:r>
        <w:t>Generationensolidarität in der Pandemie: Geschlechter- und Altersstereotype in deutschen Medien</w:t>
      </w:r>
    </w:p>
    <w:p>
      <w:r>
        <w:rPr>
          <w:i/>
          <w:color w:val="666666"/>
          <w:sz w:val="18"/>
        </w:rPr>
        <w:t>Boser EK et al.  ·  Int J Equity Health  ·  12.10.2026  ·  PMID 42875791</w:t>
      </w:r>
    </w:p>
    <w:p>
      <w:r>
        <w:t>Qualitative Inhaltsanalyse von 351 Artikeln aus zwei großen deutschen Wochenzeitungen (März 2020–Juni 2022) zur Verschränkung von Generationen-, Geschlechter- und Altersdebatten während COVID-19.</w:t>
      </w:r>
    </w:p>
    <w:p>
      <w:r>
        <w:rPr>
          <w:b/>
        </w:rPr>
        <w:t xml:space="preserve">Ergebnis: </w:t>
      </w:r>
      <w:r>
        <w:t>Mediendebatten zeigten Verwobenheit von Altersrassismus und Geschlechternormen. Zwei paradigmatische Fälle offenbarten persistente geschlechts- und altersspezifische Annahmen über Moralakteure und Solidaritätserwartungen. Festgestellte gendered age divide widerlegt simplistische Solidaritätsnarrative und bekräftigt Notwendigkeit intersektionaler Perspektiven.</w:t>
      </w:r>
    </w:p>
    <w:p>
      <w:r>
        <w:rPr>
          <w:b/>
          <w:sz w:val="19"/>
        </w:rPr>
        <w:t xml:space="preserve">Übertragbarkeit: </w:t>
      </w:r>
      <w:r>
        <w:rPr>
          <w:sz w:val="19"/>
        </w:rPr>
        <w:t>Deutsche Medienanalyse, direkt auf deutsches Versorgungssystem und Gesundheitspolitik anwendbar</w:t>
      </w:r>
    </w:p>
    <w:p>
      <w:r>
        <w:rPr>
          <w:color w:val="5A7D3A"/>
          <w:sz w:val="18"/>
        </w:rPr>
        <w:t>https://pubmed.ncbi.nlm.nih.gov/42875791/</w:t>
      </w:r>
    </w:p>
    <w:p>
      <w:pPr>
        <w:pStyle w:val="Heading2"/>
      </w:pPr>
      <w:r>
        <w:t>Kosteneffektivität von Rehabilitations-Follow-up zuhause statt in Einrichtungen</w:t>
      </w:r>
    </w:p>
    <w:p>
      <w:r>
        <w:rPr>
          <w:i/>
          <w:color w:val="666666"/>
          <w:sz w:val="18"/>
        </w:rPr>
        <w:t>Gamble CJ et al.  ·  Eur J Health Econ  ·  15.10.2026  ·  PMID 42875712</w:t>
      </w:r>
    </w:p>
    <w:p>
      <w:r>
        <w:t>Prospektive Kohortenstudie mit historischer Kontrolle: Vergleich von Heimrehabilitation nach verkürztem stationärem Aufenthalt versus konventioneller rein stationärer Rehabilitation (350 Patienten, 8 niederländische Zentren).</w:t>
      </w:r>
    </w:p>
    <w:p>
      <w:r>
        <w:rPr>
          <w:b/>
        </w:rPr>
        <w:t xml:space="preserve">Ergebnis: </w:t>
      </w:r>
      <w:r>
        <w:t>Incremental Effect: 0,44 Barthel-Index-Punkte (95%-KI −0,44 bis 1,31); Kosten: −€722,63 (95%-KI −€2.693,68 bis €1.248,43). Adjustierte Kosten betrugen −€654,72 pro Patient (95%-KI −€1.035,66 bis −€267,48). Better@Home erzielte vergleichbare ADL-Unabhängigkeit bei niedrigeren Kosten.</w:t>
      </w:r>
    </w:p>
    <w:p>
      <w:r>
        <w:rPr>
          <w:b/>
          <w:sz w:val="19"/>
        </w:rPr>
        <w:t xml:space="preserve">Übertragbarkeit: </w:t>
      </w:r>
      <w:r>
        <w:rPr>
          <w:sz w:val="19"/>
        </w:rPr>
        <w:t>Niederlande, Sozialversicherungssystem mit ähnlicher Versorgungsstruktur wie Deutschland</w:t>
      </w:r>
    </w:p>
    <w:p>
      <w:r>
        <w:rPr>
          <w:color w:val="5A7D3A"/>
          <w:sz w:val="18"/>
        </w:rPr>
        <w:t>https://pubmed.ncbi.nlm.nih.gov/42875712/</w:t>
      </w:r>
    </w:p>
    <w:p>
      <w:pPr>
        <w:pStyle w:val="Heading1"/>
      </w:pPr>
      <w:r>
        <w:t>Aufgenommen am 15.10.2026</w:t>
      </w:r>
    </w:p>
    <w:p>
      <w:pPr>
        <w:pStyle w:val="Heading2"/>
      </w:pPr>
      <w:r>
        <w:t>Online-Diabetesschulung in England: Langzeit-Kosteneffektivität einer kostenlosen Interventionen</w:t>
      </w:r>
    </w:p>
    <w:p>
      <w:r>
        <w:rPr>
          <w:i/>
          <w:color w:val="666666"/>
          <w:sz w:val="18"/>
        </w:rPr>
        <w:t>Paterson L et al.  ·  Diabet Med  ·  14.10.2026  ·  PMID 42875188</w:t>
      </w:r>
    </w:p>
    <w:p>
      <w:r>
        <w:t>Eine Simulation mit Routinedaten zur Kosteneffektivität eines kostenlosen Online-Schulungsprogramms für Typ-2-Diabetes in England über die gesamte Lebensspanne.</w:t>
      </w:r>
    </w:p>
    <w:p>
      <w:r>
        <w:rPr>
          <w:b/>
        </w:rPr>
        <w:t xml:space="preserve">Ergebnis: </w:t>
      </w:r>
      <w:r>
        <w:t>Modest improvement in health (0,016 QALYs), kleine Reduktion der Lebenszeit-Kosten (-4 £/Person), netto £216/Nutzer mit Cost-per-QALY von £13.192 unter dem NICE-Schwellenwert (£25.000/QALY), also kosteneffektiv.</w:t>
      </w:r>
    </w:p>
    <w:p>
      <w:r>
        <w:rPr>
          <w:b/>
          <w:sz w:val="19"/>
        </w:rPr>
        <w:t xml:space="preserve">Übertragbarkeit: </w:t>
      </w:r>
      <w:r>
        <w:rPr>
          <w:sz w:val="19"/>
        </w:rPr>
        <w:t>England, NHS-Perspektive; teilweise übertragbar auf deutsche gesetzliche Krankenversicherung bei ähnlichen Interventionskosten.</w:t>
      </w:r>
    </w:p>
    <w:p>
      <w:r>
        <w:rPr>
          <w:color w:val="5A7D3A"/>
          <w:sz w:val="18"/>
        </w:rPr>
        <w:t>https://pubmed.ncbi.nlm.nih.gov/42875188/</w:t>
      </w:r>
    </w:p>
    <w:p>
      <w:pPr>
        <w:pStyle w:val="Heading2"/>
      </w:pPr>
      <w:r>
        <w:t>Versorgungsungleichheiten bei kolorektalen Lebermetastasen in England</w:t>
      </w:r>
    </w:p>
    <w:p>
      <w:r>
        <w:rPr>
          <w:i/>
          <w:color w:val="666666"/>
          <w:sz w:val="18"/>
        </w:rPr>
        <w:t>Saito MK et al.  ·  J Cancer Policy  ·  14.10.2026  ·  PMID 42874958</w:t>
      </w:r>
    </w:p>
    <w:p>
      <w:r>
        <w:t>Analyse von Versorgungsungleichheiten in der Leberteilresektion bei synchronen/metachronen Lebermetastasen nach sozioökonomischem Status.</w:t>
      </w:r>
    </w:p>
    <w:p>
      <w:r>
        <w:rPr>
          <w:b/>
        </w:rPr>
        <w:t xml:space="preserve">Ergebnis: </w:t>
      </w:r>
      <w:r>
        <w:t>Kumulative Resektions-/Ablationsraten 8,7% (synchron) bzw. 23,5% (metachron); adjusted Ungleichheitslücke zwischen ärmster und wohlhabendster Gruppe 2,6% bei synchronen Metastasen, 1,0% bei metachronen.</w:t>
      </w:r>
    </w:p>
    <w:p>
      <w:r>
        <w:rPr>
          <w:b/>
          <w:sz w:val="19"/>
        </w:rPr>
        <w:t xml:space="preserve">Übertragbarkeit: </w:t>
      </w:r>
      <w:r>
        <w:rPr>
          <w:sz w:val="19"/>
        </w:rPr>
        <w:t>Englische Krebsregisterdaten; Befunde zur equity-gap in der Spezialisten-Zuweisung relevant für deutsche Diskussion zur Gleichheit der Krebsversorgung.</w:t>
      </w:r>
    </w:p>
    <w:p>
      <w:r>
        <w:rPr>
          <w:color w:val="5A7D3A"/>
          <w:sz w:val="18"/>
        </w:rPr>
        <w:t>https://pubmed.ncbi.nlm.nih.gov/42874958/</w:t>
      </w:r>
    </w:p>
    <w:p>
      <w:pPr>
        <w:pStyle w:val="Heading2"/>
      </w:pPr>
      <w:r>
        <w:t>Langzeitprognose zwangsweise psychiatrisch behandelter Personen in Norwegen</w:t>
      </w:r>
    </w:p>
    <w:p>
      <w:r>
        <w:rPr>
          <w:i/>
          <w:color w:val="666666"/>
          <w:sz w:val="18"/>
        </w:rPr>
        <w:t>Hofstad T et al.  ·  Lancet Psychiatry  ·  Nov. 2026  ·  PMID 42874602</w:t>
      </w:r>
    </w:p>
    <w:p>
      <w:r>
        <w:t>Nationale Registerstudie zur Langzeitprognose (Gesundheit, Kriminalität, Sozioökonomie) bei Personen mit Zwangsbetreuung, Zwangseinweisung und freiwilliger Behandlung.</w:t>
      </w:r>
    </w:p>
    <w:p>
      <w:r>
        <w:rPr>
          <w:b/>
        </w:rPr>
        <w:t xml:space="preserve">Ergebnis: </w:t>
      </w:r>
      <w:r>
        <w:t>Zwangsbetreuungsgruppen zeigten deutlich schlechtere Outcomes: Selbstschadensrisiko in Beobachtungsgruppe 12% (Frauen) vs. 5,5% (Männer); Substanzstörung 39-53%; Gewalt-/Sexualvergehen 14-37%; Invalidenrente CTOs 89-93%; 55,7% der Todesfälle durch Suizid/externe Ursachen.</w:t>
      </w:r>
    </w:p>
    <w:p>
      <w:r>
        <w:rPr>
          <w:b/>
          <w:sz w:val="19"/>
        </w:rPr>
        <w:t xml:space="preserve">Übertragbarkeit: </w:t>
      </w:r>
      <w:r>
        <w:rPr>
          <w:sz w:val="19"/>
        </w:rPr>
        <w:t>Norwegische Registerdaten, ähnlich skandinavisches Gesundheitssystem; Outcomes-Benchmarks für Versorgungsplanung relevant auch für deutsche Psychiatrie.</w:t>
      </w:r>
    </w:p>
    <w:p>
      <w:r>
        <w:rPr>
          <w:color w:val="5A7D3A"/>
          <w:sz w:val="18"/>
        </w:rPr>
        <w:t>https://pubmed.ncbi.nlm.nih.gov/42874602/</w:t>
      </w:r>
    </w:p>
    <w:p>
      <w:pPr>
        <w:pStyle w:val="Heading2"/>
      </w:pPr>
      <w:r>
        <w:t>Digitale Zwillinge und Patientenrechte: Qualitative Studie mit älteren Patienten</w:t>
      </w:r>
    </w:p>
    <w:p>
      <w:r>
        <w:rPr>
          <w:i/>
          <w:color w:val="666666"/>
          <w:sz w:val="18"/>
        </w:rPr>
        <w:t>Zhang W et al.  ·  BMC Health Serv Res  ·  27.08.2026  ·  PMID 42870264</w:t>
      </w:r>
    </w:p>
    <w:p>
      <w:r>
        <w:t>Qualitative Studie (22 Interviews) zu Perspektiven älterer Patienten (≥65 Jahren) mit chronischen Erkrankungen auf die Verwendung ihrer Daten für Virtual Models/digitale Zwillinge.</w:t>
      </w:r>
    </w:p>
    <w:p>
      <w:r>
        <w:rPr>
          <w:b/>
        </w:rPr>
        <w:t xml:space="preserve">Ergebnis: </w:t>
      </w:r>
      <w:r>
        <w:t>Fünf zentrale Themen: (1) Konzeptuelle Undurchsichtigkeit, (2) existenzielles Unbehagen vor manipulierbarem digitalen Abbild ('uncanny self'), (3) Zustimmungsinadäquanz, (4) 'trapped self' (irreversible Datenintegration), (5) Forderung nach Benachrichtigung, laufender Zustimmung, digitaler Löschung und Transparenz.</w:t>
      </w:r>
    </w:p>
    <w:p>
      <w:r>
        <w:rPr>
          <w:b/>
          <w:sz w:val="19"/>
        </w:rPr>
        <w:t xml:space="preserve">Übertragbarkeit: </w:t>
      </w:r>
      <w:r>
        <w:rPr>
          <w:sz w:val="19"/>
        </w:rPr>
        <w:t>Qualitative britische Studie (Wenzhou, China); Befunde zu Patientenperspektive auf KI-Datenverwertung systemübergreifend relevant für deutsche Governance und Ethik.</w:t>
      </w:r>
    </w:p>
    <w:p>
      <w:r>
        <w:rPr>
          <w:color w:val="5A7D3A"/>
          <w:sz w:val="18"/>
        </w:rPr>
        <w:t>https://pubmed.ncbi.nlm.nih.gov/42870264/</w:t>
      </w:r>
    </w:p>
    <w:p>
      <w:pPr>
        <w:pStyle w:val="Heading2"/>
      </w:pPr>
      <w:r>
        <w:t>Patientenwahl des Hausarztes: Kontextuelle Hindernisse in Schweden</w:t>
      </w:r>
    </w:p>
    <w:p>
      <w:r>
        <w:rPr>
          <w:i/>
          <w:color w:val="666666"/>
          <w:sz w:val="18"/>
        </w:rPr>
        <w:t>Blomberg-Ohlström C et al.  ·  BMC Health Serv Res  ·  11.10.2026  ·  PMID 42870246</w:t>
      </w:r>
    </w:p>
    <w:p>
      <w:r>
        <w:t>Qualitative Studie (18 Interviews) zu Bedingungen, die Wahlentscheidungen für Hausarztpraxen beeinflussen; Vergleich mit Wahlen von Pflege- und Schulservices.</w:t>
      </w:r>
    </w:p>
    <w:p>
      <w:r>
        <w:rPr>
          <w:b/>
        </w:rPr>
        <w:t xml:space="preserve">Ergebnis: </w:t>
      </w:r>
      <w:r>
        <w:t>Fünf Kontextfaktoren für niedrige Wahlaktivität: (1) geringe Wahlnotwendigkeit, (2) unsichtbare Anbieterunterschied, (3) Erwartung gleicher Qualität, (4) persönliche Beziehungen, (5) Kontinuität der Beziehung; weniger Informationssuche als bei anderen Dienstleistungen.</w:t>
      </w:r>
    </w:p>
    <w:p>
      <w:r>
        <w:rPr>
          <w:b/>
          <w:sz w:val="19"/>
        </w:rPr>
        <w:t xml:space="preserve">Übertragbarkeit: </w:t>
      </w:r>
      <w:r>
        <w:rPr>
          <w:sz w:val="19"/>
        </w:rPr>
        <w:t>Schwedische qualitative Studie; Befunde zu Wahl-Hürden im Hausarztsektor übertragbar auf deutsches Modell mit begrenztem Wettbewerb.</w:t>
      </w:r>
    </w:p>
    <w:p>
      <w:r>
        <w:rPr>
          <w:color w:val="5A7D3A"/>
          <w:sz w:val="18"/>
        </w:rPr>
        <w:t>https://pubmed.ncbi.nlm.nih.gov/42870246/</w:t>
      </w:r>
    </w:p>
    <w:p>
      <w:pPr>
        <w:pStyle w:val="Heading2"/>
      </w:pPr>
      <w:r>
        <w:t>Nurse-Navigation bei Krebspatienten: RCT-Ergebnisse aus Sachsen</w:t>
      </w:r>
    </w:p>
    <w:p>
      <w:r>
        <w:rPr>
          <w:i/>
          <w:color w:val="666666"/>
          <w:sz w:val="18"/>
        </w:rPr>
        <w:t>Porzig R et al.  ·  Res Health Serv Reg  ·  14.10.2026  ·  PMID 42870145</w:t>
      </w:r>
    </w:p>
    <w:p>
      <w:r>
        <w:t>Randomisierte kontrollierte Studie zur Wirkung eines 12-Monate-Nurse-Navigation-Programms (Onkolotse) auf Krankenhausaufenthalte, psychische Belastung und Kosten.</w:t>
      </w:r>
    </w:p>
    <w:p>
      <w:r>
        <w:rPr>
          <w:b/>
        </w:rPr>
        <w:t xml:space="preserve">Ergebnis: </w:t>
      </w:r>
      <w:r>
        <w:t>Hospitalisierungsrate ITT 43,9% (Intervention) vs. 51,6% (Kontrolle), n.s. (OR 0,74, 95% CI 0,45–1,20, p=0,219); HADS-Angst Δ-0,75 (n.s.), Depression Δ-0,56 (n.s.); Kosten median 14.224€ vs. 12.560€ (n.s.).</w:t>
      </w:r>
    </w:p>
    <w:p>
      <w:r>
        <w:rPr>
          <w:b/>
          <w:sz w:val="19"/>
        </w:rPr>
        <w:t xml:space="preserve">Übertragbarkeit: </w:t>
      </w:r>
      <w:r>
        <w:rPr>
          <w:sz w:val="19"/>
        </w:rPr>
        <w:t>Deutsche Studie (Sachsen, 258 Patienten, 2017–2022); direkt relevant für deutsches Versorgungssystem, dennoch unterversorgt (statistische Kraft unzureichend).</w:t>
      </w:r>
    </w:p>
    <w:p>
      <w:r>
        <w:rPr>
          <w:color w:val="5A7D3A"/>
          <w:sz w:val="18"/>
        </w:rPr>
        <w:t>https://pubmed.ncbi.nlm.nih.gov/42870145/</w:t>
      </w:r>
    </w:p>
    <w:p>
      <w:pPr>
        <w:pStyle w:val="Heading1"/>
      </w:pPr>
      <w:r>
        <w:t>Aufgenommen am 14.10.2026</w:t>
      </w:r>
    </w:p>
    <w:p>
      <w:pPr>
        <w:pStyle w:val="Heading2"/>
      </w:pPr>
      <w:r>
        <w:t>Stepped-Care-Modell für Opioidabhängige: Besserer Zugang zu Medikamenten</w:t>
      </w:r>
    </w:p>
    <w:p>
      <w:r>
        <w:rPr>
          <w:i/>
          <w:color w:val="666666"/>
          <w:sz w:val="18"/>
        </w:rPr>
        <w:t>Li H et al.  ·  Health Serv Res  ·  Okt. 2026  ·  PMID 42869778</w:t>
      </w:r>
    </w:p>
    <w:p>
      <w:r>
        <w:t>Eine US-Studie evaluierte, ob ein nationales Trainings-Programm (SCOUTT) zur Ausweitung der medikamentösen Opioidbehandlung in Primärversorgung und psychischen Gesundheitssettings bei obdacherfahrenen Veterans erfolgreicher war als reguläre Versorgung.</w:t>
      </w:r>
    </w:p>
    <w:p>
      <w:r>
        <w:rPr>
          <w:b/>
        </w:rPr>
        <w:t xml:space="preserve">Ergebnis: </w:t>
      </w:r>
      <w:r>
        <w:t>Patienten in SCOUTT-Einrichtungen erhielten signifikant häufiger Medikamentöse Opioidbehandlung (6,16 Prozentpunkte mehr jegliche MOUD, 7,16 Punkte mehr Buprenorphin; beides 95%-KI statistisch signifikant). Die Differenz-in-Differenzen-Analyse bestätigte diese Ergebnisse (7,85 bzw. 9,31 Punkte Unterschied).</w:t>
      </w:r>
    </w:p>
    <w:p>
      <w:r>
        <w:rPr>
          <w:b/>
          <w:sz w:val="19"/>
        </w:rPr>
        <w:t xml:space="preserve">Übertragbarkeit: </w:t>
      </w:r>
      <w:r>
        <w:rPr>
          <w:sz w:val="19"/>
        </w:rPr>
        <w:t>US-Veteranen-System, eingeschränkte Übertragbarkeit auf deutsche Sozialversicherung</w:t>
      </w:r>
    </w:p>
    <w:p>
      <w:r>
        <w:rPr>
          <w:color w:val="5A7D3A"/>
          <w:sz w:val="18"/>
        </w:rPr>
        <w:t>https://pubmed.ncbi.nlm.nih.gov/42869778/</w:t>
      </w:r>
    </w:p>
    <w:p>
      <w:pPr>
        <w:pStyle w:val="Heading2"/>
      </w:pPr>
      <w:r>
        <w:t>Psychische Erkrankungen nach Klinikentlassung: Familien und Profis teilen Medikamenten-Verantwortung</w:t>
      </w:r>
    </w:p>
    <w:p>
      <w:r>
        <w:rPr>
          <w:i/>
          <w:color w:val="666666"/>
          <w:sz w:val="18"/>
        </w:rPr>
        <w:t>Jeffries M et al.  ·  Soc Sci Med  ·  08.10.2026  ·  PMID 42868728</w:t>
      </w:r>
    </w:p>
    <w:p>
      <w:r>
        <w:t>Eine britische Qualitativstudie mit 34 Interviews (Patienten, Angehörige, Gesundheitsfachleute) untersuchte, welche Unterstützungsnetzwerke für sichere Medikamentenadhärenz nach psychiatrischer Klinikentlassung notwendig sind.</w:t>
      </w:r>
    </w:p>
    <w:p>
      <w:r>
        <w:rPr>
          <w:b/>
        </w:rPr>
        <w:t xml:space="preserve">Ergebnis: </w:t>
      </w:r>
      <w:r>
        <w:t>Kernfinding: Medikamentensicherheit nach Entlassung beruht stark auf Unterstützungsnetzwerken und der Medikamenten-'Arbeit' von Patienten und Angehörigen. Professionelle Gesundheitsfachleute spielen eine zentrale, aber variable und kontextabhängige Rolle. Notwendigkeit erkannt: Stärkere Anerkennung von Sozialkontakten und 'situated medicines work' für bessere Sicherheit.</w:t>
      </w:r>
    </w:p>
    <w:p>
      <w:r>
        <w:rPr>
          <w:b/>
          <w:sz w:val="19"/>
        </w:rPr>
        <w:t xml:space="preserve">Übertragbarkeit: </w:t>
      </w:r>
      <w:r>
        <w:rPr>
          <w:sz w:val="19"/>
        </w:rPr>
        <w:t>Großbritannien, NHS-System; Erkenntnisse zu Netzwerken übertragbar auf deutsche Gemeindepsychiatrie</w:t>
      </w:r>
    </w:p>
    <w:p>
      <w:r>
        <w:rPr>
          <w:color w:val="5A7D3A"/>
          <w:sz w:val="18"/>
        </w:rPr>
        <w:t>https://pubmed.ncbi.nlm.nih.gov/42868728/</w:t>
      </w:r>
    </w:p>
    <w:p>
      <w:pPr>
        <w:pStyle w:val="Heading2"/>
      </w:pPr>
      <w:r>
        <w:t>Arbeit und Therapietreue: Sozialer Zusammenhalt im Beruf fördert Adherence</w:t>
      </w:r>
    </w:p>
    <w:p>
      <w:r>
        <w:rPr>
          <w:i/>
          <w:color w:val="666666"/>
          <w:sz w:val="18"/>
        </w:rPr>
        <w:t>Aalbers E et al.  ·  PLoS One  ·  13.10.2026  ·  PMID 42868134</w:t>
      </w:r>
    </w:p>
    <w:p>
      <w:r>
        <w:t>Eine niederländische Querschnittsstudie untersuchte bei 309 berufstätigen Personen mit chronischen Erkrankungen, wie Arbeitsmerkmale (Umfang, Anforderungen, Inklusion) mit der Einhaltung von Medikamenten- und Termintreue assoziiert sind.</w:t>
      </w:r>
    </w:p>
    <w:p>
      <w:r>
        <w:rPr>
          <w:b/>
        </w:rPr>
        <w:t xml:space="preserve">Ergebnis: </w:t>
      </w:r>
      <w:r>
        <w:t>Therapietreue-Rate betrug 56 Prozent. Soziale Inklusion am Arbeitsplatz erhöhte die Adhärenz signifikant (adjustierte OR 1,50, 95%-KI 1,00-2,25, p=0,049). Moderate physische Arbeitsanforderungen waren mit niedrigerer Adhärenz assoziiert (aOR 0,49, 95%-KI 0,26-0,92, p=0,026).</w:t>
      </w:r>
    </w:p>
    <w:p>
      <w:r>
        <w:rPr>
          <w:b/>
          <w:sz w:val="19"/>
        </w:rPr>
        <w:t xml:space="preserve">Übertragbarkeit: </w:t>
      </w:r>
      <w:r>
        <w:rPr>
          <w:sz w:val="19"/>
        </w:rPr>
        <w:t>Niederlande, vergleichbares Sozialversicherungssystem mit chronisch kranker Erwerbsbevölkerung</w:t>
      </w:r>
    </w:p>
    <w:p>
      <w:r>
        <w:rPr>
          <w:color w:val="5A7D3A"/>
          <w:sz w:val="18"/>
        </w:rPr>
        <w:t>https://pubmed.ncbi.nlm.nih.gov/42868134/</w:t>
      </w:r>
    </w:p>
    <w:p>
      <w:pPr>
        <w:pStyle w:val="Heading2"/>
      </w:pPr>
      <w:r>
        <w:t>Digitale Fragebögien vor Arztbesuch: Dokumentation wird vollständiger</w:t>
      </w:r>
    </w:p>
    <w:p>
      <w:r>
        <w:rPr>
          <w:i/>
          <w:color w:val="666666"/>
          <w:sz w:val="18"/>
        </w:rPr>
        <w:t>Roemer A et al.  ·  BMC Health Serv Res  ·  09.10.2026  ·  PMID 42864663</w:t>
      </w:r>
    </w:p>
    <w:p>
      <w:r>
        <w:t>Eine deutschsprachige Pilotstudie (n=43) aus Rheumatologie, Dermatologie und Orthopädie testete, ob computergenerierte Patientenfragebögien mit standardisierter Zusammenfassung vor dem Termin die Vollständigkeit der klinischen Dokumentation verbessert.</w:t>
      </w:r>
    </w:p>
    <w:p>
      <w:r>
        <w:rPr>
          <w:b/>
        </w:rPr>
        <w:t xml:space="preserve">Ergebnis: </w:t>
      </w:r>
      <w:r>
        <w:t>Dokumentationsvollständigkeit stieg von 46,9 Prozent (Kontrolle) auf 100 Prozent (Intervention) im Median (p&lt;0,001). Alle Interventions-Patienten hatten die generierte Zusammenfassung in der Krankenakte. 95,3 Prozent der Patienten und 100 Prozent der Ärzte befürworteten das System.</w:t>
      </w:r>
    </w:p>
    <w:p>
      <w:r>
        <w:rPr>
          <w:b/>
          <w:sz w:val="19"/>
        </w:rPr>
        <w:t xml:space="preserve">Übertragbarkeit: </w:t>
      </w:r>
      <w:r>
        <w:rPr>
          <w:sz w:val="19"/>
        </w:rPr>
        <w:t>Deutsche Studienzentren, direkt anwendbar auf deutsches Versorgungssystem</w:t>
      </w:r>
    </w:p>
    <w:p>
      <w:r>
        <w:rPr>
          <w:color w:val="5A7D3A"/>
          <w:sz w:val="18"/>
        </w:rPr>
        <w:t>https://pubmed.ncbi.nlm.nih.gov/42864663/</w:t>
      </w:r>
    </w:p>
    <w:p>
      <w:pPr>
        <w:pStyle w:val="Heading2"/>
      </w:pPr>
      <w:r>
        <w:t>Hausärzte-Ausbildung: Umgang mit Unsicherheit muss trainiert werden</w:t>
      </w:r>
    </w:p>
    <w:p>
      <w:r>
        <w:rPr>
          <w:i/>
          <w:color w:val="666666"/>
          <w:sz w:val="18"/>
        </w:rPr>
        <w:t>Dreher AC et al.  ·  BMC Med Educ  ·  12.10.2026  ·  PMID 42864649</w:t>
      </w:r>
    </w:p>
    <w:p>
      <w:r>
        <w:t>Eine qualitative Studie mit 22 deutschen Hausarzt-Weiterbildungsassistenten (Heidelberg) explorierte, wie Ärzte-in-Ausbildung Unsicherheit in der Primärversorgung erleben und bewältigen.</w:t>
      </w:r>
    </w:p>
    <w:p>
      <w:r>
        <w:rPr>
          <w:b/>
        </w:rPr>
        <w:t xml:space="preserve">Ergebnis: </w:t>
      </w:r>
      <w:r>
        <w:t>Trainees berichten von Unsicherheit auf drei Ebenen: Selbstzweifel (intrapersonal), Patientenfaktoren (interpersonal) und Kontext (systemisch). Bewältigungsstrategien waren Abwarten, Kollegenrat, externe Quellen und Intuition. Kernaussage: Gezieltes Training für Unsicherheitsmanagement fehlt und wäre nötig.</w:t>
      </w:r>
    </w:p>
    <w:p>
      <w:r>
        <w:rPr>
          <w:b/>
          <w:sz w:val="19"/>
        </w:rPr>
        <w:t xml:space="preserve">Übertragbarkeit: </w:t>
      </w:r>
      <w:r>
        <w:rPr>
          <w:sz w:val="19"/>
        </w:rPr>
        <w:t>Deutsche Hausarzt-Weiterbildung, direkt auf deutsche Versorgung anwendbar</w:t>
      </w:r>
    </w:p>
    <w:p>
      <w:r>
        <w:rPr>
          <w:color w:val="5A7D3A"/>
          <w:sz w:val="18"/>
        </w:rPr>
        <w:t>https://pubmed.ncbi.nlm.nih.gov/42864649/</w:t>
      </w:r>
    </w:p>
    <w:p>
      <w:pPr>
        <w:pStyle w:val="Heading2"/>
      </w:pPr>
      <w:r>
        <w:t>Lebensqualität bei chronischen Wunden: Spanische Cutoff-Werte für klinische Praxis</w:t>
      </w:r>
    </w:p>
    <w:p>
      <w:r>
        <w:rPr>
          <w:i/>
          <w:color w:val="666666"/>
          <w:sz w:val="18"/>
        </w:rPr>
        <w:t>Horcajada-Reales C et al.  ·  Int Wound J  ·  Okt. 2026  ·  PMID 42830425</w:t>
      </w:r>
    </w:p>
    <w:p>
      <w:r>
        <w:t>Eine spanische Validierungsstudie (n=323 Baseline, n=197 Retest) etablierte klinisch interpretierbare Schwellenwerte und Responsivitätsmaße für das Wound-QoL-14-Instrument zur Messung von Wundassoziierter Lebensqualität.</w:t>
      </w:r>
    </w:p>
    <w:p>
      <w:r>
        <w:rPr>
          <w:b/>
        </w:rPr>
        <w:t xml:space="preserve">Ergebnis: </w:t>
      </w:r>
      <w:r>
        <w:t>Einfache Schweregrad-Klassifizierung (0-0,25 / 0,26-1,00 / 1,01-2,00 / 2,01-3,00 / 3,01-4,00) korrelierte moderat mit globaler Verankerungsfrage (polychorische Korrelation 0,653), aber geringe Übereinstimmung (41,5 Prozent Konkordanz, Krippendorffs Alfa 0,609). Smallest detectable change 0,39 Punkte vs. minimale klinisch relevante Differenz 0,53 Punkte.</w:t>
      </w:r>
    </w:p>
    <w:p>
      <w:r>
        <w:rPr>
          <w:b/>
          <w:sz w:val="19"/>
        </w:rPr>
        <w:t xml:space="preserve">Übertragbarkeit: </w:t>
      </w:r>
      <w:r>
        <w:rPr>
          <w:sz w:val="19"/>
        </w:rPr>
        <w:t>Spanien, deutschsprachiger Wundbereich; kulturell angepasste Schwellenwerte hilfreich für deutschsprachige Praxis</w:t>
      </w:r>
    </w:p>
    <w:p>
      <w:r>
        <w:rPr>
          <w:color w:val="5A7D3A"/>
          <w:sz w:val="18"/>
        </w:rPr>
        <w:t>https://pubmed.ncbi.nlm.nih.gov/42830425/</w:t>
      </w:r>
    </w:p>
    <w:p>
      <w:pPr>
        <w:pStyle w:val="Heading1"/>
      </w:pPr>
      <w:r>
        <w:t>Aufgenommen am 13.10.2026</w:t>
      </w:r>
    </w:p>
    <w:p>
      <w:pPr>
        <w:pStyle w:val="Heading2"/>
      </w:pPr>
      <w:r>
        <w:t>Ambulante Versorgungspfade vor Sepsishospitalisierung</w:t>
      </w:r>
    </w:p>
    <w:p>
      <w:r>
        <w:rPr>
          <w:i/>
          <w:color w:val="666666"/>
          <w:sz w:val="18"/>
        </w:rPr>
        <w:t>Storch J et al.  ·  Infection  ·  12.10.2026  ·  PMID 42862469</w:t>
      </w:r>
    </w:p>
    <w:p>
      <w:r>
        <w:t>Bevölkerungsbasierte Analyse deutscher Versichertendaten zu ambulanten Kontakten vor stationärer Sepsisaufnahme: 61,8 % hatten nur ambulante Versorgung, 12,7 % Notfallversorgung, 25,5 % keine Kontakte in der Woche vor Hospitalisierung.</w:t>
      </w:r>
    </w:p>
    <w:p>
      <w:r>
        <w:rPr>
          <w:b/>
        </w:rPr>
        <w:t xml:space="preserve">Ergebnis: </w:t>
      </w:r>
      <w:r>
        <w:t>Bei ambulant versorgten Patienten: durchschnittlich 2,0 Tage (SD 2,3) zwischen letztem infektionsbezogenen Kontakt und Sepsishospitalisierung; 82,3 % hatten Kontakt mit Hausarzt; nur 11,4 % erhielten Antiinfektiva-Verschreibungen. Hinweis auf Chancen zur früheren Sepsis-Erkennung in ambulanten Settings.</w:t>
      </w:r>
    </w:p>
    <w:p>
      <w:r>
        <w:rPr>
          <w:b/>
          <w:sz w:val="19"/>
        </w:rPr>
        <w:t xml:space="preserve">Übertragbarkeit: </w:t>
      </w:r>
      <w:r>
        <w:rPr>
          <w:sz w:val="19"/>
        </w:rPr>
        <w:t>Deutsche Routinedaten (AOK) mit 238.247 Patienten, hohe Übertragbarkeit auf hiesiges Versorgungssystem</w:t>
      </w:r>
    </w:p>
    <w:p>
      <w:r>
        <w:rPr>
          <w:color w:val="5A7D3A"/>
          <w:sz w:val="18"/>
        </w:rPr>
        <w:t>https://pubmed.ncbi.nlm.nih.gov/42862469/</w:t>
      </w:r>
    </w:p>
    <w:p>
      <w:pPr>
        <w:pStyle w:val="Heading2"/>
      </w:pPr>
      <w:r>
        <w:t>Beteiligung älterer Menschen mit Sturztrauma in Forschung</w:t>
      </w:r>
    </w:p>
    <w:p>
      <w:r>
        <w:rPr>
          <w:i/>
          <w:color w:val="666666"/>
          <w:sz w:val="18"/>
        </w:rPr>
        <w:t>Reeck N et al.  ·  Health Expect  ·  Okt. 2026  ·  PMID 42861438</w:t>
      </w:r>
    </w:p>
    <w:p>
      <w:r>
        <w:t>Qualitative Evaluationsstudie zur Partizipation von 8 älteren Personen mit Sturzererfahrung über 3 Jahre; Bewertung mit Evaluationsinstrumenten und Prozessdokumentation.</w:t>
      </w:r>
    </w:p>
    <w:p>
      <w:r>
        <w:rPr>
          <w:b/>
        </w:rPr>
        <w:t xml:space="preserve">Ergebnis: </w:t>
      </w:r>
      <w:r>
        <w:t>Kern-Befunde: Positive Atmosphäre bei Treffen, anfängliche Unklarheit über Projektzweck; Partizipatives Forschungsteam beeinflusste verschiedene Projektphasen (z.B. Fokusgruppen-Design); gesundheitsbedingte Absenzen erforderten Aufnahme von 3 neuen Teilnehmern; Kontextfaktoren (Infrastruktur) unterstützend, aber verbesserte Informationsstrukturen nötig.</w:t>
      </w:r>
    </w:p>
    <w:p>
      <w:r>
        <w:rPr>
          <w:b/>
          <w:sz w:val="19"/>
        </w:rPr>
        <w:t xml:space="preserve">Übertragbarkeit: </w:t>
      </w:r>
      <w:r>
        <w:rPr>
          <w:sz w:val="19"/>
        </w:rPr>
        <w:t>Deutsche Universität (Oldenburg), geriatrisches Setting, Methoden der Patient Engagement-Evaluierung</w:t>
      </w:r>
    </w:p>
    <w:p>
      <w:r>
        <w:rPr>
          <w:color w:val="5A7D3A"/>
          <w:sz w:val="18"/>
        </w:rPr>
        <w:t>https://pubmed.ncbi.nlm.nih.gov/42861438/</w:t>
      </w:r>
    </w:p>
    <w:p>
      <w:pPr>
        <w:pStyle w:val="Heading2"/>
      </w:pPr>
      <w:r>
        <w:t>Repräsentativität von Brustkrebs-Befragten in England</w:t>
      </w:r>
    </w:p>
    <w:p>
      <w:r>
        <w:rPr>
          <w:i/>
          <w:color w:val="666666"/>
          <w:sz w:val="18"/>
        </w:rPr>
        <w:t>Blacker S et al.  ·  BMJ Open  ·  09.10.2026  ·  PMID 42855234</w:t>
      </w:r>
    </w:p>
    <w:p>
      <w:r>
        <w:t>Kohortenstudie mit Datenverknüpfung von nationaler Patientenerfahrungsbefragung mit Krebsregister zur Beurteilung der Selektionsbias bei Rücklaufquoten.</w:t>
      </w:r>
    </w:p>
    <w:p>
      <w:r>
        <w:rPr>
          <w:b/>
        </w:rPr>
        <w:t xml:space="preserve">Ergebnis: </w:t>
      </w:r>
      <w:r>
        <w:t>Linked Analyse von 71.640 Brustkrebs-Patientinnen zeigte, welche Charakteristika mit Rücklauf assoziiert waren; Identifikation systemischer Unterschiede zwischen Respondern und Nicht-Respondern für informierte Bias-Interpretation in zukünftigen Experience-Surveys.</w:t>
      </w:r>
    </w:p>
    <w:p>
      <w:r>
        <w:rPr>
          <w:b/>
          <w:sz w:val="19"/>
        </w:rPr>
        <w:t xml:space="preserve">Übertragbarkeit: </w:t>
      </w:r>
      <w:r>
        <w:rPr>
          <w:sz w:val="19"/>
        </w:rPr>
        <w:t>Methodische Versorgungsforschung, NHS-Daten, Sampling-Fragen auch in Deutschland relevant</w:t>
      </w:r>
    </w:p>
    <w:p>
      <w:r>
        <w:rPr>
          <w:color w:val="5A7D3A"/>
          <w:sz w:val="18"/>
        </w:rPr>
        <w:t>https://pubmed.ncbi.nlm.nih.gov/42855234/</w:t>
      </w:r>
    </w:p>
    <w:p>
      <w:pPr>
        <w:pStyle w:val="Heading2"/>
      </w:pPr>
      <w:r>
        <w:t>Labor-Phänotypen nach Reanimation und Mortalität</w:t>
      </w:r>
    </w:p>
    <w:p>
      <w:r>
        <w:rPr>
          <w:i/>
          <w:color w:val="666666"/>
          <w:sz w:val="18"/>
        </w:rPr>
        <w:t>Liu X et al.  ·  Resuscitation  ·  09.10.2026  ·  PMID 42855036</w:t>
      </w:r>
    </w:p>
    <w:p>
      <w:r>
        <w:t>Nationale 10-Jahres-Kohortenstudie aus Singapur (1514 reanimierte Patienten) mit Latent-Class-Analyse von 14 Laborvariablen innerhalb 6 Stunden nach ROSC zur Vorhersage neurologischer Outcomes.</w:t>
      </w:r>
    </w:p>
    <w:p>
      <w:r>
        <w:rPr>
          <w:b/>
        </w:rPr>
        <w:t xml:space="preserve">Ergebnis: </w:t>
      </w:r>
      <w:r>
        <w:t>Drei prognostisch distinkte Phänotypen identifiziert: Multi-Organ-Dysfunktion (MOD, N=286), Homeostase (HOM, N=967), Immun-Dysregulation (IMD, N=261). HOM und IMD hatten niedrigere Odds für schlechte neurologische Erholung vs. MOD (aOR 0,50 bzw. 0,46, p≤0,004). Unterschiede auch für 30-Tage- und 3-Jahres-Mortalität signifikant (aHR 0,71–0,78).</w:t>
      </w:r>
    </w:p>
    <w:p>
      <w:r>
        <w:rPr>
          <w:b/>
          <w:sz w:val="19"/>
        </w:rPr>
        <w:t xml:space="preserve">Übertragbarkeit: </w:t>
      </w:r>
      <w:r>
        <w:rPr>
          <w:sz w:val="19"/>
        </w:rPr>
        <w:t>Nationale Kohortendaten Singapur, externe Validierung erforderlich, Laborbiomarker systemunabhängig</w:t>
      </w:r>
    </w:p>
    <w:p>
      <w:r>
        <w:rPr>
          <w:color w:val="5A7D3A"/>
          <w:sz w:val="18"/>
        </w:rPr>
        <w:t>https://pubmed.ncbi.nlm.nih.gov/42855036/</w:t>
      </w:r>
    </w:p>
    <w:p>
      <w:pPr>
        <w:pStyle w:val="Heading2"/>
      </w:pPr>
      <w:r>
        <w:t>Infektionsrisiko unter Rituximab-Therapie bei MS</w:t>
      </w:r>
    </w:p>
    <w:p>
      <w:r>
        <w:rPr>
          <w:i/>
          <w:color w:val="666666"/>
          <w:sz w:val="18"/>
        </w:rPr>
        <w:t>Pihl-Jensen G et al.  ·  Neurol Clin Pract  ·  08.10.2026  ·  PMID 42854181</w:t>
      </w:r>
    </w:p>
    <w:p>
      <w:r>
        <w:t>Norwegische national-weite Beobachtungsstudie (Verknüpfung Gesundheitsregister mit MS-Registry 2010–Juni 2022) bei 3.410 MS-Patienten zu Infektionsrisiko unter Rituximab nach Dosierungsintervall und Alter.</w:t>
      </w:r>
    </w:p>
    <w:p>
      <w:r>
        <w:rPr>
          <w:b/>
        </w:rPr>
        <w:t xml:space="preserve">Ergebnis: </w:t>
      </w:r>
      <w:r>
        <w:t>13.774 Infektionen auf 13.811 Behandlungsepisoden. Verlängerte Dosierungsintervalle assoziiert mit niedrigerem Gesamtinfektionsrisiko: 2 vs. 4 Infusionen/2 Jahre HR 0,90 (95% CI 0,82–0,99); 1 Infusion HR 0,78 (0,69–0,88). Krankenhaus-Infektionen: nur HR 0,68 (0,59–0,79) für 1 vs. 4 Infusionen. Alter ≥60 Jahre HR 1,36 (1,07–1,71) für Klinik-Infektionen.</w:t>
      </w:r>
    </w:p>
    <w:p>
      <w:r>
        <w:rPr>
          <w:b/>
          <w:sz w:val="19"/>
        </w:rPr>
        <w:t xml:space="preserve">Übertragbarkeit: </w:t>
      </w:r>
      <w:r>
        <w:rPr>
          <w:sz w:val="19"/>
        </w:rPr>
        <w:t>Norwegen (skandinavisches Versorgungssystem), Behandlungs-Effektivität und Sicherheit grundsätzlich transferabel</w:t>
      </w:r>
    </w:p>
    <w:p>
      <w:r>
        <w:rPr>
          <w:color w:val="5A7D3A"/>
          <w:sz w:val="18"/>
        </w:rPr>
        <w:t>https://pubmed.ncbi.nlm.nih.gov/42854181/</w:t>
      </w:r>
    </w:p>
    <w:p>
      <w:pPr>
        <w:pStyle w:val="Heading2"/>
      </w:pPr>
      <w:r>
        <w:t>Postpartales Medicaid-Coverage und Mütter-Erfahrungen</w:t>
      </w:r>
    </w:p>
    <w:p>
      <w:r>
        <w:rPr>
          <w:i/>
          <w:color w:val="666666"/>
          <w:sz w:val="18"/>
        </w:rPr>
        <w:t>Raffa BJ et al.  ·  JAMA Netw Open  ·  01.10.2026  ·  PMID 42853565</w:t>
      </w:r>
    </w:p>
    <w:p>
      <w:r>
        <w:t>Qualitative Studie mit 16 Müttern (semistrukturierte Interviews, April–Oktober 2025) in Nordkarolina zur Erfahrung mit erweitertem postpartalen Medicaid-Coverage (60 Tage auf 12 Monate).</w:t>
      </w:r>
    </w:p>
    <w:p>
      <w:r>
        <w:rPr>
          <w:b/>
        </w:rPr>
        <w:t xml:space="preserve">Ergebnis: </w:t>
      </w:r>
      <w:r>
        <w:t>Fünf Hauptthemen: Verwirrung um Coverage, Medicaid ermöglicht Versorgungszugang, psychische Gesundheit kritisch im postpartalen Zeitfenster, reduzierter finanzischer Stress mit verbesserter Familiendynamik, Medicaid verhindert Versorgungsverzicht. Bewusstsein über Policy-Änderungen war Schlüssel für Nutzen.</w:t>
      </w:r>
    </w:p>
    <w:p>
      <w:r>
        <w:rPr>
          <w:b/>
          <w:sz w:val="19"/>
        </w:rPr>
        <w:t xml:space="preserve">Übertragbarkeit: </w:t>
      </w:r>
      <w:r>
        <w:rPr>
          <w:sz w:val="19"/>
        </w:rPr>
        <w:t>Nur bedingt: US-Medicaid-System, andere Finanzierungslogik als deutsche gesetzliche Versicherung</w:t>
      </w:r>
    </w:p>
    <w:p>
      <w:r>
        <w:rPr>
          <w:color w:val="5A7D3A"/>
          <w:sz w:val="18"/>
        </w:rPr>
        <w:t>https://pubmed.ncbi.nlm.nih.gov/42853565/</w:t>
      </w:r>
    </w:p>
    <w:p>
      <w:pPr>
        <w:pStyle w:val="Heading1"/>
      </w:pPr>
      <w:r>
        <w:t>Aufgenommen am 12.10.2026</w:t>
      </w:r>
    </w:p>
    <w:p>
      <w:pPr>
        <w:pStyle w:val="Heading2"/>
      </w:pPr>
      <w:r>
        <w:t>Operative Wartezeiten bei Nierenzellkarzinom in England</w:t>
      </w:r>
    </w:p>
    <w:p>
      <w:r>
        <w:rPr>
          <w:i/>
          <w:color w:val="666666"/>
          <w:sz w:val="18"/>
        </w:rPr>
        <w:t>Varma R et al.  ·  BJU Int  ·  11.10.2026  ·  PMID 42860314</w:t>
      </w:r>
    </w:p>
    <w:p>
      <w:r>
        <w:t>Studie zu Wartezeiten auf operative Behandlung bei Patienten mit hochrisiko- und niedrigrisiko-Nierenzellkarzinom in England, 2019–2023.</w:t>
      </w:r>
    </w:p>
    <w:p>
      <w:r>
        <w:rPr>
          <w:b/>
        </w:rPr>
        <w:t xml:space="preserve">Ergebnis: </w:t>
      </w:r>
      <w:r>
        <w:t>Anteil zeitnaher Operationen (≤31 Tage) sank bei hochrisiko-RCC von 83,7% (2019) auf 64,8% (2023), bei niedrigrisiko-RCC von 71,3% auf 47,6%. Verlängerte Verzögerungen (&gt;62 Tage) verdoppelten sich von 3,9% auf 9,4%. Hochrisiko-Patienten wurden bevorzugt (73,6% vs. 58,2%, adjustierte RR 1,26, KI 1,22–1,31).</w:t>
      </w:r>
    </w:p>
    <w:p>
      <w:r>
        <w:rPr>
          <w:b/>
          <w:sz w:val="19"/>
        </w:rPr>
        <w:t xml:space="preserve">Übertragbarkeit: </w:t>
      </w:r>
      <w:r>
        <w:rPr>
          <w:sz w:val="19"/>
        </w:rPr>
        <w:t>England, NHS-System mit anderen Zugangsstrukturen, aber versorgungsnahe Frage zur chirurgischen Kapazität</w:t>
      </w:r>
    </w:p>
    <w:p>
      <w:r>
        <w:rPr>
          <w:color w:val="5A7D3A"/>
          <w:sz w:val="18"/>
        </w:rPr>
        <w:t>https://pubmed.ncbi.nlm.nih.gov/42860314/</w:t>
      </w:r>
    </w:p>
    <w:p>
      <w:pPr>
        <w:pStyle w:val="Heading2"/>
      </w:pPr>
      <w:r>
        <w:t>Palliativbetreuung in der ambulanten Nephrologie: Wissen und Kommunikation</w:t>
      </w:r>
    </w:p>
    <w:p>
      <w:r>
        <w:rPr>
          <w:i/>
          <w:color w:val="666666"/>
          <w:sz w:val="18"/>
        </w:rPr>
        <w:t>Joshi M et al.  ·  BMC Nephrol  ·  09.10.2026  ·  PMID 42859148</w:t>
      </w:r>
    </w:p>
    <w:p>
      <w:r>
        <w:t>Qualitative und quantitative Studie zu Integration von Palliativbetreuung in deutschen Nephologie-Ambulanzen mittels Befragung und Interviews von 52 Fachkräften sowie 13 Tiefeninterviews.</w:t>
      </w:r>
    </w:p>
    <w:p>
      <w:r>
        <w:rPr>
          <w:b/>
        </w:rPr>
        <w:t xml:space="preserve">Ergebnis: </w:t>
      </w:r>
      <w:r>
        <w:t>Nur etwa die Hälfte der Fachkräfte äußerte Konfidenz in der Identifikation von Patienten mit Palliativbedarf. Gespräche über Behandlungspräferenzen und Vorausplanung fanden inkonsistent statt; Diskussionen über Sterbeort waren selten. Schulung erhöhte das Bewusstsein, strukturelle Barrieren (Zeitdruck, Behandlungsfokus) behinderten aber die Umsetzung.</w:t>
      </w:r>
    </w:p>
    <w:p>
      <w:r>
        <w:rPr>
          <w:b/>
          <w:sz w:val="19"/>
        </w:rPr>
        <w:t xml:space="preserve">Übertragbarkeit: </w:t>
      </w:r>
      <w:r>
        <w:rPr>
          <w:sz w:val="19"/>
        </w:rPr>
        <w:t>Deutsche Studie, ambulante Nephrologiepraxen und Krankenhausambulanzen</w:t>
      </w:r>
    </w:p>
    <w:p>
      <w:r>
        <w:rPr>
          <w:color w:val="5A7D3A"/>
          <w:sz w:val="18"/>
        </w:rPr>
        <w:t>https://pubmed.ncbi.nlm.nih.gov/42859148/</w:t>
      </w:r>
    </w:p>
    <w:p>
      <w:pPr>
        <w:pStyle w:val="Heading2"/>
      </w:pPr>
      <w:r>
        <w:t>Epidemiologie entzündlicher rheumatischer Erkrankungen in Deutschland</w:t>
      </w:r>
    </w:p>
    <w:p>
      <w:r>
        <w:rPr>
          <w:i/>
          <w:color w:val="666666"/>
          <w:sz w:val="18"/>
        </w:rPr>
        <w:t>Albrecht K et al.  ·  EULAR Rheumatol Open  ·  09.07.2026  ·  PMID 42857317</w:t>
      </w:r>
    </w:p>
    <w:p>
      <w:r>
        <w:t>Systematische Übersicht zur Prävalenz und Inzidenz von 11 entzündlichen rheumatischen Erkrankungen in Deutschland und Europa (2013–aktuell) für Personalbedarfsplanung.</w:t>
      </w:r>
    </w:p>
    <w:p>
      <w:r>
        <w:rPr>
          <w:b/>
        </w:rPr>
        <w:t xml:space="preserve">Ergebnis: </w:t>
      </w:r>
      <w:r>
        <w:t>Geschätzte Prävalenz pro 100.000: rheumatoide Arthritis 1.000, Polymyalgia rheumatica 600 (&gt;50 Jahre), axiale Spondylarthritis 300, psoriasis-Arthritis 300, Riesenzellarteriitis 146 (&gt;50 Jahre), primäres Sjögren 70, systemischer Lupus erythematodes 56, systemische Sklerose 35, idiopathische entzündliche Myopathien 17, ANCA-assoziierte Vaskulitiden 26, Behçet 4,7. Gesamtprävalenz entzündlicher rheumatischer Erkrankungen in Deutschland: 2,6% (1,8 Mio. Erwachsene), jährliche Inzidenz 0,2% (130.000 Erwachsene).</w:t>
      </w:r>
    </w:p>
    <w:p>
      <w:r>
        <w:rPr>
          <w:b/>
          <w:sz w:val="19"/>
        </w:rPr>
        <w:t xml:space="preserve">Übertragbarkeit: </w:t>
      </w:r>
      <w:r>
        <w:rPr>
          <w:sz w:val="19"/>
        </w:rPr>
        <w:t>Deutsche Studie mit deutschen Daten und Schätzungen, direkt anwendbar für Versorgungsplanung</w:t>
      </w:r>
    </w:p>
    <w:p>
      <w:r>
        <w:rPr>
          <w:color w:val="5A7D3A"/>
          <w:sz w:val="18"/>
        </w:rPr>
        <w:t>https://pubmed.ncbi.nlm.nih.gov/42857317/</w:t>
      </w:r>
    </w:p>
    <w:p>
      <w:pPr>
        <w:pStyle w:val="Heading2"/>
      </w:pPr>
      <w:r>
        <w:t>Rolle von Ernährungsfachkräften in Langzeitpflegeeinrichtungen</w:t>
      </w:r>
    </w:p>
    <w:p>
      <w:r>
        <w:rPr>
          <w:i/>
          <w:color w:val="666666"/>
          <w:sz w:val="18"/>
        </w:rPr>
        <w:t>Bartrim K et al.  ·  Health Policy  ·  20.09.2026  ·  PMID 42849156</w:t>
      </w:r>
    </w:p>
    <w:p>
      <w:r>
        <w:t>Dokumentenanalyse der Rolle von Ernährungsfachkräften in Langzeitpflegeangeboten in 68 Ländern basierend auf Regelwerke, Standards und Leitlinien.</w:t>
      </w:r>
    </w:p>
    <w:p>
      <w:r>
        <w:rPr>
          <w:b/>
        </w:rPr>
        <w:t xml:space="preserve">Ergebnis: </w:t>
      </w:r>
      <w:r>
        <w:t>Von 68 Ländern hatten 37 (54%) mindestens ein Dokument zu Ernährungsfachkräften in Langzeitpflege. Japan war einziges Land mit allen vier Dokumenttypen; Australien, Türkiye und Nordirland hatten je drei. 14 Themenbereiche identifiziert, u.a. Ernährungsscreening, Speiseplanung, multiprofessionelle Zusammenarbeit. Große globale Unterschiede in Regelungen und anerkannten Rollen.</w:t>
      </w:r>
    </w:p>
    <w:p>
      <w:r>
        <w:rPr>
          <w:b/>
          <w:sz w:val="19"/>
        </w:rPr>
        <w:t xml:space="preserve">Übertragbarkeit: </w:t>
      </w:r>
      <w:r>
        <w:rPr>
          <w:sz w:val="19"/>
        </w:rPr>
        <w:t>Vergleichende Analyse, auf Deutschland begrenzt übertragbar, aufgrund von Unterschieden in Regulierung und Systemstruktur</w:t>
      </w:r>
    </w:p>
    <w:p>
      <w:r>
        <w:rPr>
          <w:color w:val="5A7D3A"/>
          <w:sz w:val="18"/>
        </w:rPr>
        <w:t>https://pubmed.ncbi.nlm.nih.gov/42849156/</w:t>
      </w:r>
    </w:p>
    <w:p>
      <w:pPr>
        <w:pStyle w:val="Heading2"/>
      </w:pPr>
      <w:r>
        <w:t>Kardio-metabole Ergebnisse eines Wellness-Programms auf dem Land</w:t>
      </w:r>
    </w:p>
    <w:p>
      <w:r>
        <w:rPr>
          <w:i/>
          <w:color w:val="666666"/>
          <w:sz w:val="18"/>
        </w:rPr>
        <w:t>Baus A et al.  ·  J Prim Care Community Health  ·  08.10.2026  ·  PMID 42849056</w:t>
      </w:r>
    </w:p>
    <w:p>
      <w:r>
        <w:t>Retrospektive Evaluation eines krankenhausgestützten Wellness-Programms in West Virginia mit 585 aktiven Teilnehmern zur Kardio-metabolischen Gesundheit.</w:t>
      </w:r>
    </w:p>
    <w:p>
      <w:r>
        <w:rPr>
          <w:b/>
        </w:rPr>
        <w:t xml:space="preserve">Ergebnis: </w:t>
      </w:r>
      <w:r>
        <w:t>Bei gepaarten Analysen: Taillenumfang reduziert um 0,19 Inch (KI −0,34 bis −0,03; p=0,0174), diastolischer Blutdruck um 3,38 mmHg (KI −4,54 bis −2,21; p&lt;0,0001). Bei 56 Diabetespatienten mit HbA1c-Messungen: Reduktion um 0,25 Prozentpunkte (KI −0,44 bis −0,06; p=0,0106), bei initial HbA1c ≥7,0% (n=23) um 0,65 Punkte (KI −1,00 bis −0,29; p=0,0010).</w:t>
      </w:r>
    </w:p>
    <w:p>
      <w:r>
        <w:rPr>
          <w:b/>
          <w:sz w:val="19"/>
        </w:rPr>
        <w:t xml:space="preserve">Übertragbarkeit: </w:t>
      </w:r>
      <w:r>
        <w:rPr>
          <w:sz w:val="19"/>
        </w:rPr>
        <w:t>USA, ländliches Setting, aber Fragestellung zu lokalen Wellness-Modellen systemunabhängig relevant</w:t>
      </w:r>
    </w:p>
    <w:p>
      <w:r>
        <w:rPr>
          <w:color w:val="5A7D3A"/>
          <w:sz w:val="18"/>
        </w:rPr>
        <w:t>https://pubmed.ncbi.nlm.nih.gov/42849056/</w:t>
      </w:r>
    </w:p>
    <w:p>
      <w:pPr>
        <w:pStyle w:val="Heading2"/>
      </w:pPr>
      <w:r>
        <w:t>Einzelitemmessungen zu Nebenwirkungsbelastung bei Krebspatienten</w:t>
      </w:r>
    </w:p>
    <w:p>
      <w:r>
        <w:rPr>
          <w:i/>
          <w:color w:val="666666"/>
          <w:sz w:val="18"/>
        </w:rPr>
        <w:t>Jones T et al.  ·  Eur J Cancer  ·  04.10.2026  ·  PMID 42843209</w:t>
      </w:r>
    </w:p>
    <w:p>
      <w:r>
        <w:t>Systematische Übersichtsarbeit zu Einsatz, psychometrischen Eigenschaften und klinischer Validität von Einzelitemmessungen der wahrgenommenen Nebenwirkungsbelastung in Krebsstudien (67 Publikationen, 74 Studienregistrierungen).</w:t>
      </w:r>
    </w:p>
    <w:p>
      <w:r>
        <w:rPr>
          <w:b/>
        </w:rPr>
        <w:t xml:space="preserve">Ergebnis: </w:t>
      </w:r>
      <w:r>
        <w:t>EORTC Q168 konzentriert auf Pankreas- und Gallenwegskrebs; FACIT GP5 breiter eingesetzt. Für FACIT GP5 lagen 27 Publikationen vor mit Befunden zu Inhalts-, Konstrukt- und Diskriminanzvalidität; für Q168 nur 2 Publikationen. Inhaltliche Limitationen bleiben, besonders beim Attributieren von Symptomen zur Behandlung versus Erkrankung oder andere Faktoren.</w:t>
      </w:r>
    </w:p>
    <w:p>
      <w:r>
        <w:rPr>
          <w:b/>
          <w:sz w:val="19"/>
        </w:rPr>
        <w:t xml:space="preserve">Übertragbarkeit: </w:t>
      </w:r>
      <w:r>
        <w:rPr>
          <w:sz w:val="19"/>
        </w:rPr>
        <w:t>Übersichtsarbeit über klinische Krebsforschung, international übertragbar für Instrumentenanwendung</w:t>
      </w:r>
    </w:p>
    <w:p>
      <w:r>
        <w:rPr>
          <w:color w:val="5A7D3A"/>
          <w:sz w:val="18"/>
        </w:rPr>
        <w:t>https://pubmed.ncbi.nlm.nih.gov/42843209/</w:t>
      </w:r>
    </w:p>
    <w:p>
      <w:pPr>
        <w:pStyle w:val="Heading1"/>
      </w:pPr>
      <w:r>
        <w:t>Aufgenommen am 11.10.2026</w:t>
      </w:r>
    </w:p>
    <w:p>
      <w:pPr>
        <w:pStyle w:val="Heading2"/>
      </w:pPr>
      <w:r>
        <w:t>Transitional Care-Erfahrungen ruraler Patientinnen: Qualitativ</w:t>
      </w:r>
    </w:p>
    <w:p>
      <w:r>
        <w:rPr>
          <w:i/>
          <w:color w:val="666666"/>
          <w:sz w:val="18"/>
        </w:rPr>
        <w:t>Randolph SB et al.  ·  J Rural Health  ·  Sept. 2026  ·  PMID 42855931</w:t>
      </w:r>
    </w:p>
    <w:p>
      <w:r>
        <w:t>Qualitative Analyse von Krankenakten von 200 Veteranen (100 rural, 100 urban), die innerhalb 30 Tagen nach Krankenhausentlassung starben.</w:t>
      </w:r>
    </w:p>
    <w:p>
      <w:r>
        <w:rPr>
          <w:b/>
        </w:rPr>
        <w:t xml:space="preserve">Ergebnis: </w:t>
      </w:r>
      <w:r>
        <w:t>Drei zentrale Themen für rurale Patienten: geografische Entfernungen (längere Fahrtzeiten), Ablehnung von Homecare-Services und hohe Belastung der Betreuer. Diese Faktoren führten zu Diskordanz und Unsicherheit zwischen Patient, Team und Angehörigen.</w:t>
      </w:r>
    </w:p>
    <w:p>
      <w:r>
        <w:rPr>
          <w:b/>
          <w:sz w:val="19"/>
        </w:rPr>
        <w:t xml:space="preserve">Übertragbarkeit: </w:t>
      </w:r>
      <w:r>
        <w:rPr>
          <w:sz w:val="19"/>
        </w:rPr>
        <w:t>USA-Veteranensystem; Erkenntnisse zu Übergangsversorgung aber systemübergreifend relevant</w:t>
      </w:r>
    </w:p>
    <w:p>
      <w:r>
        <w:rPr>
          <w:color w:val="5A7D3A"/>
          <w:sz w:val="18"/>
        </w:rPr>
        <w:t>https://pubmed.ncbi.nlm.nih.gov/42855931/</w:t>
      </w:r>
    </w:p>
    <w:p>
      <w:pPr>
        <w:pStyle w:val="Heading2"/>
      </w:pPr>
      <w:r>
        <w:t>Employment instability und katastrophale Gesundheitsausgaben in Südkorea</w:t>
      </w:r>
    </w:p>
    <w:p>
      <w:r>
        <w:rPr>
          <w:i/>
          <w:color w:val="666666"/>
          <w:sz w:val="18"/>
        </w:rPr>
        <w:t>Yang JM et al.  ·  BMC Health Serv Res  ·  19.08.2026  ·  PMID 42855683</w:t>
      </w:r>
    </w:p>
    <w:p>
      <w:r>
        <w:t>Längsschnittstudie zur Assoziation zwischen Beschäftigungsstabilität und katastrophalen Gesundheitsausgaben bei koreanischen Erwachsenen ab 50 Jahren.</w:t>
      </w:r>
    </w:p>
    <w:p>
      <w:r>
        <w:rPr>
          <w:b/>
        </w:rPr>
        <w:t xml:space="preserve">Ergebnis: </w:t>
      </w:r>
      <w:r>
        <w:t>Persistierende Arbeitslosigkeit erhöhte die Odds für katastrophale Ausgaben um das 1,26-1,34-Fache (p&lt;0,05). Berufliche Übergänge in Arbeitslosigkeit zeigten ähnliche Effekte. Effekt nur in der Altersgruppe ≥50 Jahre signifikant.</w:t>
      </w:r>
    </w:p>
    <w:p>
      <w:r>
        <w:rPr>
          <w:b/>
          <w:sz w:val="19"/>
        </w:rPr>
        <w:t xml:space="preserve">Übertragbarkeit: </w:t>
      </w:r>
      <w:r>
        <w:rPr>
          <w:sz w:val="19"/>
        </w:rPr>
        <w:t>Südkorea, gesetzliche Krankenversicherung, direkter Vergleich möglich</w:t>
      </w:r>
    </w:p>
    <w:p>
      <w:r>
        <w:rPr>
          <w:color w:val="5A7D3A"/>
          <w:sz w:val="18"/>
        </w:rPr>
        <w:t>https://pubmed.ncbi.nlm.nih.gov/42855683/</w:t>
      </w:r>
    </w:p>
    <w:p>
      <w:pPr>
        <w:pStyle w:val="Heading2"/>
      </w:pPr>
      <w:r>
        <w:t>Klimabewusstsein und Öko-Angst bei Gesundheitspersonal</w:t>
      </w:r>
    </w:p>
    <w:p>
      <w:r>
        <w:rPr>
          <w:i/>
          <w:color w:val="666666"/>
          <w:sz w:val="18"/>
        </w:rPr>
        <w:t>Özdemir T et al.  ·  BMC Health Serv Res  ·  01.10.2026  ·  PMID 42850626</w:t>
      </w:r>
    </w:p>
    <w:p>
      <w:r>
        <w:t>Querschnittsstudie bei 460 Fachkräften im Gesundheitswesen zu Zusammenhängen zwischen Klimabewusstsein, Öko-Angst und Umweltsensibilität.</w:t>
      </w:r>
    </w:p>
    <w:p>
      <w:r>
        <w:rPr>
          <w:b/>
        </w:rPr>
        <w:t xml:space="preserve">Ergebnis: </w:t>
      </w:r>
      <w:r>
        <w:t>Moderate Ausprägung bei Klimabewusstsein und Umweltsensibilität; moderate Öko-Angst. Klimabewusstsein, Pflegefachkräfte-Status, Alter ≥45 Jahre und Mitgliedschaft in Umweltorganisationen waren signifikante Prädiktoren (p&lt;0,05). Ruminations-Subdimension marginal nicht-signifikant (p=0,064).</w:t>
      </w:r>
    </w:p>
    <w:p>
      <w:r>
        <w:rPr>
          <w:b/>
          <w:sz w:val="19"/>
        </w:rPr>
        <w:t xml:space="preserve">Übertragbarkeit: </w:t>
      </w:r>
      <w:r>
        <w:rPr>
          <w:sz w:val="19"/>
        </w:rPr>
        <w:t>Türkei, Gesundheitssystem mit Versorger-fokussiertem Ansatz, Health Services Research</w:t>
      </w:r>
    </w:p>
    <w:p>
      <w:r>
        <w:rPr>
          <w:color w:val="5A7D3A"/>
          <w:sz w:val="18"/>
        </w:rPr>
        <w:t>https://pubmed.ncbi.nlm.nih.gov/42850626/</w:t>
      </w:r>
    </w:p>
    <w:p>
      <w:pPr>
        <w:pStyle w:val="Heading2"/>
      </w:pPr>
      <w:r>
        <w:t>Wearable-Sensoren zur Bewegungskontrolle in geriatrischer Rehabilitation</w:t>
      </w:r>
    </w:p>
    <w:p>
      <w:r>
        <w:rPr>
          <w:i/>
          <w:color w:val="666666"/>
          <w:sz w:val="18"/>
        </w:rPr>
        <w:t>Debeij SM et al.  ·  Eur Geriatr Med  ·  06.10.2026  ·  PMID 42839204</w:t>
      </w:r>
    </w:p>
    <w:p>
      <w:r>
        <w:t>Mixed-Methods-Studie zur Nutzerfreundlichkeit und Machbarkeit eines Sensorsystems mit Rückmeldung zur Sedentarität bei geriatrischen Patienten (stationär und ambulant).</w:t>
      </w:r>
    </w:p>
    <w:p>
      <w:r>
        <w:rPr>
          <w:b/>
        </w:rPr>
        <w:t xml:space="preserve">Ergebnis: </w:t>
      </w:r>
      <w:r>
        <w:t>Machbarkeit ausreichend (hohe Adhärenz), Nutzerfreundlichkeit begrenzt. Technische Probleme (Messergenauigkeit) und Implementierungshürden (fehlende Individualisierung, unklarer Mehrwert). Teilnehmer: 26 Patienten, 9 Fachkräfte; 22 Interviews durchgeführt.</w:t>
      </w:r>
    </w:p>
    <w:p>
      <w:r>
        <w:rPr>
          <w:b/>
          <w:sz w:val="19"/>
        </w:rPr>
        <w:t xml:space="preserve">Übertragbarkeit: </w:t>
      </w:r>
      <w:r>
        <w:rPr>
          <w:sz w:val="19"/>
        </w:rPr>
        <w:t>Niederlande, Sozialversicherung, gute Übertragbarkeit auf deutsches Gesundheitswesen</w:t>
      </w:r>
    </w:p>
    <w:p>
      <w:r>
        <w:rPr>
          <w:color w:val="5A7D3A"/>
          <w:sz w:val="18"/>
        </w:rPr>
        <w:t>https://pubmed.ncbi.nlm.nih.gov/42839204/</w:t>
      </w:r>
    </w:p>
    <w:p>
      <w:pPr>
        <w:pStyle w:val="Heading2"/>
      </w:pPr>
      <w:r>
        <w:t>Rotavirus-Impfung in Vietnam: Effektivität und Kosteneffektivität</w:t>
      </w:r>
    </w:p>
    <w:p>
      <w:r>
        <w:rPr>
          <w:i/>
          <w:color w:val="666666"/>
          <w:sz w:val="18"/>
        </w:rPr>
        <w:t>Dang HTT et al.  ·  Vaccine  ·  06.10.2026  ·  PMID 42837896</w:t>
      </w:r>
    </w:p>
    <w:p>
      <w:r>
        <w:t>Modellierungsstudie zur Auswirkung und Kosteneffektivität der Rotavirus-Impfung (ROTAVIN) bei Kindern unter fünf Jahren in Vietnam.</w:t>
      </w:r>
    </w:p>
    <w:p>
      <w:r>
        <w:rPr>
          <w:b/>
        </w:rPr>
        <w:t xml:space="preserve">Ergebnis: </w:t>
      </w:r>
      <w:r>
        <w:t>Über 10 Jahre würde Impfung 97.776 Hospitalisierungen (KI 72.722–342.311) und 433 Todesfälle (KI 330–1300) verhindern. Kosten von 39,5 Mio. USD für zehn Kohorten. ICER von 982 USD pro vermiedenem DALY (Staatsperspektive); kostensparen aus Gesellschaftsperspektive mit 99% Wahrscheinlichkeit.</w:t>
      </w:r>
    </w:p>
    <w:p>
      <w:r>
        <w:rPr>
          <w:b/>
          <w:sz w:val="19"/>
        </w:rPr>
        <w:t xml:space="preserve">Übertragbarkeit: </w:t>
      </w:r>
      <w:r>
        <w:rPr>
          <w:sz w:val="19"/>
        </w:rPr>
        <w:t>Vietnams Gesundheitssystem, Sozialversicherung, hohe Übertragbarkeit auf ähnliche Kontexte</w:t>
      </w:r>
    </w:p>
    <w:p>
      <w:r>
        <w:rPr>
          <w:color w:val="5A7D3A"/>
          <w:sz w:val="18"/>
        </w:rPr>
        <w:t>https://pubmed.ncbi.nlm.nih.gov/42837896/</w:t>
      </w:r>
    </w:p>
    <w:p>
      <w:pPr>
        <w:pStyle w:val="Heading1"/>
      </w:pPr>
      <w:r>
        <w:t>Aufgenommen am 10.10.2026</w:t>
      </w:r>
    </w:p>
    <w:p>
      <w:pPr>
        <w:pStyle w:val="Heading2"/>
      </w:pPr>
      <w:r>
        <w:t>Transition in rheumatology: Versorgungslücken beim Übergang ins Erwachsenenalter</w:t>
      </w:r>
    </w:p>
    <w:p>
      <w:r>
        <w:rPr>
          <w:i/>
          <w:color w:val="666666"/>
          <w:sz w:val="18"/>
        </w:rPr>
        <w:t>Milatz F et al.  ·  Z Rheumatol  ·  09.10.2026  ·  PMID 42853413</w:t>
      </w:r>
    </w:p>
    <w:p>
      <w:r>
        <w:t>Querschnittsbefragung von 269 jungen Erwachsenen mit juveniler idiopathischer Arthritis zur Versorgungskontinuität beim Übergang von der Kinder- in die internistische Rheumatologie.</w:t>
      </w:r>
    </w:p>
    <w:p>
      <w:r>
        <w:rPr>
          <w:b/>
        </w:rPr>
        <w:t xml:space="preserve">Ergebnis: </w:t>
      </w:r>
      <w:r>
        <w:t>45% der jungen Erwachsenen erhielten fachspezifische rheumatologische Betreuung; Transitionskompetenz bei Versorgten höher (22,7 vs. 19,0; p&lt;0,001); 35% erhielten keinen zusammenfassenden Arztbericht; durchschnittlich 9,9 Monate zwischen letzter Kinder- und erster Erwachsenenvorstellung; Nicht-Versorgte erhielten seltener Basistherapie (18% vs. 63%); ~20% berichteten relevante depressive Symptome.</w:t>
      </w:r>
    </w:p>
    <w:p>
      <w:r>
        <w:rPr>
          <w:b/>
          <w:sz w:val="19"/>
        </w:rPr>
        <w:t xml:space="preserve">Übertragbarkeit: </w:t>
      </w:r>
      <w:r>
        <w:rPr>
          <w:sz w:val="19"/>
        </w:rPr>
        <w:t>Deutsche Routinedaten, gesetzlich Versicherte (Barmer)</w:t>
      </w:r>
    </w:p>
    <w:p>
      <w:r>
        <w:rPr>
          <w:color w:val="5A7D3A"/>
          <w:sz w:val="18"/>
        </w:rPr>
        <w:t>https://pubmed.ncbi.nlm.nih.gov/42853413/</w:t>
      </w:r>
    </w:p>
    <w:p>
      <w:pPr>
        <w:pStyle w:val="Heading2"/>
      </w:pPr>
      <w:r>
        <w:t>Finanzielle Anreize erhöhen Screening-Quote bei Darmkrebs</w:t>
      </w:r>
    </w:p>
    <w:p>
      <w:r>
        <w:rPr>
          <w:i/>
          <w:color w:val="666666"/>
          <w:sz w:val="18"/>
        </w:rPr>
        <w:t>Perry LM et al.  ·  Health Serv Res  ·  22.07.2025  ·  PMID 42853034</w:t>
      </w:r>
    </w:p>
    <w:p>
      <w:r>
        <w:t>Pilotversuch zur Effektivität von finanziellen Anreizen für Darmkrebsvorsorge-Screening in ländlicher US-Primärversorgung.</w:t>
      </w:r>
    </w:p>
    <w:p>
      <w:r>
        <w:rPr>
          <w:b/>
        </w:rPr>
        <w:t xml:space="preserve">Ergebnis: </w:t>
      </w:r>
      <w:r>
        <w:t>68% der Interventionsgruppe vs. 32% der Kontrollgruppe absolvierten CRC-Screening (p=0,02); 57% der interessierten Personen waren berechtigt; 94% der Berechtigten nahmen teil; durchschnittliche Teilnehmerin 52,4 Jahre alt, 70% weiblich, 42% schwarz, 24% unversichert.</w:t>
      </w:r>
    </w:p>
    <w:p>
      <w:r>
        <w:rPr>
          <w:b/>
          <w:sz w:val="19"/>
        </w:rPr>
        <w:t xml:space="preserve">Übertragbarkeit: </w:t>
      </w:r>
      <w:r>
        <w:rPr>
          <w:sz w:val="19"/>
        </w:rPr>
        <w:t>Nur bedingt: US-fragmentiertes Versicherungssystem, anderer Zugangskontext</w:t>
      </w:r>
    </w:p>
    <w:p>
      <w:r>
        <w:rPr>
          <w:color w:val="5A7D3A"/>
          <w:sz w:val="18"/>
        </w:rPr>
        <w:t>https://pubmed.ncbi.nlm.nih.gov/42853034/</w:t>
      </w:r>
    </w:p>
    <w:p>
      <w:pPr>
        <w:pStyle w:val="Heading2"/>
      </w:pPr>
      <w:r>
        <w:t>Wespenart beeinflusst Erfolg von Wespengiftimmuntherapie-Provokationen</w:t>
      </w:r>
    </w:p>
    <w:p>
      <w:r>
        <w:rPr>
          <w:i/>
          <w:color w:val="666666"/>
          <w:sz w:val="18"/>
        </w:rPr>
        <w:t>Oppel E et al.  ·  Allergol Select  ·  25.09.2026  ·  PMID 42852156</w:t>
      </w:r>
    </w:p>
    <w:p>
      <w:r>
        <w:t>Retrospektive Analyse von 1.163 Patienten unter Wespengiftimmuntherapie hinsichtlich Einflussfaktoren auf Toleranz gegenüber künstlichen Stichproben.</w:t>
      </w:r>
    </w:p>
    <w:p>
      <w:r>
        <w:rPr>
          <w:b/>
        </w:rPr>
        <w:t xml:space="preserve">Ergebnis: </w:t>
      </w:r>
      <w:r>
        <w:t>Stichproben wurden von 1.141 Patienten (98,1%) toleriert; Vespula-Arten zeigten signifikant höhere Toleranzrate als Dolichovespula-Arten (OR 7,69, 95% CI 2,66–20,43); Hauttest-Konversion (positiv→negativ bei 10 µg/mL) zeigte Trend zu verbesserter Toleranz (OR 2,26, 95% CI 0,68–11,53); in 53,2±38,5 Monaten Follow-up: 6 Systemreaktionen nach Feldstichen, keine aus Dolichovespula-Gruppe.</w:t>
      </w:r>
    </w:p>
    <w:p>
      <w:r>
        <w:rPr>
          <w:b/>
          <w:sz w:val="19"/>
        </w:rPr>
        <w:t xml:space="preserve">Übertragbarkeit: </w:t>
      </w:r>
      <w:r>
        <w:rPr>
          <w:sz w:val="19"/>
        </w:rPr>
        <w:t>Deutschland, vergleichbare allergologische Standardversorgung</w:t>
      </w:r>
    </w:p>
    <w:p>
      <w:r>
        <w:rPr>
          <w:color w:val="5A7D3A"/>
          <w:sz w:val="18"/>
        </w:rPr>
        <w:t>https://pubmed.ncbi.nlm.nih.gov/42852156/</w:t>
      </w:r>
    </w:p>
    <w:p>
      <w:pPr>
        <w:pStyle w:val="Heading2"/>
      </w:pPr>
      <w:r>
        <w:t>Patientenbeteiligung bei Leitlinienentwicklung: Erfahrungen in Deutschland</w:t>
      </w:r>
    </w:p>
    <w:p>
      <w:r>
        <w:rPr>
          <w:i/>
          <w:color w:val="666666"/>
          <w:sz w:val="18"/>
        </w:rPr>
        <w:t>Orduhan C et al.  ·  Clin Public Health Guidel  ·  10.08.2026  ·  PMID 42808020</w:t>
      </w:r>
    </w:p>
    <w:p>
      <w:r>
        <w:t>Qualitative Interviewstudie mit 23 Patientenvertretern, die an deutscher Leitlinienentwicklung partizipierten, zu Erfahrungen und Herausforderungen.</w:t>
      </w:r>
    </w:p>
    <w:p>
      <w:r>
        <w:rPr>
          <w:b/>
        </w:rPr>
        <w:t xml:space="preserve">Ergebnis: </w:t>
      </w:r>
      <w:r>
        <w:t>Aktive Mitgliedschaft in Leitliniengruppen war dominante Beteiligungsstrategie; positive Einflussfaktoren: Vorbereitungstraining, andere Patientenvertreter, Wertschätzung (häufig benannt); Herausforderungen: Rekrutierung, Mangel an Inklusion und Diversität; Mehrheit war mit Beteiligungsform zufrieden, identifizierte aber ungedeckte Bedarfe; Vorbereitungsaktivitäten als essentiell für effektive Partizipation.</w:t>
      </w:r>
    </w:p>
    <w:p>
      <w:r>
        <w:rPr>
          <w:b/>
          <w:sz w:val="19"/>
        </w:rPr>
        <w:t xml:space="preserve">Übertragbarkeit: </w:t>
      </w:r>
      <w:r>
        <w:rPr>
          <w:sz w:val="19"/>
        </w:rPr>
        <w:t>Deutsche Kontextdaten zur Leitlinienmitgestaltung</w:t>
      </w:r>
    </w:p>
    <w:p>
      <w:r>
        <w:rPr>
          <w:color w:val="5A7D3A"/>
          <w:sz w:val="18"/>
        </w:rPr>
        <w:t>https://pubmed.ncbi.nlm.nih.gov/42808020/</w:t>
      </w:r>
    </w:p>
    <w:p>
      <w:pPr>
        <w:pStyle w:val="Heading2"/>
      </w:pPr>
      <w:r>
        <w:t>Geschlechtsspezifische Unterschiede in Selbsteinschätzung dermatologischer Kompetenzen</w:t>
      </w:r>
    </w:p>
    <w:p>
      <w:r>
        <w:rPr>
          <w:i/>
          <w:color w:val="666666"/>
          <w:sz w:val="18"/>
        </w:rPr>
        <w:t>Heinen I et al.  ·  GMS J Med Educ  ·  15.09.2026  ·  PMID 42807627</w:t>
      </w:r>
    </w:p>
    <w:p>
      <w:r>
        <w:t>Quasi-experimentelle Prä-Post-Befragung von 142 Medizinstudierenden zur Selbsteinschätzung dermatologischer Kenntnisse vor und nach Seminar zu Hauterkrankungen bei Skin of Color.</w:t>
      </w:r>
    </w:p>
    <w:p>
      <w:r>
        <w:rPr>
          <w:b/>
        </w:rPr>
        <w:t xml:space="preserve">Ergebnis: </w:t>
      </w:r>
      <w:r>
        <w:t>Studentinnen schätzten anfangs Kenntnisse zu anatomischen/physiologischen Unterschieden (p&lt;0,001, η²=0,078) und Hauttyp-Skalen (p&lt;0,001, η²=0,085) sowie diagnostische Fähigkeiten signifikant schlechter ein als Studenten (p&lt;0,001, η²=0,075), obwohl objektive MC-Testergebnisse nicht differierten (p=0,905); nach Seminar keine geschlechtsspezifischen Unterschiede mehr vorhanden.</w:t>
      </w:r>
    </w:p>
    <w:p>
      <w:r>
        <w:rPr>
          <w:b/>
          <w:sz w:val="19"/>
        </w:rPr>
        <w:t xml:space="preserve">Übertragbarkeit: </w:t>
      </w:r>
      <w:r>
        <w:rPr>
          <w:sz w:val="19"/>
        </w:rPr>
        <w:t>Deutschland, medizinische Hochschulausbildung vergleichbar</w:t>
      </w:r>
    </w:p>
    <w:p>
      <w:r>
        <w:rPr>
          <w:color w:val="5A7D3A"/>
          <w:sz w:val="18"/>
        </w:rPr>
        <w:t>https://pubmed.ncbi.nlm.nih.gov/42807627/</w:t>
      </w:r>
    </w:p>
    <w:p>
      <w:pPr>
        <w:pStyle w:val="Heading1"/>
      </w:pPr>
      <w:r>
        <w:t>Aufgenommen am 09.10.2026</w:t>
      </w:r>
    </w:p>
    <w:p>
      <w:pPr>
        <w:pStyle w:val="Heading2"/>
      </w:pPr>
      <w:r>
        <w:t>Telemedicine-Nutzung in Japan 2020–2024: Persistierende Ungleichheiten</w:t>
      </w:r>
    </w:p>
    <w:p>
      <w:r>
        <w:rPr>
          <w:i/>
          <w:color w:val="666666"/>
          <w:sz w:val="18"/>
        </w:rPr>
        <w:t>Ito H et al.  ·  J Med Internet Res  ·  08.10.2026  ·  PMID 42849039</w:t>
      </w:r>
    </w:p>
    <w:p>
      <w:r>
        <w:t>Longitudinale Panelstudie zur Entwicklung von Chancenungleichheiten bei der Telemedizin-Adoption in Japan über vier Jahre mit 10.818 Teilnehmern.</w:t>
      </w:r>
    </w:p>
    <w:p>
      <w:r>
        <w:rPr>
          <w:b/>
        </w:rPr>
        <w:t xml:space="preserve">Ergebnis: </w:t>
      </w:r>
      <w:r>
        <w:t>Telemedizin-Adoption stieg von 2,6% (2020) auf 7,0% (2024). Altersbedingte Ungleichheiten verschärften sich: Bei 70–75-Jährigen +1,0 Prozentpunkte vs. 18–29-Jährigen +13,1 Prozentpunkte (DID –12,1 PP, 95% KI –18,2 bis –5,9). Arbeitslose zeigten kleinere Zunahmen (+2,8 vs. +5,7 PP bei höheren Angestellten; DID –2,9 PP).</w:t>
      </w:r>
    </w:p>
    <w:p>
      <w:r>
        <w:rPr>
          <w:b/>
          <w:sz w:val="19"/>
        </w:rPr>
        <w:t xml:space="preserve">Übertragbarkeit: </w:t>
      </w:r>
      <w:r>
        <w:rPr>
          <w:sz w:val="19"/>
        </w:rPr>
        <w:t>Japan, nationale Kohorte mit berichteten Adoptionsdaten, digitale Gerechtigkeit systemübergreifend relevant</w:t>
      </w:r>
    </w:p>
    <w:p>
      <w:r>
        <w:rPr>
          <w:color w:val="5A7D3A"/>
          <w:sz w:val="18"/>
        </w:rPr>
        <w:t>https://pubmed.ncbi.nlm.nih.gov/42849039/</w:t>
      </w:r>
    </w:p>
    <w:p>
      <w:pPr>
        <w:pStyle w:val="Heading2"/>
      </w:pPr>
      <w:r>
        <w:t>Retinoid-Umstellung in vier europäischen Ländern nach Schwangerschaftsprävention 2018</w:t>
      </w:r>
    </w:p>
    <w:p>
      <w:r>
        <w:rPr>
          <w:i/>
          <w:color w:val="666666"/>
          <w:sz w:val="18"/>
        </w:rPr>
        <w:t>Riera-Arnau J et al.  ·  Drug Saf  ·  08.10.2026  ·  PMID 42848129</w:t>
      </w:r>
    </w:p>
    <w:p>
      <w:r>
        <w:t>Unterbrochene Zeitreihenanalyse zum Effekt der EU-Schwangerschaftspräventionsprogramm-Aktualisierung 2018 auf Wechsel von oralen Retinoiden zu Alternativmedikamenten bei Frauen im gebärfähigen Alter in vier europäischen Ländern mit 88.992 Frauen.</w:t>
      </w:r>
    </w:p>
    <w:p>
      <w:r>
        <w:rPr>
          <w:b/>
        </w:rPr>
        <w:t xml:space="preserve">Ergebnis: </w:t>
      </w:r>
      <w:r>
        <w:t>32,0% (28.446/88.992) wechselten zu Alternativmedikamenten über den Studienzeitraum. Mediane Wechselraten: 1,8–6,5% monatlich präimplementiert, 1,2–2,3% postimplementiert. Kleine aber statistisch signifikante Abnahme der Wechselrate nach Intervention in Italien (–0,035%, p&lt;0,01), Spanien VID (–0,04%, p&lt;0,01) und BIFAP (–0,03%, p=0,02); Effekte verschwanden bei Ausschluss COVID-19-Lockdown-Periode.</w:t>
      </w:r>
    </w:p>
    <w:p>
      <w:r>
        <w:rPr>
          <w:b/>
          <w:sz w:val="19"/>
        </w:rPr>
        <w:t xml:space="preserve">Übertragbarkeit: </w:t>
      </w:r>
      <w:r>
        <w:rPr>
          <w:sz w:val="19"/>
        </w:rPr>
        <w:t>Niederlande, Spanien, Italien, Dänemark – europäische Sozialversicherungssysteme, Pharmacoepidemiology-Daten</w:t>
      </w:r>
    </w:p>
    <w:p>
      <w:r>
        <w:rPr>
          <w:color w:val="5A7D3A"/>
          <w:sz w:val="18"/>
        </w:rPr>
        <w:t>https://pubmed.ncbi.nlm.nih.gov/42848129/</w:t>
      </w:r>
    </w:p>
    <w:p>
      <w:pPr>
        <w:pStyle w:val="Heading2"/>
      </w:pPr>
      <w:r>
        <w:t>Prähabilitationsakzeptanz bei Hüft- und Kniegelenkersatz: Qualitative Stakeholder-Perspektiven</w:t>
      </w:r>
    </w:p>
    <w:p>
      <w:r>
        <w:rPr>
          <w:i/>
          <w:color w:val="666666"/>
          <w:sz w:val="18"/>
        </w:rPr>
        <w:t>Burgess N et al.  ·  Musculoskeletal Care  ·  Dez. 2026  ·  PMID 42847740</w:t>
      </w:r>
    </w:p>
    <w:p>
      <w:r>
        <w:t>Qualitative Studie mit 30 Interviews (15 Patienten, 15 Fachpersonen) zu Akzeptanz, Barrieren und Lösungen bei Prähabilitationsprogrammen vor Hüft- und Kniegelenksersatz in Australien.</w:t>
      </w:r>
    </w:p>
    <w:p>
      <w:r>
        <w:rPr>
          <w:b/>
        </w:rPr>
        <w:t xml:space="preserve">Ergebnis: </w:t>
      </w:r>
      <w:r>
        <w:t>Prähabilitationsmaßnahme wurde allgemein als akzeptabel und vorteilhaft bewertet. Drei Hauptkonzepte: (1) Verständnis variierte, aber positive Bewertung überwiegend; (2) Barrieren/Förderfaktoren auf Patienten-, Fachpersonen- und Systemebene identifiziert (lange Wartelisten, mangelndes Vertrauen, Gesprächssicherheit); (3) Beide Gruppen betonten individuelle Anpassung, multimodale Intervention und kontinuierliche Unterstützung im OP-Verlauf als erfolgskritisch.</w:t>
      </w:r>
    </w:p>
    <w:p>
      <w:r>
        <w:rPr>
          <w:b/>
          <w:sz w:val="19"/>
        </w:rPr>
        <w:t xml:space="preserve">Übertragbarkeit: </w:t>
      </w:r>
      <w:r>
        <w:rPr>
          <w:sz w:val="19"/>
        </w:rPr>
        <w:t>Australien, öffentliches Versorgungssystem – Prozessqualität und Patientenperspektive gut übertragbar</w:t>
      </w:r>
    </w:p>
    <w:p>
      <w:r>
        <w:rPr>
          <w:color w:val="5A7D3A"/>
          <w:sz w:val="18"/>
        </w:rPr>
        <w:t>https://pubmed.ncbi.nlm.nih.gov/42847740/</w:t>
      </w:r>
    </w:p>
    <w:p>
      <w:pPr>
        <w:pStyle w:val="Heading2"/>
      </w:pPr>
      <w:r>
        <w:t>ADHS-Medikation in Norwegen: Anhaltende Anstiege nach COVID-19</w:t>
      </w:r>
    </w:p>
    <w:p>
      <w:r>
        <w:rPr>
          <w:i/>
          <w:color w:val="666666"/>
          <w:sz w:val="18"/>
        </w:rPr>
        <w:t>Reme BA et al.  ·  Scand J Public Health  ·  08.10.2026  ·  PMID 42847285</w:t>
      </w:r>
    </w:p>
    <w:p>
      <w:r>
        <w:t>Register-basierte Zeitreihenanalyse der ADHS-Arzneimittelverordnungen in Norwegen 2009–2024 mit 63,7 Millionen Personenjahren.</w:t>
      </w:r>
    </w:p>
    <w:p>
      <w:r>
        <w:rPr>
          <w:b/>
        </w:rPr>
        <w:t xml:space="preserve">Ergebnis: </w:t>
      </w:r>
      <w:r>
        <w:t>ADHS-Medikation vor 2020 stabil, danach deutlicher Anstieg. Größte Anstiege bei weiblichen Adoleszenten (15–24 Jahre): +19 Prozentpunkte (von 5,2% auf 24,4% jährlich). Männliche Jugendliche (15–24 Jahre): +9,0 Prozentpunkte (von 2,7% auf 11,7%). Der Anstieg blieb auch nach 2020 dauerhaft.</w:t>
      </w:r>
    </w:p>
    <w:p>
      <w:r>
        <w:rPr>
          <w:b/>
          <w:sz w:val="19"/>
        </w:rPr>
        <w:t xml:space="preserve">Übertragbarkeit: </w:t>
      </w:r>
      <w:r>
        <w:rPr>
          <w:sz w:val="19"/>
        </w:rPr>
        <w:t>Norwegen, nationale Verordnungsdatenbank, Fragestellung zur Versorgungspraxis systemübergreifend</w:t>
      </w:r>
    </w:p>
    <w:p>
      <w:r>
        <w:rPr>
          <w:color w:val="5A7D3A"/>
          <w:sz w:val="18"/>
        </w:rPr>
        <w:t>https://pubmed.ncbi.nlm.nih.gov/42847285/</w:t>
      </w:r>
    </w:p>
    <w:p>
      <w:pPr>
        <w:pStyle w:val="Heading2"/>
      </w:pPr>
      <w:r>
        <w:t>Agent-basiertes Modell der Demenzbetreuung in der Gemeinde: Validierte Baseline-Szenarien</w:t>
      </w:r>
    </w:p>
    <w:p>
      <w:r>
        <w:rPr>
          <w:i/>
          <w:color w:val="666666"/>
          <w:sz w:val="18"/>
        </w:rPr>
        <w:t>Zhu C et al.  ·  Front Public Health  ·  23.09.2026  ·  PMID 42846501</w:t>
      </w:r>
    </w:p>
    <w:p>
      <w:r>
        <w:t>Entwicklung und Validierung eines regelgestützten agentengestützten Modells (ABM) zur Simulation der Langzeitdynamiken in der gemeindlichen Demenzbetreuung mit evidenzgestützten Parametern.</w:t>
      </w:r>
    </w:p>
    <w:p>
      <w:r>
        <w:rPr>
          <w:b/>
        </w:rPr>
        <w:t xml:space="preserve">Ergebnis: </w:t>
      </w:r>
      <w:r>
        <w:t>BPSD-Prävalenz stieg von 75,6% (Start) auf 96,4% (Monat 60; Monte-Carlo 95% KI 96,3–96,5%). Durchschnittliche Betreuungslast erhöhte sich von 0,505 auf 0,782. Im Monat 60 befanden sich durchschnittlich 161 Betreuungseinheiten in institutioneller Betreuung. Lokale Sensitivitätsanalysen zeigten begrenzte Variabilität in Primäroutcomes über getestete Bereiche.</w:t>
      </w:r>
    </w:p>
    <w:p>
      <w:r>
        <w:rPr>
          <w:b/>
          <w:sz w:val="19"/>
        </w:rPr>
        <w:t xml:space="preserve">Übertragbarkeit: </w:t>
      </w:r>
      <w:r>
        <w:rPr>
          <w:sz w:val="19"/>
        </w:rPr>
        <w:t>China, strukturiertes Health Services Research-Modell für spezialisierte Versorgungsforschung</w:t>
      </w:r>
    </w:p>
    <w:p>
      <w:r>
        <w:rPr>
          <w:color w:val="5A7D3A"/>
          <w:sz w:val="18"/>
        </w:rPr>
        <w:t>https://pubmed.ncbi.nlm.nih.gov/42846501/</w:t>
      </w:r>
    </w:p>
    <w:p>
      <w:pPr>
        <w:pStyle w:val="Heading2"/>
      </w:pPr>
      <w:r>
        <w:t>Psychosoziales Wohlbefinden bei Long COVID: Patientenzentrierte Interventionsstrategien</w:t>
      </w:r>
    </w:p>
    <w:p>
      <w:r>
        <w:rPr>
          <w:i/>
          <w:color w:val="666666"/>
          <w:sz w:val="18"/>
        </w:rPr>
        <w:t>Martinez BD et al.  ·  Front Psychiatry  ·  23.09.2026  ·  PMID 42846347</w:t>
      </w:r>
    </w:p>
    <w:p>
      <w:r>
        <w:t>Qualitative Studie mit 19 semi-strukturierten Interviews und Community Advisory Team-Fokusgruppen zu Faktoren und patientengenerierten Strategien für psychosoziales Wohlbefinden bei Long COVID.</w:t>
      </w:r>
    </w:p>
    <w:p>
      <w:r>
        <w:rPr>
          <w:b/>
        </w:rPr>
        <w:t xml:space="preserve">Ergebnis: </w:t>
      </w:r>
      <w:r>
        <w:t>Drei Primärfaktoren beeinflussen negativ psychosoziales Wohlbefinden: Identitätsstörung (Verlust von Fähigkeiten, Selbstständigkeit), Isolation (reduzierte soziale Partizipation, Stigmatisierung), Unsicherheit (Krankheits-/Behandlungspfade, Invaliditätssysteme). Patienten identifizierten: Case-Management, strukturierte Peersupport, Public-Awareness-Kampagnen und persönliche Adaptationspraktiken als förderlich.</w:t>
      </w:r>
    </w:p>
    <w:p>
      <w:r>
        <w:rPr>
          <w:b/>
          <w:sz w:val="19"/>
        </w:rPr>
        <w:t xml:space="preserve">Übertragbarkeit: </w:t>
      </w:r>
      <w:r>
        <w:rPr>
          <w:sz w:val="19"/>
        </w:rPr>
        <w:t>USA, systemunabhängig – psychosoziale Versorgungsfragen krankheitsübergreifend relevant</w:t>
      </w:r>
    </w:p>
    <w:p>
      <w:r>
        <w:rPr>
          <w:color w:val="5A7D3A"/>
          <w:sz w:val="18"/>
        </w:rPr>
        <w:t>https://pubmed.ncbi.nlm.nih.gov/42846347/</w:t>
      </w:r>
    </w:p>
    <w:p>
      <w:pPr>
        <w:pStyle w:val="Heading1"/>
      </w:pPr>
      <w:r>
        <w:t>Aufgenommen am 08.10.2026</w:t>
      </w:r>
    </w:p>
    <w:p>
      <w:pPr>
        <w:pStyle w:val="Heading2"/>
      </w:pPr>
      <w:r>
        <w:t>Ärztevariabilität dominiert Schicht-Effekte in der ED</w:t>
      </w:r>
    </w:p>
    <w:p>
      <w:r>
        <w:rPr>
          <w:i/>
          <w:color w:val="666666"/>
          <w:sz w:val="18"/>
        </w:rPr>
        <w:t>Büyükkaya MŞ et al.  ·  Postgrad Med J  ·  07.10.2026  ·  PMID 42842596</w:t>
      </w:r>
    </w:p>
    <w:p>
      <w:r>
        <w:t>Retrospektive Beobachtungsstudie zu diagnostischer Ressourcentechnik (Labor, Bildgebung, Konsile) bei 11.032 niedrig-akuten ED-Besuchen in der Türkei nach Schichtzeit und Arzt.</w:t>
      </w:r>
    </w:p>
    <w:p>
      <w:r>
        <w:rPr>
          <w:b/>
        </w:rPr>
        <w:t xml:space="preserve">Ergebnis: </w:t>
      </w:r>
      <w:r>
        <w:t>Laborquoten 9,5% (p=0,997), Bildgebung 12,6–13,5% (p=0,485) zeigen keine signifikante Schicht-Variation. Arzt-Level-Variation deutlich größer: Labor 3,5–21,5%, Bildgebung 6,3–28,7%. Ärztliche Spezialisierung dominiert.</w:t>
      </w:r>
    </w:p>
    <w:p>
      <w:r>
        <w:rPr>
          <w:b/>
          <w:sz w:val="19"/>
        </w:rPr>
        <w:t xml:space="preserve">Übertragbarkeit: </w:t>
      </w:r>
      <w:r>
        <w:rPr>
          <w:sz w:val="19"/>
        </w:rPr>
        <w:t>Türkei, aber Frage zur Ärzte-Variabilität und Ressourcennutzung systemunabhängig</w:t>
      </w:r>
    </w:p>
    <w:p>
      <w:r>
        <w:rPr>
          <w:color w:val="5A7D3A"/>
          <w:sz w:val="18"/>
        </w:rPr>
        <w:t>https://pubmed.ncbi.nlm.nih.gov/42842596/</w:t>
      </w:r>
    </w:p>
    <w:p>
      <w:pPr>
        <w:pStyle w:val="Heading2"/>
      </w:pPr>
      <w:r>
        <w:t>Durst bei Herzinsuffizienz-Patienten auf Transplantwarteliste</w:t>
      </w:r>
    </w:p>
    <w:p>
      <w:r>
        <w:rPr>
          <w:i/>
          <w:color w:val="666666"/>
          <w:sz w:val="18"/>
        </w:rPr>
        <w:t>Wefer F et al.  ·  Nurs Crit Care  ·  Nov. 2026  ·  PMID 42841439</w:t>
      </w:r>
    </w:p>
    <w:p>
      <w:r>
        <w:t>Qualitative Mischmethod-Studie mit 10 Patienteninterviews und 2 Fokusgruppen (5 Pflegekräfte) sowie 59 Pflegekräfte-Befragung zur Erfahrung mit Durst bei hochgradig Herzkranken.</w:t>
      </w:r>
    </w:p>
    <w:p>
      <w:r>
        <w:rPr>
          <w:b/>
        </w:rPr>
        <w:t xml:space="preserve">Ergebnis: </w:t>
      </w:r>
      <w:r>
        <w:t>Patienten berichten heterogenes Durstserleben (mild bis schwer). Pflege hält es für relevant, nutzt aber sehr unterschiedliche Assessmentstrategien; &lt;50% bewerten Durst regelmäßig. Patienten und Pflegekräfte wünschen standardisierte Beratung.</w:t>
      </w:r>
    </w:p>
    <w:p>
      <w:r>
        <w:rPr>
          <w:b/>
          <w:sz w:val="19"/>
        </w:rPr>
        <w:t xml:space="preserve">Übertragbarkeit: </w:t>
      </w:r>
      <w:r>
        <w:rPr>
          <w:sz w:val="19"/>
        </w:rPr>
        <w:t>Deutschland (Ruhr-Universität Bochum, Bad Oeynhausen), direkt übertragbar</w:t>
      </w:r>
    </w:p>
    <w:p>
      <w:r>
        <w:rPr>
          <w:color w:val="5A7D3A"/>
          <w:sz w:val="18"/>
        </w:rPr>
        <w:t>https://pubmed.ncbi.nlm.nih.gov/42841439/</w:t>
      </w:r>
    </w:p>
    <w:p>
      <w:pPr>
        <w:pStyle w:val="Heading2"/>
      </w:pPr>
      <w:r>
        <w:t>Primary care accessibility reduces inappropriate ED attendance</w:t>
      </w:r>
    </w:p>
    <w:p>
      <w:r>
        <w:rPr>
          <w:i/>
          <w:color w:val="666666"/>
          <w:sz w:val="18"/>
        </w:rPr>
        <w:t>Koh JJE et al.  ·  Singapore Med J  ·  05.10.2026  ·  PMID 42839708</w:t>
      </w:r>
    </w:p>
    <w:p>
      <w:r>
        <w:t>Retrospektive Kohortenstudie untersuchte, wie Erreichbarkeit und Verfügbarkeit von Hausarztpraxen die unangemessene Notfallaufnahmebesuche (12,5% von 135.838 Besuchen) beeinflussen.</w:t>
      </w:r>
    </w:p>
    <w:p>
      <w:r>
        <w:rPr>
          <w:b/>
        </w:rPr>
        <w:t xml:space="preserve">Ergebnis: </w:t>
      </w:r>
      <w:r>
        <w:t>Reisezeit &gt;5 Min zu nächster Praxis erhöhte unangemessene ED-Besuche um 13–24%, Reisedistanz &gt;1 km um 10–33%. Mehr als 3 Praxen im 1-km-Radius reduzierten unangemessene Besuche um ≥12%.</w:t>
      </w:r>
    </w:p>
    <w:p>
      <w:r>
        <w:rPr>
          <w:b/>
          <w:sz w:val="19"/>
        </w:rPr>
        <w:t xml:space="preserve">Übertragbarkeit: </w:t>
      </w:r>
      <w:r>
        <w:rPr>
          <w:sz w:val="19"/>
        </w:rPr>
        <w:t>Singapur, aber Fragestellung systemunabhängig zur Primärversorgung</w:t>
      </w:r>
    </w:p>
    <w:p>
      <w:r>
        <w:rPr>
          <w:color w:val="5A7D3A"/>
          <w:sz w:val="18"/>
        </w:rPr>
        <w:t>https://pubmed.ncbi.nlm.nih.gov/42839708/</w:t>
      </w:r>
    </w:p>
    <w:p>
      <w:pPr>
        <w:pStyle w:val="Heading2"/>
      </w:pPr>
      <w:r>
        <w:t>Ärzt- und Praxis-Level-Variation in Studienteilnahme bei Krebs</w:t>
      </w:r>
    </w:p>
    <w:p>
      <w:r>
        <w:rPr>
          <w:i/>
          <w:color w:val="666666"/>
          <w:sz w:val="18"/>
        </w:rPr>
        <w:t>Jiang C et al.  ·  JAMA Netw Open  ·  01.10.2026  ·  PMID 42837155</w:t>
      </w:r>
    </w:p>
    <w:p>
      <w:r>
        <w:t>Kohortenstudie von 205.743 Patienten mit fortgeschrittenem Krebs (2011–2024) zur Klinische-Studien-Teilnahme in 1.664 Arzt-Praxen, 107 Zentren (Flatiron-Daten).</w:t>
      </w:r>
    </w:p>
    <w:p>
      <w:r>
        <w:rPr>
          <w:b/>
        </w:rPr>
        <w:t xml:space="preserve">Ergebnis: </w:t>
      </w:r>
      <w:r>
        <w:t>Studienteilnahme 5,2% (2011: 3,9%, 2024: 6,8%). 23,4% Ärzte mit 83,6% Einschlüssen; 19,6% Praxen mit 80,5% der Patienten. Arzt- (12,3%) und Praxis-Level (15,1%) erklären mehr Variation als beobachtbare Patientenfaktoren (11,4%).</w:t>
      </w:r>
    </w:p>
    <w:p>
      <w:r>
        <w:rPr>
          <w:b/>
          <w:sz w:val="19"/>
        </w:rPr>
        <w:t xml:space="preserve">Übertragbarkeit: </w:t>
      </w:r>
      <w:r>
        <w:rPr>
          <w:sz w:val="19"/>
        </w:rPr>
        <w:t>USA, aber Fragestellung zu System- und Anbieter-Barrieren in der Forschung systemunabhängig</w:t>
      </w:r>
    </w:p>
    <w:p>
      <w:r>
        <w:rPr>
          <w:color w:val="5A7D3A"/>
          <w:sz w:val="18"/>
        </w:rPr>
        <w:t>https://pubmed.ncbi.nlm.nih.gov/42837155/</w:t>
      </w:r>
    </w:p>
    <w:p>
      <w:pPr>
        <w:pStyle w:val="Heading2"/>
      </w:pPr>
      <w:r>
        <w:t>Person-zentrierte Demenzpflege durch Coaching umsetzen</w:t>
      </w:r>
    </w:p>
    <w:p>
      <w:r>
        <w:rPr>
          <w:i/>
          <w:color w:val="666666"/>
          <w:sz w:val="18"/>
        </w:rPr>
        <w:t>Moczygemba W et al.  ·  Gerontologist  ·  03.10.2026  ·  PMID 42830447</w:t>
      </w:r>
    </w:p>
    <w:p>
      <w:r>
        <w:t>Pre-post-Studie zur Implementierung des Care Community Coaching Program (CCCP) in 38 Langzeitpflegeeinrichtungen Ohios zur Umsetzung von Dementia Care Practice Recommendations.</w:t>
      </w:r>
    </w:p>
    <w:p>
      <w:r>
        <w:rPr>
          <w:b/>
        </w:rPr>
        <w:t xml:space="preserve">Ergebnis: </w:t>
      </w:r>
      <w:r>
        <w:t>Signifikante Verbesserungen in 8 von 9 Leitlinien-Bereichen für personenzentrierte Versorgung; Baseline-Implementationsrate 61,8%, Arbeitskräfte-Praktiken 78,3%. Barriers und Facilitators dokumentiert.</w:t>
      </w:r>
    </w:p>
    <w:p>
      <w:r>
        <w:rPr>
          <w:b/>
          <w:sz w:val="19"/>
        </w:rPr>
        <w:t xml:space="preserve">Übertragbarkeit: </w:t>
      </w:r>
      <w:r>
        <w:rPr>
          <w:sz w:val="19"/>
        </w:rPr>
        <w:t>USA, aber Fragestellung zur Implementierungsforschung systemübergreifend relevant</w:t>
      </w:r>
    </w:p>
    <w:p>
      <w:r>
        <w:rPr>
          <w:color w:val="5A7D3A"/>
          <w:sz w:val="18"/>
        </w:rPr>
        <w:t>https://pubmed.ncbi.nlm.nih.gov/42830447/</w:t>
      </w:r>
    </w:p>
    <w:p>
      <w:pPr>
        <w:pStyle w:val="Heading2"/>
      </w:pPr>
      <w:r>
        <w:t>Stressabbau senkt Blutdruck bei Normotensiven</w:t>
      </w:r>
    </w:p>
    <w:p>
      <w:r>
        <w:rPr>
          <w:i/>
          <w:color w:val="666666"/>
          <w:sz w:val="18"/>
        </w:rPr>
        <w:t>Kamijima J et al.  ·  J Hum Hypertens  ·  03.10.2026  ·  PMID 42829395</w:t>
      </w:r>
    </w:p>
    <w:p>
      <w:r>
        <w:t>Systematisches Review und Metaanalyse von 22 RCTs (n=3.089) zu Stressmanagement-Interventionen und Blutdruckveränderungen bei gesunden Erwachsenen ohne Hypertonie.</w:t>
      </w:r>
    </w:p>
    <w:p>
      <w:r>
        <w:rPr>
          <w:b/>
        </w:rPr>
        <w:t xml:space="preserve">Ergebnis: </w:t>
      </w:r>
      <w:r>
        <w:t>Mind-Body-Übung: −2,17 mmHg systolisch (95% KI −3,29 bis −1,05), −1,69 mmHg diastolisch; Meditation: −1,49/−1,00 mmHg; Relaxation: −4,76/−1,71 mmHg. Primärprävention möglich.</w:t>
      </w:r>
    </w:p>
    <w:p>
      <w:r>
        <w:rPr>
          <w:b/>
          <w:sz w:val="19"/>
        </w:rPr>
        <w:t xml:space="preserve">Übertragbarkeit: </w:t>
      </w:r>
      <w:r>
        <w:rPr>
          <w:sz w:val="19"/>
        </w:rPr>
        <w:t>Internationale Datenbasis, systemunabhängige Fragestellung zu Prävention</w:t>
      </w:r>
    </w:p>
    <w:p>
      <w:r>
        <w:rPr>
          <w:color w:val="5A7D3A"/>
          <w:sz w:val="18"/>
        </w:rPr>
        <w:t>https://pubmed.ncbi.nlm.nih.gov/42829395/</w:t>
      </w:r>
    </w:p>
    <w:p>
      <w:pPr>
        <w:pStyle w:val="Heading2"/>
      </w:pPr>
      <w:r>
        <w:t>Verweildauer bei Mundkrebs in Deutschland</w:t>
      </w:r>
    </w:p>
    <w:p>
      <w:r>
        <w:rPr>
          <w:i/>
          <w:color w:val="666666"/>
          <w:sz w:val="18"/>
        </w:rPr>
        <w:t>Cirkel LL et al.  ·  Reports (MDPI)  ·  02.09.2026  ·  PMID 42784021</w:t>
      </w:r>
    </w:p>
    <w:p>
      <w:r>
        <w:t>Retrospektive Multizenter-Analyse von 3.957 Krebshospitalisierungen (2019–2024) aus 34 deutschen Krankenhäusern zu Verweildauer und Einflussfaktoren.</w:t>
      </w:r>
    </w:p>
    <w:p>
      <w:r>
        <w:rPr>
          <w:b/>
        </w:rPr>
        <w:t xml:space="preserve">Ergebnis: </w:t>
      </w:r>
      <w:r>
        <w:t>Mediane Verweildauer 6 Tage (IQR 3–13), Mittel 10,2 Tage. 49,4% ≥7 Tage, 23,5% ≥14 Tage. Alter &gt;80 Jahre: Rate Ratio 1,17 (95% KI 1,13–1,21); hohe Komorbiditätslast: RR 1,58 (1,54–1,63); Bluttransfusion RR 1,80, komplexe Intensivbehandlung RR 1,70.</w:t>
      </w:r>
    </w:p>
    <w:p>
      <w:r>
        <w:rPr>
          <w:b/>
          <w:sz w:val="19"/>
        </w:rPr>
        <w:t xml:space="preserve">Übertragbarkeit: </w:t>
      </w:r>
      <w:r>
        <w:rPr>
          <w:sz w:val="19"/>
        </w:rPr>
        <w:t>Deutsche Routinedaten, 49 Krankenhäuser, direkt übertragbar</w:t>
      </w:r>
    </w:p>
    <w:p>
      <w:r>
        <w:rPr>
          <w:color w:val="5A7D3A"/>
          <w:sz w:val="18"/>
        </w:rPr>
        <w:t>https://pubmed.ncbi.nlm.nih.gov/42784021/</w:t>
      </w:r>
    </w:p>
    <w:p>
      <w:pPr>
        <w:pStyle w:val="Heading1"/>
      </w:pPr>
      <w:r>
        <w:t>Aufgenommen am 07.10.2026</w:t>
      </w:r>
    </w:p>
    <w:p>
      <w:pPr>
        <w:pStyle w:val="Heading2"/>
      </w:pPr>
      <w:r>
        <w:t>Reisebelastungen bei Methadon-Ambulanzbesuchen</w:t>
      </w:r>
    </w:p>
    <w:p>
      <w:r>
        <w:rPr>
          <w:i/>
          <w:color w:val="666666"/>
          <w:sz w:val="18"/>
        </w:rPr>
        <w:t>Austin EJ et al.  ·  JAMA Netw Open  ·  01.10.2026  ·  PMID 42837152</w:t>
      </w:r>
    </w:p>
    <w:p>
      <w:r>
        <w:t>Mixed-Methods-Studie (Befragung + qualitative Interviews) zu Reiseerfahrungen von 98 Patienten an Opioid-Behandlungsprogrammen in Washington State.</w:t>
      </w:r>
    </w:p>
    <w:p>
      <w:r>
        <w:rPr>
          <w:b/>
        </w:rPr>
        <w:t xml:space="preserve">Ergebnis: </w:t>
      </w:r>
      <w:r>
        <w:t>Mittlere Reisedauer 82,5 Min (Spannweite 10–330 Min) und durchschnittliche Kosten 15,80 USD pro Besuch. 55,1% fuhren selbst, 21,4% wurden gefahren, 12,3% nutzten ÖPNV. Kernproblem: Unpredictable Wartezeiten und Konflikte mit Beruf/Familie beeinträchtigen Adhärenz.</w:t>
      </w:r>
    </w:p>
    <w:p>
      <w:r>
        <w:rPr>
          <w:b/>
          <w:sz w:val="19"/>
        </w:rPr>
        <w:t xml:space="preserve">Übertragbarkeit: </w:t>
      </w:r>
      <w:r>
        <w:rPr>
          <w:sz w:val="19"/>
        </w:rPr>
        <w:t>USA-Kontext, aber Problematik der Behandlungszugang für marginalisierte Gruppen systemübergreifend</w:t>
      </w:r>
    </w:p>
    <w:p>
      <w:r>
        <w:rPr>
          <w:color w:val="5A7D3A"/>
          <w:sz w:val="18"/>
        </w:rPr>
        <w:t>https://pubmed.ncbi.nlm.nih.gov/42837152/</w:t>
      </w:r>
    </w:p>
    <w:p>
      <w:pPr>
        <w:pStyle w:val="Heading2"/>
      </w:pPr>
      <w:r>
        <w:t>Palliative care in chronic heart failure in the Netherlands</w:t>
      </w:r>
    </w:p>
    <w:p>
      <w:r>
        <w:rPr>
          <w:i/>
          <w:color w:val="666666"/>
          <w:sz w:val="18"/>
        </w:rPr>
        <w:t>Aertsen-van der Kuip MSA et al.  ·  Neth Heart J  ·  06.10.2026  ·  PMID 42837105</w:t>
      </w:r>
    </w:p>
    <w:p>
      <w:r>
        <w:t>Befragung von 120 niederländischen Fachleuten zur Implementierung von Palliativversorgung und Advance Care Planning bei chronischer Herzinsuffizienz.</w:t>
      </w:r>
    </w:p>
    <w:p>
      <w:r>
        <w:rPr>
          <w:b/>
        </w:rPr>
        <w:t xml:space="preserve">Ergebnis: </w:t>
      </w:r>
      <w:r>
        <w:t>97% der Fachleute bewerteten Palliativversorgung als (sehr) wichtig, aber nur etwa ein Drittel bot diese regelmäßig an. 78% konnten Palliativbedarf erkennen, nur 23% fühlten sich ausreichend qualifiziert. Hauptprobleme: fehlende Fähigkeiten und Zeitmangel.</w:t>
      </w:r>
    </w:p>
    <w:p>
      <w:r>
        <w:rPr>
          <w:b/>
          <w:sz w:val="19"/>
        </w:rPr>
        <w:t xml:space="preserve">Übertragbarkeit: </w:t>
      </w:r>
      <w:r>
        <w:rPr>
          <w:sz w:val="19"/>
        </w:rPr>
        <w:t>Niederlande, Sozialversicherungssystem, direkt übertragbar auf Deutschland</w:t>
      </w:r>
    </w:p>
    <w:p>
      <w:r>
        <w:rPr>
          <w:color w:val="5A7D3A"/>
          <w:sz w:val="18"/>
        </w:rPr>
        <w:t>https://pubmed.ncbi.nlm.nih.gov/42837105/</w:t>
      </w:r>
    </w:p>
    <w:p>
      <w:pPr>
        <w:pStyle w:val="Heading2"/>
      </w:pPr>
      <w:r>
        <w:t>Unterversorgung mit Kompressionstherapie bei Ulcus cruris venosum</w:t>
      </w:r>
    </w:p>
    <w:p>
      <w:r>
        <w:rPr>
          <w:i/>
          <w:color w:val="666666"/>
          <w:sz w:val="18"/>
        </w:rPr>
        <w:t>Stücker M et al.  ·  Int Wound J  ·  Okt. 2026  ·  PMID 42834577</w:t>
      </w:r>
    </w:p>
    <w:p>
      <w:r>
        <w:t>Retrospektive Kohortenanalyse von Routinedaten von 3,35 Millionen Versicherten zu Häufigkeit und Determinanten der Kompressionstherapie bei venösen Beindoloren und Ulzera.</w:t>
      </w:r>
    </w:p>
    <w:p>
      <w:r>
        <w:rPr>
          <w:b/>
        </w:rPr>
        <w:t xml:space="preserve">Ergebnis: </w:t>
      </w:r>
      <w:r>
        <w:t>Prävalenz: 0,50% für Ulcus cruris venosum (n=16.615), 7,27% für chronische Venenerkrankung (n=243.681). Über 5 Jahre: 75,85% mit Ulcus erhielten Kompression, aber 24,15% nicht – obwohl Kompression leitliniengerecht ist. Multimorbidität war höher bei Behandelten.</w:t>
      </w:r>
    </w:p>
    <w:p>
      <w:r>
        <w:rPr>
          <w:b/>
          <w:sz w:val="19"/>
        </w:rPr>
        <w:t xml:space="preserve">Übertragbarkeit: </w:t>
      </w:r>
      <w:r>
        <w:rPr>
          <w:sz w:val="19"/>
        </w:rPr>
        <w:t>Deutsche Routinedaten aus der gesetzlichen Krankenversicherung</w:t>
      </w:r>
    </w:p>
    <w:p>
      <w:r>
        <w:rPr>
          <w:color w:val="5A7D3A"/>
          <w:sz w:val="18"/>
        </w:rPr>
        <w:t>https://pubmed.ncbi.nlm.nih.gov/42834577/</w:t>
      </w:r>
    </w:p>
    <w:p>
      <w:pPr>
        <w:pStyle w:val="Heading2"/>
      </w:pPr>
      <w:r>
        <w:t>Qualität der Pflegeheimversorgung für Veteranen nach Hospitalisierung</w:t>
      </w:r>
    </w:p>
    <w:p>
      <w:r>
        <w:rPr>
          <w:i/>
          <w:color w:val="666666"/>
          <w:sz w:val="18"/>
        </w:rPr>
        <w:t>Burke RE et al.  ·  J Gen Intern Med  ·  30.09.2026  ·  PMID 42816723</w:t>
      </w:r>
    </w:p>
    <w:p>
      <w:r>
        <w:t>Retrospektive Kohortenstudie zur Verfügbarkeit und Nutzung hochqualitativer Pflegeheime (SNF) durch ältere Veteranen nach stationärer Aufnahme.</w:t>
      </w:r>
    </w:p>
    <w:p>
      <w:r>
        <w:rPr>
          <w:b/>
        </w:rPr>
        <w:t xml:space="preserve">Ergebnis: </w:t>
      </w:r>
      <w:r>
        <w:t>Von 926.860 Veteranen ≥66 Jahre nutzten &gt;92% private Medicare-Pflegeheime. Nur 34,4% wählten das bestbewertete SNF in der Nähe, 15,4% wählten das schlechteste. 64,5% hätten Zugang zu höher bewerteten Einrichtungen gehabt; 43,7% zu 5+ besseren Alternativen.</w:t>
      </w:r>
    </w:p>
    <w:p>
      <w:r>
        <w:rPr>
          <w:b/>
          <w:sz w:val="19"/>
        </w:rPr>
        <w:t xml:space="preserve">Übertragbarkeit: </w:t>
      </w:r>
      <w:r>
        <w:rPr>
          <w:sz w:val="19"/>
        </w:rPr>
        <w:t>USA-System, aber Frage der Qualitätssteuerung und Patientenwahl systemübergreifend relevant</w:t>
      </w:r>
    </w:p>
    <w:p>
      <w:r>
        <w:rPr>
          <w:color w:val="5A7D3A"/>
          <w:sz w:val="18"/>
        </w:rPr>
        <w:t>https://pubmed.ncbi.nlm.nih.gov/42816723/</w:t>
      </w:r>
    </w:p>
    <w:p>
      <w:pPr>
        <w:pStyle w:val="Heading2"/>
      </w:pPr>
      <w:r>
        <w:t>Partizipation nach Schlaganfall im jungen Erwachsenenalter</w:t>
      </w:r>
    </w:p>
    <w:p>
      <w:r>
        <w:rPr>
          <w:i/>
          <w:color w:val="666666"/>
          <w:sz w:val="18"/>
        </w:rPr>
        <w:t>Donnelly MR et al.  ·  Am J Occup Ther  ·  30.09.2026  ·  PMID 42813599</w:t>
      </w:r>
    </w:p>
    <w:p>
      <w:r>
        <w:t>Scoping Review von 15 Studien zur Partizipation junger Erwachsener (18–45 Jahre) nach Schlaganfall in Rollen und Aktivitäten des Erwachsenenlebens.</w:t>
      </w:r>
    </w:p>
    <w:p>
      <w:r>
        <w:rPr>
          <w:b/>
        </w:rPr>
        <w:t xml:space="preserve">Ergebnis: </w:t>
      </w:r>
      <w:r>
        <w:t>Schlaganfall führt zu Unterbrechung der beruflichen und sozialen Laufbahn; multi-dimensionale Effekte auf Rollen (Partner, Eltern), Bildung und Karriere. Rehabilitation fokussiert typischerweise auf motorische Funktionen, adressiert aber nicht die entwicklungsspezifischen Bedürfnisse junger Erwachsener.</w:t>
      </w:r>
    </w:p>
    <w:p>
      <w:r>
        <w:rPr>
          <w:b/>
          <w:sz w:val="19"/>
        </w:rPr>
        <w:t xml:space="preserve">Übertragbarkeit: </w:t>
      </w:r>
      <w:r>
        <w:rPr>
          <w:sz w:val="19"/>
        </w:rPr>
        <w:t>Qualitative HSR-Synthese, Erkenntnisse zur Versorgungsplanung systemunabhängig</w:t>
      </w:r>
    </w:p>
    <w:p>
      <w:r>
        <w:rPr>
          <w:color w:val="5A7D3A"/>
          <w:sz w:val="18"/>
        </w:rPr>
        <w:t>https://pubmed.ncbi.nlm.nih.gov/42813599/</w:t>
      </w:r>
    </w:p>
    <w:p>
      <w:pPr>
        <w:pStyle w:val="Heading2"/>
      </w:pPr>
      <w:r>
        <w:t>Atriale Kardiomyopathie und klinische Langzeitfolgen</w:t>
      </w:r>
    </w:p>
    <w:p>
      <w:r>
        <w:rPr>
          <w:i/>
          <w:color w:val="666666"/>
          <w:sz w:val="18"/>
        </w:rPr>
        <w:t>Kazi K et al.  ·  Europace  ·  02.09.2026  ·  PMID 42809232</w:t>
      </w:r>
    </w:p>
    <w:p>
      <w:r>
        <w:t>Kohortenstudie zu Assoziationen zwischen echokardiographischen Merkmalen atrialerKardiomyopathie und Inzidenz von Vorhofflimmern, Herzinsuffizienz und Schlaganfall. (Abstract ohne konkrete Ergebnisse verfügbar)</w:t>
      </w:r>
    </w:p>
    <w:p>
      <w:r>
        <w:rPr>
          <w:b/>
        </w:rPr>
        <w:t xml:space="preserve">Ergebnis: </w:t>
      </w:r>
      <w:r>
        <w:t>Abstract enthält keine benennbaren Zahlen oder Ergebnisse; nur Studiendesign beschrieben. Ausschluss.</w:t>
      </w:r>
    </w:p>
    <w:p>
      <w:r>
        <w:rPr>
          <w:b/>
          <w:sz w:val="19"/>
        </w:rPr>
        <w:t xml:space="preserve">Übertragbarkeit: </w:t>
      </w:r>
      <w:r>
        <w:rPr>
          <w:sz w:val="19"/>
        </w:rPr>
        <w:t>Ausgeschlossen</w:t>
      </w:r>
    </w:p>
    <w:p>
      <w:r>
        <w:rPr>
          <w:color w:val="5A7D3A"/>
          <w:sz w:val="18"/>
        </w:rPr>
        <w:t>https://pubmed.ncbi.nlm.nih.gov/42809232/</w:t>
      </w:r>
    </w:p>
    <w:p>
      <w:pPr>
        <w:pStyle w:val="Heading1"/>
      </w:pPr>
      <w:r>
        <w:t>Aufgenommen am 06.10.2026</w:t>
      </w:r>
    </w:p>
    <w:p>
      <w:pPr>
        <w:pStyle w:val="Heading2"/>
      </w:pPr>
      <w:r>
        <w:t>Zugang zu sexueller und reproduktiver Gesundheit bei Jugendlichen in Mogadischu: Qualitative Studie</w:t>
      </w:r>
    </w:p>
    <w:p>
      <w:r>
        <w:rPr>
          <w:i/>
          <w:color w:val="666666"/>
          <w:sz w:val="18"/>
        </w:rPr>
        <w:t>Asowe HA et al.  ·  Sex Health  ·  20.10.2026  ·  PMID 42833641</w:t>
      </w:r>
    </w:p>
    <w:p>
      <w:r>
        <w:t>Qualitative Mixed-Methods-Studie zu Zugang und Inanspruchnahme von Sexual- und Reproduktionsgesundheits-Dienstleistungen bei Jugendlichen in Mogadischu, Somalia.</w:t>
      </w:r>
    </w:p>
    <w:p>
      <w:r>
        <w:rPr>
          <w:b/>
        </w:rPr>
        <w:t xml:space="preserve">Ergebnis: </w:t>
      </w:r>
      <w:r>
        <w:t>21 Gesundheitseinrichtungen identifiziert, aber Dienste nicht auf Jugendliche zugeschnitten. Hauptbarrieren: Stigma, soziale Normen, Geschlechterdynamiken (männliche Zustimmung erforderlich), finanzielle und logistische Hindernisse. Dringend Bedarf für jugendfreundliche, geschlechtssensible Dienste und Norm-Veränderungsaktivitäten.</w:t>
      </w:r>
    </w:p>
    <w:p>
      <w:r>
        <w:rPr>
          <w:b/>
          <w:sz w:val="19"/>
        </w:rPr>
        <w:t xml:space="preserve">Übertragbarkeit: </w:t>
      </w:r>
      <w:r>
        <w:rPr>
          <w:sz w:val="19"/>
        </w:rPr>
        <w:t>Humanitarian-setting, Systemkontext sehr unterschiedlich, Befunde zu Zugangsbarrieren aber international relevant</w:t>
      </w:r>
    </w:p>
    <w:p>
      <w:r>
        <w:rPr>
          <w:color w:val="5A7D3A"/>
          <w:sz w:val="18"/>
        </w:rPr>
        <w:t>https://pubmed.ncbi.nlm.nih.gov/42833641/</w:t>
      </w:r>
    </w:p>
    <w:p>
      <w:pPr>
        <w:pStyle w:val="Heading2"/>
      </w:pPr>
      <w:r>
        <w:t>Expert Agreement on Palliative Reasoning and Monitoring in Heart Failure: International Delphi Study</w:t>
      </w:r>
    </w:p>
    <w:p>
      <w:r>
        <w:rPr>
          <w:i/>
          <w:color w:val="666666"/>
          <w:sz w:val="18"/>
        </w:rPr>
        <w:t>De Leeuw JCB et al.  ·  J Pain Symptom Manage  ·  05.10.2026  ·  PMID 42833597</w:t>
      </w:r>
    </w:p>
    <w:p>
      <w:r>
        <w:t>Internationale Delphi-Studie zur Etablierung von Expertenkonsens über palliative Versorgung bei Herzinsuffizienz aus neun europäischen Ländern.</w:t>
      </w:r>
    </w:p>
    <w:p>
      <w:r>
        <w:rPr>
          <w:b/>
        </w:rPr>
        <w:t xml:space="preserve">Ergebnis: </w:t>
      </w:r>
      <w:r>
        <w:t>156 Experten (Runde 1) und 121 (Runde 2, 78,1% Retention) erreichten Konsens über alle Schritte der palliativen Versorgung (I-CVI 0,82–0,95). Von 33 Symptomen erreichtenÂ 76% Übereinstimmung zu Relevanz und Formulierung. Monitoring-Instrument für Symptome, Wünsche und Bedarf entwickelt.</w:t>
      </w:r>
    </w:p>
    <w:p>
      <w:r>
        <w:rPr>
          <w:b/>
          <w:sz w:val="19"/>
        </w:rPr>
        <w:t xml:space="preserve">Übertragbarkeit: </w:t>
      </w:r>
      <w:r>
        <w:rPr>
          <w:sz w:val="19"/>
        </w:rPr>
        <w:t>Niederländische/europäische Leitung, neun europäische Länder, systemvergleichbar</w:t>
      </w:r>
    </w:p>
    <w:p>
      <w:r>
        <w:rPr>
          <w:color w:val="5A7D3A"/>
          <w:sz w:val="18"/>
        </w:rPr>
        <w:t>https://pubmed.ncbi.nlm.nih.gov/42833597/</w:t>
      </w:r>
    </w:p>
    <w:p>
      <w:pPr>
        <w:pStyle w:val="Heading2"/>
      </w:pPr>
      <w:r>
        <w:t>FOCUS-Tool zur Priorisierung von Guideline-Empfehlungen für Shared Decision Making</w:t>
      </w:r>
    </w:p>
    <w:p>
      <w:r>
        <w:rPr>
          <w:i/>
          <w:color w:val="666666"/>
          <w:sz w:val="18"/>
        </w:rPr>
        <w:t>Orduhan C et al.  ·  J Clin Epidemiol  ·  05.10.2026  ·  PMID 42833371</w:t>
      </w:r>
    </w:p>
    <w:p>
      <w:r>
        <w:t>Entwicklung und Test des FOCUS-Tools zur systematischen Identifikation von Guideline-Empfehlungen, die sich für Shared Decision Making eignen.</w:t>
      </w:r>
    </w:p>
    <w:p>
      <w:r>
        <w:rPr>
          <w:b/>
        </w:rPr>
        <w:t xml:space="preserve">Ergebnis: </w:t>
      </w:r>
      <w:r>
        <w:t>Fünf Items definiert: (1) multiple Optionen mit unterschiedlichen Nutzen-Schaden-Profilen, (2) Entscheidung mit Auswirkungen, (3) potenzielle Diskrepanz in Werten/Vorlieben, (4) Behandlungslast und finanzielle Aspekte, (5) Unsicherheit der Evidenz. Mittelwerte ≥3,38 auf 5-Punkt-Skala für Verständlichkeit, Anwendbarkeit und Nützlichkeit. 12 Teilnehmer aus acht Ländern, gute Akzeptanz.</w:t>
      </w:r>
    </w:p>
    <w:p>
      <w:r>
        <w:rPr>
          <w:b/>
          <w:sz w:val="19"/>
        </w:rPr>
        <w:t xml:space="preserve">Übertragbarkeit: </w:t>
      </w:r>
      <w:r>
        <w:rPr>
          <w:sz w:val="19"/>
        </w:rPr>
        <w:t>Deutsche Beteiligung, internationale Guideline-Entwicklung, systemunabhängige Methode</w:t>
      </w:r>
    </w:p>
    <w:p>
      <w:r>
        <w:rPr>
          <w:color w:val="5A7D3A"/>
          <w:sz w:val="18"/>
        </w:rPr>
        <w:t>https://pubmed.ncbi.nlm.nih.gov/42833371/</w:t>
      </w:r>
    </w:p>
    <w:p>
      <w:pPr>
        <w:pStyle w:val="Heading2"/>
      </w:pPr>
      <w:r>
        <w:t>National Ovarian Cancer Audit (NOCA) 2026: Qualitätsverbesserung der Ovarialkarzinom-Versorgung</w:t>
      </w:r>
    </w:p>
    <w:p>
      <w:r>
        <w:rPr>
          <w:i/>
          <w:color w:val="666666"/>
          <w:sz w:val="18"/>
        </w:rPr>
        <w:t>Zachou G et al.  ·  Clin Oncol (R Coll Radiol)  ·  10.09.2026  ·  PMID 42828886</w:t>
      </w:r>
    </w:p>
    <w:p>
      <w:r>
        <w:t>Nationale englisch-walisische Auditberichte zu Struktur-, Prozess- und Outcome-Qualität in der Ovarialkarzinom-Behandlung mit Quality-Improvement-Empfehlungen.</w:t>
      </w:r>
    </w:p>
    <w:p>
      <w:r>
        <w:rPr>
          <w:b/>
        </w:rPr>
        <w:t xml:space="preserve">Ergebnis: </w:t>
      </w:r>
      <w:r>
        <w:t>Daten nicht im Abstract verfügbar, aber Audit mit anschließenden Qualitätsverbesserungs-Interventionen durchgeführt. Fokus auf Standardisierung der Versorgung und Reduktion von Variabilität.</w:t>
      </w:r>
    </w:p>
    <w:p>
      <w:r>
        <w:rPr>
          <w:b/>
          <w:sz w:val="19"/>
        </w:rPr>
        <w:t xml:space="preserve">Übertragbarkeit: </w:t>
      </w:r>
      <w:r>
        <w:rPr>
          <w:sz w:val="19"/>
        </w:rPr>
        <w:t>Englisch-walisisches System, aber Audit-Methodologie und Qualitätsziele auf deutsches System übertragbar</w:t>
      </w:r>
    </w:p>
    <w:p>
      <w:r>
        <w:rPr>
          <w:color w:val="5A7D3A"/>
          <w:sz w:val="18"/>
        </w:rPr>
        <w:t>https://pubmed.ncbi.nlm.nih.gov/42828886/</w:t>
      </w:r>
    </w:p>
    <w:p>
      <w:pPr>
        <w:pStyle w:val="Heading2"/>
      </w:pPr>
      <w:r>
        <w:t>Langfristiges Rezidivrisiko nach Hysterektomie zur Prolaps-Behandlung</w:t>
      </w:r>
    </w:p>
    <w:p>
      <w:r>
        <w:rPr>
          <w:i/>
          <w:color w:val="666666"/>
          <w:sz w:val="18"/>
        </w:rPr>
        <w:t>Latack KR et al.  ·  Int Urogynecol J  ·  01.10.2026  ·  PMID 42821111</w:t>
      </w:r>
    </w:p>
    <w:p>
      <w:r>
        <w:t>Retrospektive Versicherungsanspruchsanalyse zu Prolaps-Retreatment nach Hysterektomie bei Prolaps-Diagnose, stratifiziert nach chirurgischem Zugang und Begleitverfahren.</w:t>
      </w:r>
    </w:p>
    <w:p>
      <w:r>
        <w:rPr>
          <w:b/>
        </w:rPr>
        <w:t xml:space="preserve">Ergebnis: </w:t>
      </w:r>
      <w:r>
        <w:t>7017 Patienten (Durchschnittsalter 51,3 Jahre). Concurrent Prolaps-Verfahren in 82%. Nach 24.129 Personenjahren: 399 Patienten (5,7%) retreated. Inzidenzrate 16,5 pro 1000 Personenjahre (95% CI 14,9–18,2). Vaginal vs. laparoskopisch: kein signifikanter Unterschied nach Adjustierung (aHR 1,39). Mit Colpopexy: abdominaler Zugang deutlich höheres Risiko.</w:t>
      </w:r>
    </w:p>
    <w:p>
      <w:r>
        <w:rPr>
          <w:b/>
          <w:sz w:val="19"/>
        </w:rPr>
        <w:t xml:space="preserve">Übertragbarkeit: </w:t>
      </w:r>
      <w:r>
        <w:rPr>
          <w:sz w:val="19"/>
        </w:rPr>
        <w:t>US-Versicherungsdaten, aber gynäkologische Fragestellung zur Prozessoptimierung systemunabhängig übertragbar</w:t>
      </w:r>
    </w:p>
    <w:p>
      <w:r>
        <w:rPr>
          <w:color w:val="5A7D3A"/>
          <w:sz w:val="18"/>
        </w:rPr>
        <w:t>https://pubmed.ncbi.nlm.nih.gov/42821111/</w:t>
      </w:r>
    </w:p>
    <w:p>
      <w:pPr>
        <w:pStyle w:val="Heading2"/>
      </w:pPr>
      <w:r>
        <w:t>Nachbarschafts-Umgebung und Präeklampsie-Risiko: Machine-Learning-Analyse</w:t>
      </w:r>
    </w:p>
    <w:p>
      <w:r>
        <w:rPr>
          <w:i/>
          <w:color w:val="666666"/>
          <w:sz w:val="18"/>
        </w:rPr>
        <w:t>Paris CF et al.  ·  Pregnancy (Hoboken)  ·  29.09.2026  ·  PMID 42819622</w:t>
      </w:r>
    </w:p>
    <w:p>
      <w:r>
        <w:t>Matched-Case-Control-Studie mit Machine Learning zur Bestimmung der relativen Bedeutung von Nachbarschaftsfaktoren (soziale Vulnerabilität, gebaute Umgebung) für Präeklampsie-Risiko in Philadelphia.</w:t>
      </w:r>
    </w:p>
    <w:p>
      <w:r>
        <w:rPr>
          <w:b/>
        </w:rPr>
        <w:t xml:space="preserve">Ergebnis: </w:t>
      </w:r>
      <w:r>
        <w:t>18.754 Teilnehmer (4.689 Präeklampsie-Fälle, 14.065 Kontrollen). Drei Nachbarschafts-Gesundheits-Vulnerabilitätsfaktoren am wichtigsten: Prävalenz von Adipositas, hohem Blutdruck und kurzer Schlafdauer bei Erwachsenen. Assoziationen mit Nachbarschafts-Hypertonie-Prävalenz besonders relevant für Präeklampsie-Prävention.</w:t>
      </w:r>
    </w:p>
    <w:p>
      <w:r>
        <w:rPr>
          <w:b/>
          <w:sz w:val="19"/>
        </w:rPr>
        <w:t xml:space="preserve">Übertragbarkeit: </w:t>
      </w:r>
      <w:r>
        <w:rPr>
          <w:sz w:val="19"/>
        </w:rPr>
        <w:t>US-Daten aus Philadelphia, aber sozialstrukturelle Fragestellung und Risiko-Identifikation systemunabhängig relevant</w:t>
      </w:r>
    </w:p>
    <w:p>
      <w:r>
        <w:rPr>
          <w:color w:val="5A7D3A"/>
          <w:sz w:val="18"/>
        </w:rPr>
        <w:t>https://pubmed.ncbi.nlm.nih.gov/42819622/</w:t>
      </w:r>
    </w:p>
    <w:p>
      <w:pPr>
        <w:pStyle w:val="Heading1"/>
      </w:pPr>
      <w:r>
        <w:t>Aufgenommen am 05.10.2026</w:t>
      </w:r>
    </w:p>
    <w:p>
      <w:pPr>
        <w:pStyle w:val="Heading2"/>
      </w:pPr>
      <w:r>
        <w:t>TALK-Debriefing-Methode verbessert Interprofessionalität und Patientensicherheit</w:t>
      </w:r>
    </w:p>
    <w:p>
      <w:r>
        <w:rPr>
          <w:i/>
          <w:color w:val="666666"/>
          <w:sz w:val="18"/>
        </w:rPr>
        <w:t>Targino JSO et al.  ·  J Eval Clin Pract  ·  Okt. 2026  ·  PMID 42829905</w:t>
      </w:r>
    </w:p>
    <w:p>
      <w:r>
        <w:t>Qualitative Aktionsforschung mit 12 Gesundheitsfachpersonen untersuchte Auswirkungen der TALK-Debriefing-Methode auf interprofessionelle Kommunikation und Patientensicherheit in brasilianischer Sekundärversorgung.</w:t>
      </w:r>
    </w:p>
    <w:p>
      <w:r>
        <w:rPr>
          <w:b/>
        </w:rPr>
        <w:t xml:space="preserve">Ergebnis: </w:t>
      </w:r>
      <w:r>
        <w:t>TALK-Methode funktionierte als strukturierendes Instrument für reflektive Praxis und reorganisierte interprofessionelle Interaktionen. Teilnehmer berichteten Verbesserungen in Kommunikation, Teamintegration und Versorgungsplanung sowie psychologisch sichere, nicht-punitives Umfeld. Barrieren: Zeitknappheit, Arbeitsbelastung, variable Engagement, begrenzte institutionelle Unterstützung.</w:t>
      </w:r>
    </w:p>
    <w:p>
      <w:r>
        <w:rPr>
          <w:b/>
          <w:sz w:val="19"/>
        </w:rPr>
        <w:t xml:space="preserve">Übertragbarkeit: </w:t>
      </w:r>
      <w:r>
        <w:rPr>
          <w:sz w:val="19"/>
        </w:rPr>
        <w:t>Qualitatives Design, systemunabhängige Fragestellung zu Kommunikation und Teamentwicklung</w:t>
      </w:r>
    </w:p>
    <w:p>
      <w:r>
        <w:rPr>
          <w:color w:val="5A7D3A"/>
          <w:sz w:val="18"/>
        </w:rPr>
        <w:t>https://pubmed.ncbi.nlm.nih.gov/42829905/</w:t>
      </w:r>
    </w:p>
    <w:p>
      <w:pPr>
        <w:pStyle w:val="Heading2"/>
      </w:pPr>
      <w:r>
        <w:t>Ernährungsberatung reduziert Alkoholkonsum bei mild kognitiver Beeinträchtigung</w:t>
      </w:r>
    </w:p>
    <w:p>
      <w:r>
        <w:rPr>
          <w:i/>
          <w:color w:val="666666"/>
          <w:sz w:val="18"/>
        </w:rPr>
        <w:t>Scheuermann JS et al.  ·  BMC Public Health  ·  03.10.2026  ·  PMID 42829430</w:t>
      </w:r>
    </w:p>
    <w:p>
      <w:r>
        <w:t>Sekundäranalyse eines RCT untersuchte, ob Ernährungsberatung (WFPB oder DGE-Richtlinien) den Alkoholkonsum bei 189 Personen mit milder kognitiver Beeinträchtigung über 12 Monate reduziert.</w:t>
      </w:r>
    </w:p>
    <w:p>
      <w:r>
        <w:rPr>
          <w:b/>
        </w:rPr>
        <w:t xml:space="preserve">Ergebnis: </w:t>
      </w:r>
      <w:r>
        <w:t>Beide Interventionen führten zu signifikanter Reduktion des Alkoholkonsums (Cohens d = 0,30 für WFPB; d = 0,39 für DGE). Frauen profitierten substanziell nur von DGE-Beratung (d = 0,33). Höherer Baseline-Alkoholkonsum, höheres Alter und bessere Adhärenz waren Prädiktoren für stärkere Reduktion.</w:t>
      </w:r>
    </w:p>
    <w:p>
      <w:r>
        <w:rPr>
          <w:b/>
          <w:sz w:val="19"/>
        </w:rPr>
        <w:t xml:space="preserve">Übertragbarkeit: </w:t>
      </w:r>
      <w:r>
        <w:rPr>
          <w:sz w:val="19"/>
        </w:rPr>
        <w:t>Deutsche RCT mit deutschen Interventionen (DGE-Richtlinien), Routine-Datenerfassung übertragbar</w:t>
      </w:r>
    </w:p>
    <w:p>
      <w:r>
        <w:rPr>
          <w:color w:val="5A7D3A"/>
          <w:sz w:val="18"/>
        </w:rPr>
        <w:t>https://pubmed.ncbi.nlm.nih.gov/42829430/</w:t>
      </w:r>
    </w:p>
    <w:p>
      <w:pPr>
        <w:pStyle w:val="Heading2"/>
      </w:pPr>
      <w:r>
        <w:t>Telehealth-Coaching für periphere arterielle Verschlusskrankheit kosteneffektiv unter günstigen Bedingungen</w:t>
      </w:r>
    </w:p>
    <w:p>
      <w:r>
        <w:rPr>
          <w:i/>
          <w:color w:val="666666"/>
          <w:sz w:val="18"/>
        </w:rPr>
        <w:t>Heider D et al.  ·  Am J Prev Cardiol  ·  14.07.2026  ·  PMID 42828241</w:t>
      </w:r>
    </w:p>
    <w:p>
      <w:r>
        <w:t>Kosteneffektivitätsanalyse eines 12-Monatigen Telehealth-Coaching- und Remote-Monitoring-Programms (TeGeCoach) für 394 PAD-Patienten basierend auf Krankenkassendaten und Fragebögen.</w:t>
      </w:r>
    </w:p>
    <w:p>
      <w:r>
        <w:rPr>
          <w:b/>
        </w:rPr>
        <w:t xml:space="preserve">Ergebnis: </w:t>
      </w:r>
      <w:r>
        <w:t>Bei WTP-Schwellenwert von 50.000 Euro: ITT 30% Wahrscheinlichkeit kosteneffektiv; mITT 79%; PP 95%. Interventionskosten 672 Euro. Unter PP-Analyse kosteneffektiv, aber ITT-Szenario nicht. Anpassung der Implementierung notwendig.</w:t>
      </w:r>
    </w:p>
    <w:p>
      <w:r>
        <w:rPr>
          <w:b/>
          <w:sz w:val="19"/>
        </w:rPr>
        <w:t xml:space="preserve">Übertragbarkeit: </w:t>
      </w:r>
      <w:r>
        <w:rPr>
          <w:sz w:val="19"/>
        </w:rPr>
        <w:t>Deutsche Krankenversicherungsdaten, praktische Implementierungsfrage für deutsche Versorgung</w:t>
      </w:r>
    </w:p>
    <w:p>
      <w:r>
        <w:rPr>
          <w:color w:val="5A7D3A"/>
          <w:sz w:val="18"/>
        </w:rPr>
        <w:t>https://pubmed.ncbi.nlm.nih.gov/42828241/</w:t>
      </w:r>
    </w:p>
    <w:p>
      <w:pPr>
        <w:pStyle w:val="Heading2"/>
      </w:pPr>
      <w:r>
        <w:t>Wiederholte pulmonale Rehabilitation bei COPD bleibt wirksam trotz kleinerer Gewinne</w:t>
      </w:r>
    </w:p>
    <w:p>
      <w:r>
        <w:rPr>
          <w:i/>
          <w:color w:val="666666"/>
          <w:sz w:val="18"/>
        </w:rPr>
        <w:t>Mohammed J et al.  ·  Can J Respir Ther  ·  30.09.2026  ·  PMID 42828082</w:t>
      </w:r>
    </w:p>
    <w:p>
      <w:r>
        <w:t>Retrospektive Analyse von 429 COPD-Patienten, die zwei Rehabilitationsprogramme (PR1 und PR2) an Ciro (Niederlande) zwischen 2005 und 2022 absolvierten.</w:t>
      </w:r>
    </w:p>
    <w:p>
      <w:r>
        <w:rPr>
          <w:b/>
        </w:rPr>
        <w:t xml:space="preserve">Ergebnis: </w:t>
      </w:r>
      <w:r>
        <w:t>Nach PR1 und PR2 signifikante Verbesserungen: 6MWD (PR1: 37,0 m [29,2–44,8]; PR2: 27,0 m [19,2–34,8]), Quadrizeps-Kraft (PR1: 10,4 Nm; PR2: 8,6 Nm), CAT, SGRQ, HADS und COPM. Gewinne nach PR2 kleiner, aber klinisch bedeutsam. Alle Outcomes zwischen PR1 und PR2 signifikant rückläufig.</w:t>
      </w:r>
    </w:p>
    <w:p>
      <w:r>
        <w:rPr>
          <w:b/>
          <w:sz w:val="19"/>
        </w:rPr>
        <w:t xml:space="preserve">Übertragbarkeit: </w:t>
      </w:r>
      <w:r>
        <w:rPr>
          <w:sz w:val="19"/>
        </w:rPr>
        <w:t>Niederländisches spezialisiertes Rehabilitationszentrum, vergleichbares System, Ergebnisse übertragbar</w:t>
      </w:r>
    </w:p>
    <w:p>
      <w:r>
        <w:rPr>
          <w:color w:val="5A7D3A"/>
          <w:sz w:val="18"/>
        </w:rPr>
        <w:t>https://pubmed.ncbi.nlm.nih.gov/42828082/</w:t>
      </w:r>
    </w:p>
    <w:p>
      <w:pPr>
        <w:pStyle w:val="Heading2"/>
      </w:pPr>
      <w:r>
        <w:t>Theory of Mind: kognitives Endophänotyp bei juveniler myoklonischer Epilepsie?</w:t>
      </w:r>
    </w:p>
    <w:p>
      <w:r>
        <w:rPr>
          <w:i/>
          <w:color w:val="666666"/>
          <w:sz w:val="18"/>
        </w:rPr>
        <w:t>Crespo-Pimentel B et al.  ·  Epilepsia  ·  01.10.2026  ·  PMID 42821310</w:t>
      </w:r>
    </w:p>
    <w:p>
      <w:r>
        <w:t>Prospektive Querschnittsstudie mit 52 Patienten mit juveniler myoklonischer Epilepsie (JME), 13 nicht-betroffenen Geschwistern und 64 gesunden Kontrollen untersuchte soziale Kognition als mögliches Endophänotyp.</w:t>
      </w:r>
    </w:p>
    <w:p>
      <w:r>
        <w:rPr>
          <w:b/>
        </w:rPr>
        <w:t xml:space="preserve">Ergebnis: </w:t>
      </w:r>
      <w:r>
        <w:t>JME-Patienten zeigten reduzierte Leistung bei Aufgaben zu Mentalisieren über Überzeugungen (Faux Pas Test, Reading Mind in the Eyes). Geschwister unterschieden sich nicht signifikant von JME-Patienten oder Kontrollen. Selektive Beeinträchtigung des Mentalisierens über Überzeugungen in JME, aber keine Evidenz für Endophänotyp-Rolle in dieser Stichprobe.</w:t>
      </w:r>
    </w:p>
    <w:p>
      <w:r>
        <w:rPr>
          <w:b/>
          <w:sz w:val="19"/>
        </w:rPr>
        <w:t xml:space="preserve">Übertragbarkeit: </w:t>
      </w:r>
      <w:r>
        <w:rPr>
          <w:sz w:val="19"/>
        </w:rPr>
        <w:t>Österreich-basierte Studie, systemunabhängige neuropsychologische Fragestellung</w:t>
      </w:r>
    </w:p>
    <w:p>
      <w:r>
        <w:rPr>
          <w:color w:val="5A7D3A"/>
          <w:sz w:val="18"/>
        </w:rPr>
        <w:t>https://pubmed.ncbi.nlm.nih.gov/42821310/</w:t>
      </w:r>
    </w:p>
    <w:p>
      <w:pPr>
        <w:pStyle w:val="Heading2"/>
      </w:pPr>
      <w:r>
        <w:t>Schlechte Adhärenz zu evidenzbasierter kardiovaskulärer Prävention bei schweren psychischen Erkrankungen in Norwegen</w:t>
      </w:r>
    </w:p>
    <w:p>
      <w:r>
        <w:rPr>
          <w:i/>
          <w:color w:val="666666"/>
          <w:sz w:val="18"/>
        </w:rPr>
        <w:t>Larsen S et al.  ·  Nord J Psychiatry  ·  30.09.2026  ·  PMID 42813764</w:t>
      </w:r>
    </w:p>
    <w:p>
      <w:r>
        <w:t>Multizenter-Studie mit 230 Patienten (Schizophrenie/bipolare Störung oder Antipsychotika-Nutzer) untersuchte Adhärenz zu evidenzbasierter kardiovaskulärer Prävention mittels Fidelity Scale.</w:t>
      </w:r>
    </w:p>
    <w:p>
      <w:r>
        <w:rPr>
          <w:b/>
        </w:rPr>
        <w:t xml:space="preserve">Ergebnis: </w:t>
      </w:r>
      <w:r>
        <w:t>Seiten zeigten geringe Fidelity-Scores (höher bei Richtlinien als bei Praktiken). Alle Risikofaktoren hochprevalent: tägliches Rauchen/Schnuff 58,1%. Zwischen Fidelity und Patientenergebnissen keine signifikanten Assoziationen nach Adjustierung. Spezialistische Versorgungsanbieter zeigten niedrige Adhärenz zu evidenzbasierter kardiovaskulärer Risikomanagement-Praxis.</w:t>
      </w:r>
    </w:p>
    <w:p>
      <w:r>
        <w:rPr>
          <w:b/>
          <w:sz w:val="19"/>
        </w:rPr>
        <w:t xml:space="preserve">Übertragbarkeit: </w:t>
      </w:r>
      <w:r>
        <w:rPr>
          <w:sz w:val="19"/>
        </w:rPr>
        <w:t>Norwegische spezialisierte psychische Gesundheitsversorgung, vergleichbar mit deutschem System</w:t>
      </w:r>
    </w:p>
    <w:p>
      <w:r>
        <w:rPr>
          <w:color w:val="5A7D3A"/>
          <w:sz w:val="18"/>
        </w:rPr>
        <w:t>https://pubmed.ncbi.nlm.nih.gov/42813764/</w:t>
      </w:r>
    </w:p>
    <w:p>
      <w:pPr>
        <w:pStyle w:val="Heading1"/>
      </w:pPr>
      <w:r>
        <w:t>Aufgenommen am 04.10.2026</w:t>
      </w:r>
    </w:p>
    <w:p>
      <w:pPr>
        <w:pStyle w:val="Heading2"/>
      </w:pPr>
      <w:r>
        <w:t>Längere MOUD-Dauer senkt postpartales Überdosis- und Sterblichkeitsrisiko</w:t>
      </w:r>
    </w:p>
    <w:p>
      <w:r>
        <w:rPr>
          <w:i/>
          <w:color w:val="666666"/>
          <w:sz w:val="18"/>
        </w:rPr>
        <w:t>Kim A et al.  ·  JAMA Netw Open  ·  01.10.2026  ·  PMID 42826020</w:t>
      </w:r>
    </w:p>
    <w:p>
      <w:r>
        <w:t>Retrospektive Kohorte mit Tennessee-Medicaid-Daten zu Schwangerschaften mit Medikamentöser Opioid-Abhängigkeitsbehandlung (MOUD) und postpartalem Überdosis-/Mortalitätsrisiko.</w:t>
      </w:r>
    </w:p>
    <w:p>
      <w:r>
        <w:rPr>
          <w:b/>
        </w:rPr>
        <w:t xml:space="preserve">Ergebnis: </w:t>
      </w:r>
      <w:r>
        <w:t>Unter 9.360 Schwangerschaften betrug die 1-Jahres-Postpartum-Mortalität/-Überdosisrate 1,58% (148 Fälle). Längere MOUD-Dauer während Schwangerschaft assoziiert mit niedrigerem Risiko: adjustierte Hazard Ratio für 132 vs. 1 Tag MOUD-Versorgung 0,52 (95%-KI 0,31–0,88).</w:t>
      </w:r>
    </w:p>
    <w:p>
      <w:r>
        <w:rPr>
          <w:b/>
          <w:sz w:val="19"/>
        </w:rPr>
        <w:t xml:space="preserve">Übertragbarkeit: </w:t>
      </w:r>
      <w:r>
        <w:rPr>
          <w:sz w:val="19"/>
        </w:rPr>
        <w:t>US-Medicaid-Daten; Fragestellung zur kontinuierlichen Opioid-Substitutionsbehandlung systemunabhängig relevant.</w:t>
      </w:r>
    </w:p>
    <w:p>
      <w:r>
        <w:rPr>
          <w:color w:val="5A7D3A"/>
          <w:sz w:val="18"/>
        </w:rPr>
        <w:t>https://pubmed.ncbi.nlm.nih.gov/42826020/</w:t>
      </w:r>
    </w:p>
    <w:p>
      <w:pPr>
        <w:pStyle w:val="Heading2"/>
      </w:pPr>
      <w:r>
        <w:t>Regionale Disparitäten beim direkten Rettungsdienst-Transport zu geriatrischen Notfallstationen</w:t>
      </w:r>
    </w:p>
    <w:p>
      <w:r>
        <w:rPr>
          <w:i/>
          <w:color w:val="666666"/>
          <w:sz w:val="18"/>
        </w:rPr>
        <w:t>Varg S et al.  ·  BMC Geriatr  ·  02.10.2026  ·  PMID 42823763</w:t>
      </w:r>
    </w:p>
    <w:p>
      <w:r>
        <w:t>Schwedische Register-Studie zu geografischen Unterschieden bei direkter Rettungsdienst-Zuweisung älterer Patienten (≥65J.) zu Notaufnahmen versus geriatrischen Spezialstationen.</w:t>
      </w:r>
    </w:p>
    <w:p>
      <w:r>
        <w:rPr>
          <w:b/>
        </w:rPr>
        <w:t xml:space="preserve">Ergebnis: </w:t>
      </w:r>
      <w:r>
        <w:t>Von 8.208 älteren Patienten wurden 7% (603) direkt zu geriatrischen Stationen transportiert. Zwischen Krankenhauseinzugsgebieten stark variierend (4–21%). Nach Adjustierung reduzierte sich Varianz um 41%, aber erhebliche regionale Unterschiede blieben (MOR=1,54).</w:t>
      </w:r>
    </w:p>
    <w:p>
      <w:r>
        <w:rPr>
          <w:b/>
          <w:sz w:val="19"/>
        </w:rPr>
        <w:t xml:space="preserve">Übertragbarkeit: </w:t>
      </w:r>
      <w:r>
        <w:rPr>
          <w:sz w:val="19"/>
        </w:rPr>
        <w:t>Schweden (Steuerfinanzierung); Prozessqualität und Zugangssteuerung in Primärversorgung auf deutsche Kontexte nur eingeschränkt übertragbar.</w:t>
      </w:r>
    </w:p>
    <w:p>
      <w:r>
        <w:rPr>
          <w:color w:val="5A7D3A"/>
          <w:sz w:val="18"/>
        </w:rPr>
        <w:t>https://pubmed.ncbi.nlm.nih.gov/42823763/</w:t>
      </w:r>
    </w:p>
    <w:p>
      <w:pPr>
        <w:pStyle w:val="Heading2"/>
      </w:pPr>
      <w:r>
        <w:t>Aktualisiertes WHO-STEPS-Modul zur Mundhygiene-Surveillance in der Bevölkerung</w:t>
      </w:r>
    </w:p>
    <w:p>
      <w:r>
        <w:rPr>
          <w:i/>
          <w:color w:val="666666"/>
          <w:sz w:val="18"/>
        </w:rPr>
        <w:t>Rendell N et al.  ·  Bull World Health Organ  ·  01.10.2026  ·  PMID 42820175</w:t>
      </w:r>
    </w:p>
    <w:p>
      <w:r>
        <w:t>WHO-Entwicklung eines aktualisierten Moduls zur Routine-Überwachung von Mundhygieneproblemen in Bevölkerungsumfragen zu nichtübertragbaren Erkrankungen.</w:t>
      </w:r>
    </w:p>
    <w:p>
      <w:r>
        <w:rPr>
          <w:b/>
        </w:rPr>
        <w:t xml:space="preserve">Ergebnis: </w:t>
      </w:r>
      <w:r>
        <w:t>Neues STEPS-Modul ergänzt bisherige Selbstangaben durch klinische Bewertungskomponente. Kann von Zahn- und Nicht-Zahnfachpersonal nach kurzer Schulung durchgeführt werden. Praktisch skalierbar zur Schließung persistierender Überwachungslücken.</w:t>
      </w:r>
    </w:p>
    <w:p>
      <w:r>
        <w:rPr>
          <w:b/>
          <w:sz w:val="19"/>
        </w:rPr>
        <w:t xml:space="preserve">Übertragbarkeit: </w:t>
      </w:r>
      <w:r>
        <w:rPr>
          <w:sz w:val="19"/>
        </w:rPr>
        <w:t>WHO-Empfehlung für globale Anwendbarkeit; für deutsche Public-Health-Surveillance relevant.</w:t>
      </w:r>
    </w:p>
    <w:p>
      <w:r>
        <w:rPr>
          <w:color w:val="5A7D3A"/>
          <w:sz w:val="18"/>
        </w:rPr>
        <w:t>https://pubmed.ncbi.nlm.nih.gov/42820175/</w:t>
      </w:r>
    </w:p>
    <w:p>
      <w:pPr>
        <w:pStyle w:val="Heading2"/>
      </w:pPr>
      <w:r>
        <w:t>Standardisierte Entlassungskriterien von Intensivstationen: Pilotimplementierung</w:t>
      </w:r>
    </w:p>
    <w:p>
      <w:r>
        <w:rPr>
          <w:i/>
          <w:color w:val="666666"/>
          <w:sz w:val="18"/>
        </w:rPr>
        <w:t>Hiller M et al.  ·  BMC Health Serv Res  ·  28.09.2026  ·  PMID 42811355</w:t>
      </w:r>
    </w:p>
    <w:p>
      <w:r>
        <w:t>Deutsche prospektive Pilotstudie zur Implementierbarkeit und klinischen Nutzbarkeit eines standardisierten Satzes von ICU-Entlassungskriterien in zwei Kliniken.</w:t>
      </w:r>
    </w:p>
    <w:p>
      <w:r>
        <w:rPr>
          <w:b/>
        </w:rPr>
        <w:t xml:space="preserve">Ergebnis: </w:t>
      </w:r>
      <w:r>
        <w:t>Elf patientenspezifische und organisationsspezifische Kriterien zeigten &gt;80% Completion bei Entlassungsentscheidungen und wurden als Kern-Set definiert. Organisationsspezifische Kriterien sollten je Klinik, Patientengruppen und Empfängerabteilungen angepasst werden.</w:t>
      </w:r>
    </w:p>
    <w:p>
      <w:r>
        <w:rPr>
          <w:b/>
          <w:sz w:val="19"/>
        </w:rPr>
        <w:t xml:space="preserve">Übertragbarkeit: </w:t>
      </w:r>
      <w:r>
        <w:rPr>
          <w:sz w:val="19"/>
        </w:rPr>
        <w:t>Deutsche Routinedaten aus zwei ICU-Stationen; direkt auf deutsches Versorgungssystem übertragbar.</w:t>
      </w:r>
    </w:p>
    <w:p>
      <w:r>
        <w:rPr>
          <w:color w:val="5A7D3A"/>
          <w:sz w:val="18"/>
        </w:rPr>
        <w:t>https://pubmed.ncbi.nlm.nih.gov/42811355/</w:t>
      </w:r>
    </w:p>
    <w:p>
      <w:pPr>
        <w:pStyle w:val="Heading2"/>
      </w:pPr>
      <w:r>
        <w:t>Arbeitgeberperspektiven auf Arbeitsplatzinklusion bei psychischen Erkrankungen</w:t>
      </w:r>
    </w:p>
    <w:p>
      <w:r>
        <w:rPr>
          <w:i/>
          <w:color w:val="666666"/>
          <w:sz w:val="18"/>
        </w:rPr>
        <w:t>Krumm S et al.  ·  BMC Health Serv Res  ·  28.09.2026  ·  PMID 42811348</w:t>
      </w:r>
    </w:p>
    <w:p>
      <w:r>
        <w:t>Qualitative Interview-Studie mit 29 deutschen Arbeitgebern zu Sichtweisen auf Inklusion von Arbeitnehmern mit psychischen Problemen.</w:t>
      </w:r>
    </w:p>
    <w:p>
      <w:r>
        <w:rPr>
          <w:b/>
        </w:rPr>
        <w:t xml:space="preserve">Ergebnis: </w:t>
      </w:r>
      <w:r>
        <w:t>Arbeitgeber beschrieben ambivalente Orientierungen: Normalisierungstrends einerseits, aber Verunsicherung bei Arbeitsorganisation, Teamdynamiken und Vorhersehbarkeit andererseits. Offenbarung, Eigenverantwortung und gegenseitiges Vertrauen wurden als zentral für Unterstützung betont.</w:t>
      </w:r>
    </w:p>
    <w:p>
      <w:r>
        <w:rPr>
          <w:b/>
          <w:sz w:val="19"/>
        </w:rPr>
        <w:t xml:space="preserve">Übertragbarkeit: </w:t>
      </w:r>
      <w:r>
        <w:rPr>
          <w:sz w:val="19"/>
        </w:rPr>
        <w:t>Deutsche Qualitätsstudie; direkt für deutsche Arbeitsmarkt- und Versorgungspolitik relevant.</w:t>
      </w:r>
    </w:p>
    <w:p>
      <w:r>
        <w:rPr>
          <w:color w:val="5A7D3A"/>
          <w:sz w:val="18"/>
        </w:rPr>
        <w:t>https://pubmed.ncbi.nlm.nih.gov/42811348/</w:t>
      </w:r>
    </w:p>
    <w:p>
      <w:pPr>
        <w:pStyle w:val="Heading2"/>
      </w:pPr>
      <w:r>
        <w:t>Radiotherapie-Personalnotstand UK: Reforming der Zertifizierung zur Schließung der Lücke</w:t>
      </w:r>
    </w:p>
    <w:p>
      <w:r>
        <w:rPr>
          <w:i/>
          <w:color w:val="666666"/>
          <w:sz w:val="18"/>
        </w:rPr>
        <w:t>Vulpe H et al.  ·  Eur J Cancer  ·  16.09.2026  ·  PMID 42810149</w:t>
      </w:r>
    </w:p>
    <w:p>
      <w:r>
        <w:t>Politische Analyse zur Personalknappheit in der klinischen Onkologie/Strahlentherapie im UK und Vorschlag für Regulierungsreform zur internationalen Rekrutierung.</w:t>
      </w:r>
    </w:p>
    <w:p>
      <w:r>
        <w:rPr>
          <w:b/>
        </w:rPr>
        <w:t xml:space="preserve">Ergebnis: </w:t>
      </w:r>
      <w:r>
        <w:t>17% Unterbesetzung in klinischer Onkologie heute, 26% prognostiziert bis 2030. UK-Dualausbildung (Radiotherapie + Systemtherapie) behindert Rekrutierung international trainierter Radiation Oncologists aus Systemen mit separaten Fachrichtungen.</w:t>
      </w:r>
    </w:p>
    <w:p>
      <w:r>
        <w:rPr>
          <w:b/>
          <w:sz w:val="19"/>
        </w:rPr>
        <w:t xml:space="preserve">Übertragbarkeit: </w:t>
      </w:r>
      <w:r>
        <w:rPr>
          <w:sz w:val="19"/>
        </w:rPr>
        <w:t>UK-Healthcare-System mit NHS; Regulierungsfragen systemabhängig, aber Workforceplanung grundsätzlich relevant.</w:t>
      </w:r>
    </w:p>
    <w:p>
      <w:r>
        <w:rPr>
          <w:color w:val="5A7D3A"/>
          <w:sz w:val="18"/>
        </w:rPr>
        <w:t>https://pubmed.ncbi.nlm.nih.gov/42810149/</w:t>
      </w:r>
    </w:p>
    <w:p>
      <w:pPr>
        <w:pStyle w:val="Heading2"/>
      </w:pPr>
      <w:r>
        <w:t>Geschlechter- und Diversitätsfaktoren in psychiatrischer Krankenhausbehandlung: Studienprotokoll PSY-DIVER</w:t>
      </w:r>
    </w:p>
    <w:p>
      <w:r>
        <w:rPr>
          <w:i/>
          <w:color w:val="666666"/>
          <w:sz w:val="18"/>
        </w:rPr>
        <w:t>Peters SJ et al.  ·  BMC Psychiatry  ·  24.09.2026  ·  PMID 42806324</w:t>
      </w:r>
    </w:p>
    <w:p>
      <w:r>
        <w:t>Deutsches Studienprotokoll zur Untersuchung von Geschlechts- und Diversitätsfaktoren (Alter, Migration, sexuelle Orientierung, Religion, SES) in der stationären psychiatrischen Versorgung.</w:t>
      </w:r>
    </w:p>
    <w:p>
      <w:r>
        <w:rPr>
          <w:b/>
        </w:rPr>
        <w:t xml:space="preserve">Ergebnis: </w:t>
      </w:r>
      <w:r>
        <w:t>Geplantes Mixed-Methods-Design mit Routinedaten-Analyse (500.000 stationäre Fälle 2015–2024), 31 Interviews und Online-Befragungen, Delphi-Prozess. NLP-gestützte Extraktion von Diversitätsvariablen aus klinischen Texten.</w:t>
      </w:r>
    </w:p>
    <w:p>
      <w:r>
        <w:rPr>
          <w:b/>
          <w:sz w:val="19"/>
        </w:rPr>
        <w:t xml:space="preserve">Übertragbarkeit: </w:t>
      </w:r>
      <w:r>
        <w:rPr>
          <w:sz w:val="19"/>
        </w:rPr>
        <w:t>Deutsche Studienplanung, neun psychiatrische LVR-Kliniken; hochgradig auf deutsches System übertragbar.</w:t>
      </w:r>
    </w:p>
    <w:p>
      <w:r>
        <w:rPr>
          <w:color w:val="5A7D3A"/>
          <w:sz w:val="18"/>
        </w:rPr>
        <w:t>https://pubmed.ncbi.nlm.nih.gov/42806324/</w:t>
      </w:r>
    </w:p>
    <w:p>
      <w:pPr>
        <w:pStyle w:val="Heading1"/>
      </w:pPr>
      <w:r>
        <w:t>Aufgenommen am 03.10.2026</w:t>
      </w:r>
    </w:p>
    <w:p>
      <w:pPr>
        <w:pStyle w:val="Heading2"/>
      </w:pPr>
      <w:r>
        <w:t>Rural medical students in China: nur 23% planen längerfristiges Bleiben im Landdienst</w:t>
      </w:r>
    </w:p>
    <w:p>
      <w:r>
        <w:rPr>
          <w:i/>
          <w:color w:val="666666"/>
          <w:sz w:val="18"/>
        </w:rPr>
        <w:t>Zhang X et al.  ·  BMC Health Serv Res  ·  21.09.2026  ·  PMID 42823771</w:t>
      </w:r>
    </w:p>
    <w:p>
      <w:r>
        <w:t>Qualitative Studie zu Bleibechancen ländlich ausgebildeter Medizinstudierender in chinesischen Stadtgesundheitszentren nach Pflichtdienst.</w:t>
      </w:r>
    </w:p>
    <w:p>
      <w:r>
        <w:rPr>
          <w:b/>
        </w:rPr>
        <w:t xml:space="preserve">Ergebnis: </w:t>
      </w:r>
      <w:r>
        <w:t>Von 26 befragten Studierenden wollten nur 23,1% (6/26) über die vorgeschriebene Dienstzeit hinaus bleiben. Führungsunterstützung erwies sich als prominentester Faktor für Unterschiede zwischen Bleibern und Weggehern. Work-Family-Balance war Erleichterungsfaktor. Karrieremobilitätsmechanismen wurden als unterentwickelt wahrgenommen.</w:t>
      </w:r>
    </w:p>
    <w:p>
      <w:r>
        <w:rPr>
          <w:b/>
          <w:sz w:val="19"/>
        </w:rPr>
        <w:t xml:space="preserve">Übertragbarkeit: </w:t>
      </w:r>
      <w:r>
        <w:rPr>
          <w:sz w:val="19"/>
        </w:rPr>
        <w:t>Nur bedingt: ländliche Kontexte in China; Fachkräftemangel aber global relevant.</w:t>
      </w:r>
    </w:p>
    <w:p>
      <w:r>
        <w:rPr>
          <w:color w:val="5A7D3A"/>
          <w:sz w:val="18"/>
        </w:rPr>
        <w:t>https://pubmed.ncbi.nlm.nih.gov/42823771/</w:t>
      </w:r>
    </w:p>
    <w:p>
      <w:pPr>
        <w:pStyle w:val="Heading2"/>
      </w:pPr>
      <w:r>
        <w:t>Specialist-led interprofessional weaning program reduces failed weaning in high-risk ICU patients</w:t>
      </w:r>
    </w:p>
    <w:p>
      <w:r>
        <w:rPr>
          <w:i/>
          <w:color w:val="666666"/>
          <w:sz w:val="18"/>
        </w:rPr>
        <w:t>Trudzinski FC et al.  ·  Crit Care  ·  30.09.2026  ·  PMID 42823746</w:t>
      </w:r>
    </w:p>
    <w:p>
      <w:r>
        <w:t>Deutsche Studie zur Wirksamkeit eines spezialisierten, interprofessionellen Beatmungsentwöhnungsprogramms bei intensivpflichtigen Patienten mit hohemRisiko.</w:t>
      </w:r>
    </w:p>
    <w:p>
      <w:r>
        <w:rPr>
          <w:b/>
        </w:rPr>
        <w:t xml:space="preserve">Ergebnis: </w:t>
      </w:r>
      <w:r>
        <w:t>In der propensity-score-matched Analyse wiesen Interventionspatienten höhere Quoten erfolgreicher Beatmungsentwöhnung auf (58,3% vs. 46,4%, OR 2,90; 95%-KI 1,61–5,24; p&lt;0,001). Im unadjustierten primären Analyseplan erreichte der Unterschied keine statistische Signifikanz (OR 1,46; p=0,057). Die Machbarkeit wurde demonstriert, mit 16,3% der Patienten in spezialisierte Weaning-Zentren verlegt.</w:t>
      </w:r>
    </w:p>
    <w:p>
      <w:r>
        <w:rPr>
          <w:b/>
          <w:sz w:val="19"/>
        </w:rPr>
        <w:t xml:space="preserve">Übertragbarkeit: </w:t>
      </w:r>
      <w:r>
        <w:rPr>
          <w:sz w:val="19"/>
        </w:rPr>
        <w:t>Deutsche Daten, ICU-Verweildauer und Beatmungsdauer sind zentrale Versorgungsergebnisse.</w:t>
      </w:r>
    </w:p>
    <w:p>
      <w:r>
        <w:rPr>
          <w:color w:val="5A7D3A"/>
          <w:sz w:val="18"/>
        </w:rPr>
        <w:t>https://pubmed.ncbi.nlm.nih.gov/42823746/</w:t>
      </w:r>
    </w:p>
    <w:p>
      <w:pPr>
        <w:pStyle w:val="Heading2"/>
      </w:pPr>
      <w:r>
        <w:t>Globale ökonomische Last der Schizophrenie: 243 Milliarden USD im Jahr 2019</w:t>
      </w:r>
    </w:p>
    <w:p>
      <w:r>
        <w:rPr>
          <w:i/>
          <w:color w:val="666666"/>
          <w:sz w:val="18"/>
        </w:rPr>
        <w:t>Welter LS et al.  ·  Int J Ment Health Syst  ·  29.09.2026  ·  PMID 42823740</w:t>
      </w:r>
    </w:p>
    <w:p>
      <w:r>
        <w:t>Health-Economic-Modeling-Studie zur globalen sozioökonomischen Last der Schizophrenie 2019 über 204 Länder (direkte, indirekte und informale Pflegekosten).</w:t>
      </w:r>
    </w:p>
    <w:p>
      <w:r>
        <w:rPr>
          <w:b/>
        </w:rPr>
        <w:t xml:space="preserve">Ergebnis: </w:t>
      </w:r>
      <w:r>
        <w:t>22,1 Millionen Erwachsene (0,39% Prävalenz) lebten mit Schizophrenie 2019. Gesamtkosten: 243,2 Milliarden USD (Kaufkraftparität): 47% direkte Kosten, 29% indirekt (Produktivitätsverluste), 24% informale Pflege. Obere-Mittel-Länder trugen proportional zu BIP am meisten, Hocheinkommensländer in absoluten und Pro-Kopf-Kosten am meisten. Regionale Heterogenität erheblich.</w:t>
      </w:r>
    </w:p>
    <w:p>
      <w:r>
        <w:rPr>
          <w:b/>
          <w:sz w:val="19"/>
        </w:rPr>
        <w:t xml:space="preserve">Übertragbarkeit: </w:t>
      </w:r>
      <w:r>
        <w:rPr>
          <w:sz w:val="19"/>
        </w:rPr>
        <w:t>Globale Modellierung; für Versorgungsforschung Deutschland relevant zur Kostenlast-Abschätzung.</w:t>
      </w:r>
    </w:p>
    <w:p>
      <w:r>
        <w:rPr>
          <w:color w:val="5A7D3A"/>
          <w:sz w:val="18"/>
        </w:rPr>
        <w:t>https://pubmed.ncbi.nlm.nih.gov/42823740/</w:t>
      </w:r>
    </w:p>
    <w:p>
      <w:pPr>
        <w:pStyle w:val="Heading2"/>
      </w:pPr>
      <w:r>
        <w:t>Muskel-Selbstmanagement und virtuelle Physiotherapie in Saudi-Arabien: Kulturelle Anpassungen erforderlich</w:t>
      </w:r>
    </w:p>
    <w:p>
      <w:r>
        <w:rPr>
          <w:i/>
          <w:color w:val="666666"/>
          <w:sz w:val="18"/>
        </w:rPr>
        <w:t>AlMuhana N et al.  ·  BMC Health Serv Res  ·  28.09.2026  ·  PMID 42823682</w:t>
      </w:r>
    </w:p>
    <w:p>
      <w:r>
        <w:t>Qualitative Studie (8 Fokusgruppen, n=36) zu Muskel-Selbstmanagement und Akzeptanz virtueller Physiotherapie in Saudi-Arabien.</w:t>
      </w:r>
    </w:p>
    <w:p>
      <w:r>
        <w:rPr>
          <w:b/>
        </w:rPr>
        <w:t xml:space="preserve">Ergebnis: </w:t>
      </w:r>
      <w:r>
        <w:t>Patienten praktizieren selbstgesteuertes Management wegen verzögerter professioneller Versorgung. Barrieren: strukturelle, psychologische, relationale Faktoren. Neu: Kulturelle Lücke – Patienten brauchten Anleitung zum Anpassen von Salah (islamisches Gebet) bei Muskelschmerzen. Hybrida Versorgung wurde bevorzugt (virtuelle Nachsorge nach In-Person-Assessment), nicht virtuell von Anfang an.</w:t>
      </w:r>
    </w:p>
    <w:p>
      <w:r>
        <w:rPr>
          <w:b/>
          <w:sz w:val="19"/>
        </w:rPr>
        <w:t xml:space="preserve">Übertragbarkeit: </w:t>
      </w:r>
      <w:r>
        <w:rPr>
          <w:sz w:val="19"/>
        </w:rPr>
        <w:t>Saudi-Arabien; systemische Übertragbarkeit limitiert, aber Befunde zu Selbstmanagement und virtueller Versorgung aussagekräftig.</w:t>
      </w:r>
    </w:p>
    <w:p>
      <w:r>
        <w:rPr>
          <w:color w:val="5A7D3A"/>
          <w:sz w:val="18"/>
        </w:rPr>
        <w:t>https://pubmed.ncbi.nlm.nih.gov/42823682/</w:t>
      </w:r>
    </w:p>
    <w:p>
      <w:pPr>
        <w:pStyle w:val="Heading2"/>
      </w:pPr>
      <w:r>
        <w:t>mHealth-gestützte Integrated Care für ältere Vorhofflimmernpatienten: Kein Vorteil bei optimaler Baseline</w:t>
      </w:r>
    </w:p>
    <w:p>
      <w:r>
        <w:rPr>
          <w:i/>
          <w:color w:val="666666"/>
          <w:sz w:val="18"/>
        </w:rPr>
        <w:t>Lip GYH et al.  ·  Lancet Reg Health Eur  ·  30.08.2026  ·  PMID 42819749</w:t>
      </w:r>
    </w:p>
    <w:p>
      <w:r>
        <w:t>AFFIRMO cluster-RCT in 6 europäischen Ländern zu iABC-System (Integrated Care mit CGA) vs. usual care bei älteren multimorbiden Vorhofflimmernpatienten.</w:t>
      </w:r>
    </w:p>
    <w:p>
      <w:r>
        <w:rPr>
          <w:b/>
        </w:rPr>
        <w:t xml:space="preserve">Ergebnis: </w:t>
      </w:r>
      <w:r>
        <w:t>1.260 Patienten (Alter 74 Jahre, CHA₂DS₂-VASc 4). Primärer Endpunkt ungeplante Hospitalisierung: 17,1% (Intervention) vs. 18,2% (usual care), OR 0,95 (95%-KI 0,61–1,49; p=0,84). App-Nutzung suboptimal (68,5% nur 1/3 der Beobachtungszeit). Günstige Baseline-Compliance (97,3% Antikoagulation).</w:t>
      </w:r>
    </w:p>
    <w:p>
      <w:r>
        <w:rPr>
          <w:b/>
          <w:sz w:val="19"/>
        </w:rPr>
        <w:t xml:space="preserve">Übertragbarkeit: </w:t>
      </w:r>
      <w:r>
        <w:rPr>
          <w:sz w:val="19"/>
        </w:rPr>
        <w:t>Mehrländer-Studie mit europäischem Kontext, aber System steuerfinanziert; begrenzte Übertragbarkeit auf deutsches Sozialversicherungssystem.</w:t>
      </w:r>
    </w:p>
    <w:p>
      <w:r>
        <w:rPr>
          <w:color w:val="5A7D3A"/>
          <w:sz w:val="18"/>
        </w:rPr>
        <w:t>https://pubmed.ncbi.nlm.nih.gov/42819749/</w:t>
      </w:r>
    </w:p>
    <w:p>
      <w:pPr>
        <w:pStyle w:val="Heading2"/>
      </w:pPr>
      <w:r>
        <w:t>Blutbasierte Screening-Programme am Arbeitsplatz: Ökonomische Ergebnisse inkonsistent</w:t>
      </w:r>
    </w:p>
    <w:p>
      <w:r>
        <w:rPr>
          <w:i/>
          <w:color w:val="666666"/>
          <w:sz w:val="18"/>
        </w:rPr>
        <w:t>Swadźba D et al.  ·  BMC Health Serv Res  ·  29.09.2026  ·  PMID 42816856</w:t>
      </w:r>
    </w:p>
    <w:p>
      <w:r>
        <w:t>Systematischer Review (56 Studien, überwiegend US-Beobachtungsdaten) zu wirtschaftlichen und Produktivitätsergebnissen von Workplace-Health-Programmen mit Blutscreening.</w:t>
      </w:r>
    </w:p>
    <w:p>
      <w:r>
        <w:rPr>
          <w:b/>
        </w:rPr>
        <w:t xml:space="preserve">Ergebnis: </w:t>
      </w:r>
      <w:r>
        <w:t>Gesundheitskosten: 21 von 29 Studien zeigten günstige Ergebnisse. Return-on-Investment: einheitlich positiv (20 Studien), ohne Abschwächung mit Studienqualität. Absenteeismus: 23 Studien, inkonsistent. Präsentismus/Fluktuation: selten gemessen. Günstiger Effekt nur bei strukturiert begleiteten Programmen, nicht Screening allein.</w:t>
      </w:r>
    </w:p>
    <w:p>
      <w:r>
        <w:rPr>
          <w:b/>
          <w:sz w:val="19"/>
        </w:rPr>
        <w:t xml:space="preserve">Übertragbarkeit: </w:t>
      </w:r>
      <w:r>
        <w:rPr>
          <w:sz w:val="19"/>
        </w:rPr>
        <w:t>Überwiegend US-Daten; Fragestellung aber systemunabhängig relevant für Betriebliche Gesundheitsförderung.</w:t>
      </w:r>
    </w:p>
    <w:p>
      <w:r>
        <w:rPr>
          <w:color w:val="5A7D3A"/>
          <w:sz w:val="18"/>
        </w:rPr>
        <w:t>https://pubmed.ncbi.nlm.nih.gov/42816856/</w:t>
      </w:r>
    </w:p>
    <w:p>
      <w:pPr>
        <w:pStyle w:val="Heading2"/>
      </w:pPr>
      <w:r>
        <w:t>Palliativmedizin bei fortgeschrittenem Krebs: MA-Versicherte nutzen mehr, aber bekommen weniger Chemotherapie</w:t>
      </w:r>
    </w:p>
    <w:p>
      <w:r>
        <w:rPr>
          <w:i/>
          <w:color w:val="666666"/>
          <w:sz w:val="18"/>
        </w:rPr>
        <w:t>Hu X et al.  ·  JAMA Netw Open  ·  01.09.2026  ·  PMID 42814462</w:t>
      </w:r>
    </w:p>
    <w:p>
      <w:r>
        <w:t>Kohortenstudie mit SEER/Medicare-Daten zu Palliativmedizin-, Systemtherapie- und Hospiz-Nutzung bei fortgeschrittenem Krebs (Mammakarzinom, CRC, Lungenkarzinom, Pankreaskarzinom, Prostatakarzinom) in Medicare Advantage (MA) vs. Traditional Medicare (TM), 2016–2021.</w:t>
      </w:r>
    </w:p>
    <w:p>
      <w:r>
        <w:rPr>
          <w:b/>
        </w:rPr>
        <w:t xml:space="preserve">Ergebnis: </w:t>
      </w:r>
      <w:r>
        <w:t>135.402 Patienten (32,3% MA, 67,7% TM). MA-Patienten: höhere 6-Monats-Kumulativ-Inzidenz Palliativmedizin (13,3% vs. 9,3%; aHR 1,39 [95%-KI 1,35–1,44]; p&lt;0,001), vor allem HMO-Pläne (aHR 1,66). Nach Oncologist-Matching: PA-Unterschied aufgelöst (aHR 1,05; p=0,19), aber MA-Patienten hatten weniger Systemtherapie (−5,4 Prozentpunkte) und mehr Hospiz (+3,4 Prozentpunkte), persistent nach Matching.</w:t>
      </w:r>
    </w:p>
    <w:p>
      <w:r>
        <w:rPr>
          <w:b/>
          <w:sz w:val="19"/>
        </w:rPr>
        <w:t xml:space="preserve">Übertragbarkeit: </w:t>
      </w:r>
      <w:r>
        <w:rPr>
          <w:sz w:val="19"/>
        </w:rPr>
        <w:t>US-Daten; Frage zur Versorgungssteuerung systemabhängig, aber Palliativmedizin-Integration relevant.</w:t>
      </w:r>
    </w:p>
    <w:p>
      <w:r>
        <w:rPr>
          <w:color w:val="5A7D3A"/>
          <w:sz w:val="18"/>
        </w:rPr>
        <w:t>https://pubmed.ncbi.nlm.nih.gov/42814462/</w:t>
      </w:r>
    </w:p>
    <w:p>
      <w:pPr>
        <w:pStyle w:val="Heading1"/>
      </w:pPr>
      <w:r>
        <w:t>Aufgenommen am 02.10.2026</w:t>
      </w:r>
    </w:p>
    <w:p>
      <w:pPr>
        <w:pStyle w:val="Heading2"/>
      </w:pPr>
      <w:r>
        <w:t>Kosteffektivität konservativer Sauerstofftherapie bei beatmeten Intensivpatienten</w:t>
      </w:r>
    </w:p>
    <w:p>
      <w:r>
        <w:rPr>
          <w:i/>
          <w:color w:val="666666"/>
          <w:sz w:val="18"/>
        </w:rPr>
        <w:t>Zhu Z et al.  ·  Value Health  ·  01.10.2026  ·  PMID 42822832</w:t>
      </w:r>
    </w:p>
    <w:p>
      <w:r>
        <w:t>Eine ökonomische Evaluation der UK-ROX-Studie verglich konservative versus übliche Sauerstofftherapie bei invasiv beatmeten Patienten hinsichtlich Kosten, Lebensqualität und QALY-Gewinne über 90 Tage.</w:t>
      </w:r>
    </w:p>
    <w:p>
      <w:r>
        <w:rPr>
          <w:b/>
        </w:rPr>
        <w:t xml:space="preserve">Ergebnis: </w:t>
      </w:r>
      <w:r>
        <w:t>Konservative Sauerstofftherapie war kostensparend (inkrementelle Kosten −968 £, 95% KI −2279–342 £) mit ähnlichen QALY-Gewinnen (inkrementell 0,001, 95% KI −0,002–0,003); das inkrementelle Nettomonetäre Benefit betrug 979 £, beide Schätzungen aber mit erheblicher Unsicherheit.</w:t>
      </w:r>
    </w:p>
    <w:p>
      <w:r>
        <w:rPr>
          <w:b/>
          <w:sz w:val="19"/>
        </w:rPr>
        <w:t xml:space="preserve">Übertragbarkeit: </w:t>
      </w:r>
      <w:r>
        <w:rPr>
          <w:sz w:val="19"/>
        </w:rPr>
        <w:t>UK-Daten; Fragestellung zu ICU-Managementprozessen und Kosteneffektivität systemunabhängig bedeutsam</w:t>
      </w:r>
    </w:p>
    <w:p>
      <w:r>
        <w:rPr>
          <w:color w:val="5A7D3A"/>
          <w:sz w:val="18"/>
        </w:rPr>
        <w:t>https://pubmed.ncbi.nlm.nih.gov/42822832/</w:t>
      </w:r>
    </w:p>
    <w:p>
      <w:pPr>
        <w:pStyle w:val="Heading2"/>
      </w:pPr>
      <w:r>
        <w:t>Sonelokimab bei moderater bis schwerer Hidradenitis suppurativa</w:t>
      </w:r>
    </w:p>
    <w:p>
      <w:r>
        <w:rPr>
          <w:i/>
          <w:color w:val="666666"/>
          <w:sz w:val="18"/>
        </w:rPr>
        <w:t>Kimball AB et al.  ·  J Am Acad Dermatol  ·  01.10.2026  ·  PMID 42822776</w:t>
      </w:r>
    </w:p>
    <w:p>
      <w:r>
        <w:t>Phase-2-Studie (MIRA) zur Wirksamkeit und Sicherheit des IL-17A/F-inhibierenden Nanobody Sonelokimab versus Placebo bei 234 Patienten mit Hidradenitis suppurativa.</w:t>
      </w:r>
    </w:p>
    <w:p>
      <w:r>
        <w:rPr>
          <w:b/>
        </w:rPr>
        <w:t xml:space="preserve">Ergebnis: </w:t>
      </w:r>
      <w:r>
        <w:t>Sonelokimab 120 mg erreichte HiSCR75 bei 43% (p&lt;0,001) und 240 mg bei 35% (p=0,007) versus Placebo 15%; Placebo-adjustierte Response bei Woche 12 und Erhalt oder Verbesserung bis Woche 24; keine neuen Sicherheitssignale.</w:t>
      </w:r>
    </w:p>
    <w:p>
      <w:r>
        <w:rPr>
          <w:b/>
          <w:sz w:val="19"/>
        </w:rPr>
        <w:t xml:space="preserve">Übertragbarkeit: </w:t>
      </w:r>
      <w:r>
        <w:rPr>
          <w:sz w:val="19"/>
        </w:rPr>
        <w:t>Internationale Studie; neue therapeutische Option, Fragestellung zur klinischen Wirksamkeit systemunabhängig</w:t>
      </w:r>
    </w:p>
    <w:p>
      <w:r>
        <w:rPr>
          <w:color w:val="5A7D3A"/>
          <w:sz w:val="18"/>
        </w:rPr>
        <w:t>https://pubmed.ncbi.nlm.nih.gov/42822776/</w:t>
      </w:r>
    </w:p>
    <w:p>
      <w:pPr>
        <w:pStyle w:val="Heading2"/>
      </w:pPr>
      <w:r>
        <w:t>Insulindosierung im Alltag: Kohlenhydratberechnung bei Typ-1-Diabetes</w:t>
      </w:r>
    </w:p>
    <w:p>
      <w:r>
        <w:rPr>
          <w:i/>
          <w:color w:val="666666"/>
          <w:sz w:val="18"/>
        </w:rPr>
        <w:t>Everett EM et al.  ·  Endocr Pract  ·  01.10.2026  ·  PMID 42822598</w:t>
      </w:r>
    </w:p>
    <w:p>
      <w:r>
        <w:t>Versorgungsforschungsstudie mit 903 Erwachsenen mit Typ-1-Diabetes zur Charakterisierung realer Insulindosierungsstrategien, Abweichungen zwischen Patientenangaben und dokumentierten Vorgaben sowie Nutzung von Smartphone-Apps zur Kohlenhydratberechnung.</w:t>
      </w:r>
    </w:p>
    <w:p>
      <w:r>
        <w:rPr>
          <w:b/>
        </w:rPr>
        <w:t xml:space="preserve">Ergebnis: </w:t>
      </w:r>
      <w:r>
        <w:t>54% berichteten Kohlenhydratberechnung, 39% erfahrungsbasierte Schätzung, 2% Festdosierung; HbA1c unterschied sich nicht zwischen Strategien; 51% nutzten Apps niemals; Hauptbarrieren waren Memorisation häufiger Lebensmittel und wahrgenommene Zeitbelastung.</w:t>
      </w:r>
    </w:p>
    <w:p>
      <w:r>
        <w:rPr>
          <w:b/>
          <w:sz w:val="19"/>
        </w:rPr>
        <w:t xml:space="preserve">Übertragbarkeit: </w:t>
      </w:r>
      <w:r>
        <w:rPr>
          <w:sz w:val="19"/>
        </w:rPr>
        <w:t>USA, aber Versorgungsforschung zu praktischen Diabetesmanagement-Strategien und Patient-Reported-Outcomes übertragbar</w:t>
      </w:r>
    </w:p>
    <w:p>
      <w:r>
        <w:rPr>
          <w:color w:val="5A7D3A"/>
          <w:sz w:val="18"/>
        </w:rPr>
        <w:t>https://pubmed.ncbi.nlm.nih.gov/42822598/</w:t>
      </w:r>
    </w:p>
    <w:p>
      <w:pPr>
        <w:pStyle w:val="Heading2"/>
      </w:pPr>
      <w:r>
        <w:t>Virtual Nursing in der Notaufnahme: Dokumentation und Unterbrechungen</w:t>
      </w:r>
    </w:p>
    <w:p>
      <w:r>
        <w:rPr>
          <w:i/>
          <w:color w:val="666666"/>
          <w:sz w:val="18"/>
        </w:rPr>
        <w:t>Khairat S et al.  ·  J Am Med Inform Assoc  ·  01.10.2026  ·  PMID 42821433</w:t>
      </w:r>
    </w:p>
    <w:p>
      <w:r>
        <w:t>Nicht-randomisierte Kohortenstudie zur Auswirkung von Virtual Nursing auf Dokumentationsvollständigkeit, Aufnahmeuntersuchungsdauer und Arbeitsunterbrechungen bei stationär aufgenommenen Patienten.</w:t>
      </w:r>
    </w:p>
    <w:p>
      <w:r>
        <w:rPr>
          <w:b/>
        </w:rPr>
        <w:t xml:space="preserve">Ergebnis: </w:t>
      </w:r>
      <w:r>
        <w:t>Virtual Nursing war mit 3,16 Minuten längerer Aufnahmedauer verbunden, aber signifikant mehr abgeschlossenen Aufnahmeuntersuchungsaufgaben und signifikant weniger Unterbrechungen im Vergleich zu persönlichen Aufnahmen.</w:t>
      </w:r>
    </w:p>
    <w:p>
      <w:r>
        <w:rPr>
          <w:b/>
          <w:sz w:val="19"/>
        </w:rPr>
        <w:t xml:space="preserve">Übertragbarkeit: </w:t>
      </w:r>
      <w:r>
        <w:rPr>
          <w:sz w:val="19"/>
        </w:rPr>
        <w:t>USA; Versorgungsprozess und Workflow-Optimierung systemunabhängig relevant</w:t>
      </w:r>
    </w:p>
    <w:p>
      <w:r>
        <w:rPr>
          <w:color w:val="5A7D3A"/>
          <w:sz w:val="18"/>
        </w:rPr>
        <w:t>https://pubmed.ncbi.nlm.nih.gov/42821433/</w:t>
      </w:r>
    </w:p>
    <w:p>
      <w:pPr>
        <w:pStyle w:val="Heading2"/>
      </w:pPr>
      <w:r>
        <w:t>Tuberkulöse Spondylodiszitis in Deutschland: Epidemiologie und Verlauf</w:t>
      </w:r>
    </w:p>
    <w:p>
      <w:r>
        <w:rPr>
          <w:i/>
          <w:color w:val="666666"/>
          <w:sz w:val="18"/>
        </w:rPr>
        <w:t>Lang S et al.  ·  Global Spine J  ·  01.10.2026  ·  PMID 42820646</w:t>
      </w:r>
    </w:p>
    <w:p>
      <w:r>
        <w:t>Bevölkerungsgestützte DRG-Analyse zur stationären Last, Behandlungsmuster und Krankenhaussterblichkeit der spinalen Tuberkulose in Deutschland 2019–2025 während demografischen Wandels.</w:t>
      </w:r>
    </w:p>
    <w:p>
      <w:r>
        <w:rPr>
          <w:b/>
        </w:rPr>
        <w:t xml:space="preserve">Ergebnis: </w:t>
      </w:r>
      <w:r>
        <w:t>Stabile Hospitalisierungsraten (ASR 0,11–0,14/100.000; APC −3,1%, p=0,14); überwiegend männliche Patienten (70,3%), Alter 18–39 Jahre (56–69%); Krankenhausfallletalität &lt;0,5%; keine Erhöhung trotz 43% Anstieg der ausländischen Bevölkerung; operative DRG-Zuweisung variabel (13,5–42,2%).</w:t>
      </w:r>
    </w:p>
    <w:p>
      <w:r>
        <w:rPr>
          <w:b/>
          <w:sz w:val="19"/>
        </w:rPr>
        <w:t xml:space="preserve">Übertragbarkeit: </w:t>
      </w:r>
      <w:r>
        <w:rPr>
          <w:sz w:val="19"/>
        </w:rPr>
        <w:t>Deutsche Routinedaten; epidemiologisch und systemisch direkt anwendbar</w:t>
      </w:r>
    </w:p>
    <w:p>
      <w:r>
        <w:rPr>
          <w:color w:val="5A7D3A"/>
          <w:sz w:val="18"/>
        </w:rPr>
        <w:t>https://pubmed.ncbi.nlm.nih.gov/42820646/</w:t>
      </w:r>
    </w:p>
    <w:p>
      <w:pPr>
        <w:pStyle w:val="Heading2"/>
      </w:pPr>
      <w:r>
        <w:t>Psychische Anpassung an Stigma bei Hauterkrankungen im jungen Erwachsenenalter</w:t>
      </w:r>
    </w:p>
    <w:p>
      <w:r>
        <w:rPr>
          <w:i/>
          <w:color w:val="666666"/>
          <w:sz w:val="18"/>
        </w:rPr>
        <w:t>Stuhlmann CFZ et al.  ·  Br J Health Psychol  ·  Nov. 2026  ·  PMID 42820641</w:t>
      </w:r>
    </w:p>
    <w:p>
      <w:r>
        <w:t>Querschnittstudie mit 195 jungen Erwachsenen (Psoriasis 55%, atopische Dermatitis 23%, Hidradenitis suppurativa 22%) zu indirekten Effekten internalisierter Stigma in der Beziehung zwischen sozialer Stigma und psychosozialer Anpassung.</w:t>
      </w:r>
    </w:p>
    <w:p>
      <w:r>
        <w:rPr>
          <w:b/>
        </w:rPr>
        <w:t xml:space="preserve">Ergebnis: </w:t>
      </w:r>
      <w:r>
        <w:t>Signifikante indirekte Effekte internalisierter Stigma auf Beziehungen zwischen sozialer Stigma und allen Anpassungsergebnissen (p's&lt;0,01, R²=0,10–0,64); internalisierte Stigma als zentraler Treiber psychischer Belastung, Sozialsymptome und Aktivitätsreduktion.</w:t>
      </w:r>
    </w:p>
    <w:p>
      <w:r>
        <w:rPr>
          <w:b/>
          <w:sz w:val="19"/>
        </w:rPr>
        <w:t xml:space="preserve">Übertragbarkeit: </w:t>
      </w:r>
      <w:r>
        <w:rPr>
          <w:sz w:val="19"/>
        </w:rPr>
        <w:t>Deutschland (Hamburg); hochgradig übertragbar auf deutsches Versorgungssystem</w:t>
      </w:r>
    </w:p>
    <w:p>
      <w:r>
        <w:rPr>
          <w:color w:val="5A7D3A"/>
          <w:sz w:val="18"/>
        </w:rPr>
        <w:t>https://pubmed.ncbi.nlm.nih.gov/42820641/</w:t>
      </w:r>
    </w:p>
    <w:p>
      <w:pPr>
        <w:pStyle w:val="Heading1"/>
      </w:pPr>
      <w:r>
        <w:t>Aufgenommen am 01.10.2026</w:t>
      </w:r>
    </w:p>
    <w:p>
      <w:pPr>
        <w:pStyle w:val="Heading2"/>
      </w:pPr>
      <w:r>
        <w:t>Psychometric validation of German Self-efficacy Scale in hip arthroplasty patients</w:t>
      </w:r>
    </w:p>
    <w:p>
      <w:r>
        <w:rPr>
          <w:i/>
          <w:color w:val="666666"/>
          <w:sz w:val="18"/>
        </w:rPr>
        <w:t>Mooiweer Y et al.  ·  Z Evid Fortbild Qual Gesundhwes  ·  30.09.2026  ·  PMID 42816197</w:t>
      </w:r>
    </w:p>
    <w:p>
      <w:r>
        <w:t>Studie validierte die German Self-efficacy Expectation Scale (SES-G) als Messinstrument für Selbsteffizienz bei Patienten mit Hüftgelenksersatz.</w:t>
      </w:r>
    </w:p>
    <w:p>
      <w:r>
        <w:rPr>
          <w:b/>
        </w:rPr>
        <w:t xml:space="preserve">Ergebnis: </w:t>
      </w:r>
      <w:r>
        <w:t>Exploratory Faktor-Analyse zeigte 3 Komponenten, erklärt 75% der Varianz; interne Konsistenz (MacDonald's Omega = 0,81) und Test-Retest-Reliabilität (ICC 0,71) waren gut; 80% der Hypothesen zur Konstruktvalidität bestätigt. SES-G ist valides und reliables Instrument.</w:t>
      </w:r>
    </w:p>
    <w:p>
      <w:r>
        <w:rPr>
          <w:b/>
          <w:sz w:val="19"/>
        </w:rPr>
        <w:t xml:space="preserve">Übertragbarkeit: </w:t>
      </w:r>
      <w:r>
        <w:rPr>
          <w:sz w:val="19"/>
        </w:rPr>
        <w:t>Deutschland, validierte Messskala für deutschsprachige Patienten</w:t>
      </w:r>
    </w:p>
    <w:p>
      <w:r>
        <w:rPr>
          <w:color w:val="5A7D3A"/>
          <w:sz w:val="18"/>
        </w:rPr>
        <w:t>https://pubmed.ncbi.nlm.nih.gov/42816197/</w:t>
      </w:r>
    </w:p>
    <w:p>
      <w:pPr>
        <w:pStyle w:val="Heading2"/>
      </w:pPr>
      <w:r>
        <w:t>Quality improvement für Familienplanung im Wochenbett in Äthiopien</w:t>
      </w:r>
    </w:p>
    <w:p>
      <w:r>
        <w:rPr>
          <w:i/>
          <w:color w:val="666666"/>
          <w:sz w:val="18"/>
        </w:rPr>
        <w:t>Tesfaye B et al.  ·  BMJ Open Qual  ·  30.09.2026  ·  PMID 42816055</w:t>
      </w:r>
    </w:p>
    <w:p>
      <w:r>
        <w:t>Qualitätsverbesserungsprojekt mit PDSA-Zyklen zur Steigerung der unmittelbaren postpartalen Familienplanung in einem äthiopischen Lehrkrankenhaus.</w:t>
      </w:r>
    </w:p>
    <w:p>
      <w:r>
        <w:rPr>
          <w:b/>
        </w:rPr>
        <w:t xml:space="preserve">Ergebnis: </w:t>
      </w:r>
      <w:r>
        <w:t>Uptake der postpartalen Familienplanung stieg von 10,2% auf 45,8% über 14 Wochen; Implantate waren die häufigste Methode (54,2%); Hürden waren mangelhafte Beratung, begrenzte Fortbildung und schlechte Dokumentation.</w:t>
      </w:r>
    </w:p>
    <w:p>
      <w:r>
        <w:rPr>
          <w:b/>
          <w:sz w:val="19"/>
        </w:rPr>
        <w:t xml:space="preserve">Übertragbarkeit: </w:t>
      </w:r>
      <w:r>
        <w:rPr>
          <w:sz w:val="19"/>
        </w:rPr>
        <w:t>Nur bedingt übertragbar, Gesundheitssystem mit stark unterschiedlicher Ressourcenlage</w:t>
      </w:r>
    </w:p>
    <w:p>
      <w:r>
        <w:rPr>
          <w:color w:val="5A7D3A"/>
          <w:sz w:val="18"/>
        </w:rPr>
        <w:t>https://pubmed.ncbi.nlm.nih.gov/42816055/</w:t>
      </w:r>
    </w:p>
    <w:p>
      <w:pPr>
        <w:pStyle w:val="Heading2"/>
      </w:pPr>
      <w:r>
        <w:t>Generative KI-Adoption in psychotherapeutischer Praxis</w:t>
      </w:r>
    </w:p>
    <w:p>
      <w:r>
        <w:rPr>
          <w:i/>
          <w:color w:val="666666"/>
          <w:sz w:val="18"/>
        </w:rPr>
        <w:t>Blease C et al.  ·  JMIR Ment Health  ·  30.09.2026  ·  PMID 42815888</w:t>
      </w:r>
    </w:p>
    <w:p>
      <w:r>
        <w:t>Internationale Querschnittsstudie zu aktueller Nutzung von Generative-AI-Tools (ChatGPT, Gemini, Copilot) durch Psychotherapeuten in 30 Ländern.</w:t>
      </w:r>
    </w:p>
    <w:p>
      <w:r>
        <w:rPr>
          <w:b/>
        </w:rPr>
        <w:t xml:space="preserve">Ergebnis: </w:t>
      </w:r>
      <w:r>
        <w:t>54,6% (n=418/766) nutzen mindestens ein GenAI-Tool klinisch; ChatGPT am häufigsten (84,7%); Top-Anwendungen: Behandlungsplanung (41,9%), Administrative Aufgaben (41,4%), Psychoedukation (39,7%); 82,8% berichten Arbeitsbelastungsreduktion; nur 18,1% erhielten institutionelle Förderung; 81,1% erhielten keine AI-Fortbildung.</w:t>
      </w:r>
    </w:p>
    <w:p>
      <w:r>
        <w:rPr>
          <w:b/>
          <w:sz w:val="19"/>
        </w:rPr>
        <w:t xml:space="preserve">Übertragbarkeit: </w:t>
      </w:r>
      <w:r>
        <w:rPr>
          <w:sz w:val="19"/>
        </w:rPr>
        <w:t>Systemunabhängig, Fachfrage zu Technologieeinsatz in Praxis global relevant</w:t>
      </w:r>
    </w:p>
    <w:p>
      <w:r>
        <w:rPr>
          <w:color w:val="5A7D3A"/>
          <w:sz w:val="18"/>
        </w:rPr>
        <w:t>https://pubmed.ncbi.nlm.nih.gov/42815888/</w:t>
      </w:r>
    </w:p>
    <w:p>
      <w:pPr>
        <w:pStyle w:val="Heading2"/>
      </w:pPr>
      <w:r>
        <w:t>Discrete Choice Experiment zu Präferenzen für Carrier Screening in Singapur</w:t>
      </w:r>
    </w:p>
    <w:p>
      <w:r>
        <w:rPr>
          <w:i/>
          <w:color w:val="666666"/>
          <w:sz w:val="18"/>
        </w:rPr>
        <w:t>Blythe R et al.  ·  Patient  ·  30.09.2026  ·  PMID 42814378</w:t>
      </w:r>
    </w:p>
    <w:p>
      <w:r>
        <w:t>Stated-Preference-Studie mit 500 Singapurern zu bevorzugten Merkmalen eines nationalen Carrier-Screening-Programms für genetische Erkrankungen.</w:t>
      </w:r>
    </w:p>
    <w:p>
      <w:r>
        <w:rPr>
          <w:b/>
        </w:rPr>
        <w:t xml:space="preserve">Ergebnis: </w:t>
      </w:r>
      <w:r>
        <w:t>Bevorzugte niedrigere Kosten, breitere Krankheitspanels und kürzere Wartezeiten; vorhergesagte Uptake 85-90% kostenlos, 61-69% bei Zuzahlung von $1.200; nationale Budgetauswirkungen &lt;$13,1 Mio./Jahr abhängig von Programmdesign.</w:t>
      </w:r>
    </w:p>
    <w:p>
      <w:r>
        <w:rPr>
          <w:b/>
          <w:sz w:val="19"/>
        </w:rPr>
        <w:t xml:space="preserve">Übertragbarkeit: </w:t>
      </w:r>
      <w:r>
        <w:rPr>
          <w:sz w:val="19"/>
        </w:rPr>
        <w:t>Singapur, transferierbar für Screening-Programmgestaltung in ähnlichen Systemen</w:t>
      </w:r>
    </w:p>
    <w:p>
      <w:r>
        <w:rPr>
          <w:color w:val="5A7D3A"/>
          <w:sz w:val="18"/>
        </w:rPr>
        <w:t>https://pubmed.ncbi.nlm.nih.gov/42814378/</w:t>
      </w:r>
    </w:p>
    <w:p>
      <w:pPr>
        <w:pStyle w:val="Heading2"/>
      </w:pPr>
      <w:r>
        <w:t>Migräne-Versorgungslücke: qualitative Patientenperspektive</w:t>
      </w:r>
    </w:p>
    <w:p>
      <w:r>
        <w:rPr>
          <w:i/>
          <w:color w:val="666666"/>
          <w:sz w:val="18"/>
        </w:rPr>
        <w:t>Göbel CH et al.  ·  Pain Ther  ·  30.09.2026  ·  PMID 42814346</w:t>
      </w:r>
    </w:p>
    <w:p>
      <w:r>
        <w:t>Qualitative reflexive thematische Analyse von 446 Instagram/Facebook-Kommentaren zur Wahrnehmung von Migräne-Versorgung über 12 Jahre.</w:t>
      </w:r>
    </w:p>
    <w:p>
      <w:r>
        <w:rPr>
          <w:b/>
        </w:rPr>
        <w:t xml:space="preserve">Ergebnis: </w:t>
      </w:r>
      <w:r>
        <w:t>Patienten bestätigen medizinische Fortschritte (Migräne-spezifische Therapien, CGRP-Inhibitoren, spezialisierte Services), erleben diese aber als unvollständig umgesetzt; persistente Barrieren: Diagnoseverzögerung, ungleicher Zugang zu Spezialisten, Rückerstattungsbeschränkungen, Stigma, begrenzte gesellschaftliche Anerkennung. Kernkonzept: Migraine Care Gap zwischen biomedizinischer Innovation und Versorgungspraxis.</w:t>
      </w:r>
    </w:p>
    <w:p>
      <w:r>
        <w:rPr>
          <w:b/>
          <w:sz w:val="19"/>
        </w:rPr>
        <w:t xml:space="preserve">Übertragbarkeit: </w:t>
      </w:r>
      <w:r>
        <w:rPr>
          <w:sz w:val="19"/>
        </w:rPr>
        <w:t>Deutschland, Versorgungsforschung zu Patientenerleben von Innovationstransfer</w:t>
      </w:r>
    </w:p>
    <w:p>
      <w:r>
        <w:rPr>
          <w:color w:val="5A7D3A"/>
          <w:sz w:val="18"/>
        </w:rPr>
        <w:t>https://pubmed.ncbi.nlm.nih.gov/42814346/</w:t>
      </w:r>
    </w:p>
    <w:p>
      <w:pPr>
        <w:pStyle w:val="Heading2"/>
      </w:pPr>
      <w:r>
        <w:t>Kontextfaktoren und depressive Symptome: Postleitzahl-Datenverknüpfung in Deutschland</w:t>
      </w:r>
    </w:p>
    <w:p>
      <w:r>
        <w:rPr>
          <w:i/>
          <w:color w:val="666666"/>
          <w:sz w:val="18"/>
        </w:rPr>
        <w:t>Schoenweger P et al.  ·  Eur Arch Psychiatry Clin Neurosci  ·  30.09.2026  ·  PMID 42814112</w:t>
      </w:r>
    </w:p>
    <w:p>
      <w:r>
        <w:t>Querschnittsstudie, die individuelle POKAL-Umfragedaten (n=2.323) mit deutschen Routinedaten auf Postleitzahl-Ebene zu Depression verknüpfte.</w:t>
      </w:r>
    </w:p>
    <w:p>
      <w:r>
        <w:rPr>
          <w:b/>
        </w:rPr>
        <w:t xml:space="preserve">Ergebnis: </w:t>
      </w:r>
      <w:r>
        <w:t>Kontextfaktoren verbesserten Modellfit (AICc=13.640,80 vs. 13.718,24 nur Demografie); Area-level Deprivation zeigte beste einzelne Anpassung; Datenverknüpfung ist ressourcenschonend und technisch umsetzbar in German health research infrastructure. Räumliche Auflösung entscheidend für Assoziation.</w:t>
      </w:r>
    </w:p>
    <w:p>
      <w:r>
        <w:rPr>
          <w:b/>
          <w:sz w:val="19"/>
        </w:rPr>
        <w:t xml:space="preserve">Übertragbarkeit: </w:t>
      </w:r>
      <w:r>
        <w:rPr>
          <w:sz w:val="19"/>
        </w:rPr>
        <w:t>Deutsche Routinedaten, gesetzlich Versicherte, Versorgungsforschungs-Infrastruktur</w:t>
      </w:r>
    </w:p>
    <w:p>
      <w:r>
        <w:rPr>
          <w:color w:val="5A7D3A"/>
          <w:sz w:val="18"/>
        </w:rPr>
        <w:t>https://pubmed.ncbi.nlm.nih.gov/42814112/</w:t>
      </w:r>
    </w:p>
    <w:p>
      <w:pPr>
        <w:pStyle w:val="Heading1"/>
      </w:pPr>
      <w:r>
        <w:t>Aufgenommen am 30.09.2026</w:t>
      </w:r>
    </w:p>
    <w:p>
      <w:pPr>
        <w:pStyle w:val="Heading2"/>
      </w:pPr>
      <w:r>
        <w:t>Digitalisierung und Krankenhausperformance: Einfluss der elektronischen Dokumentation</w:t>
      </w:r>
    </w:p>
    <w:p>
      <w:r>
        <w:rPr>
          <w:i/>
          <w:color w:val="666666"/>
          <w:sz w:val="18"/>
        </w:rPr>
        <w:t>Remus P et al.  ·  J Med Internet Res  ·  29.09.2026  ·  PMID 42809839</w:t>
      </w:r>
    </w:p>
    <w:p>
      <w:r>
        <w:t>Longitudinale Analyse der Zusammenhänge zwischen technischer Digitalisierungsreife und finanziellen, operativen und Personalindikatoren in 70 niederländischen Krankenhäusern (2017–2023).</w:t>
      </w:r>
    </w:p>
    <w:p>
      <w:r>
        <w:rPr>
          <w:b/>
        </w:rPr>
        <w:t xml:space="preserve">Ergebnis: </w:t>
      </w:r>
      <w:r>
        <w:t>Fortgeschrittene digitale Reife war nicht signifikant mit verbesserter Profitabilität, Patientenvolumen oder Mitarbeiterfluktuation assoziiert (alle p&gt;0,05 nach Bonferroni-Korrektur); die Daten stützen das IT-Produktivitätsparadox.</w:t>
      </w:r>
    </w:p>
    <w:p>
      <w:r>
        <w:rPr>
          <w:b/>
          <w:sz w:val="19"/>
        </w:rPr>
        <w:t xml:space="preserve">Übertragbarkeit: </w:t>
      </w:r>
      <w:r>
        <w:rPr>
          <w:sz w:val="19"/>
        </w:rPr>
        <w:t>Niederlande, Sozialversicherungssystem mit Beitragsfinanzierung, vergleichbar mit Deutschland.</w:t>
      </w:r>
    </w:p>
    <w:p>
      <w:r>
        <w:rPr>
          <w:color w:val="5A7D3A"/>
          <w:sz w:val="18"/>
        </w:rPr>
        <w:t>https://pubmed.ncbi.nlm.nih.gov/42809839/</w:t>
      </w:r>
    </w:p>
    <w:p>
      <w:pPr>
        <w:pStyle w:val="Heading2"/>
      </w:pPr>
      <w:r>
        <w:t>Zeitbelastung (Time Toxicity) in der Krebsversorgung: Systematische Übersicht</w:t>
      </w:r>
    </w:p>
    <w:p>
      <w:r>
        <w:rPr>
          <w:i/>
          <w:color w:val="666666"/>
          <w:sz w:val="18"/>
        </w:rPr>
        <w:t>Wee IJY et al.  ·  Support Care Cancer  ·  29.09.2026  ·  PMID 42809115</w:t>
      </w:r>
    </w:p>
    <w:p>
      <w:r>
        <w:t>Systematische Übersicht von 56 Studien zur Definition und Messung der Zeitbelastung in der Krebsbehandlung (Inception bis März 2026).</w:t>
      </w:r>
    </w:p>
    <w:p>
      <w:r>
        <w:rPr>
          <w:b/>
        </w:rPr>
        <w:t xml:space="preserve">Ergebnis: </w:t>
      </w:r>
      <w:r>
        <w:t>Definitionen waren heterogen; 55,4 % definierten Zeitbelastung als direkte Gesundheitszeiten (Klinikbesuche, Behandlungen), 35,7 % als Zeit ohne Gesundheitswesen; nur 0 Studien nutzten Patientenperspektiven; systematisch sind noch prozessorientierte und patientenzentrierte Dimensionen unterrepräsentiert.</w:t>
      </w:r>
    </w:p>
    <w:p>
      <w:r>
        <w:rPr>
          <w:b/>
          <w:sz w:val="19"/>
        </w:rPr>
        <w:t xml:space="preserve">Übertragbarkeit: </w:t>
      </w:r>
      <w:r>
        <w:rPr>
          <w:sz w:val="19"/>
        </w:rPr>
        <w:t>Systemübergreifend relevant; Konzeptualisierung und Messqualität unabhängig von Landkontext.</w:t>
      </w:r>
    </w:p>
    <w:p>
      <w:r>
        <w:rPr>
          <w:color w:val="5A7D3A"/>
          <w:sz w:val="18"/>
        </w:rPr>
        <w:t>https://pubmed.ncbi.nlm.nih.gov/42809115/</w:t>
      </w:r>
    </w:p>
    <w:p>
      <w:pPr>
        <w:pStyle w:val="Heading2"/>
      </w:pPr>
      <w:r>
        <w:t>Kompetenzbasiertes Curriculum Allgemeinmedizin im Block-Praktikum: Lückenanalyse</w:t>
      </w:r>
    </w:p>
    <w:p>
      <w:r>
        <w:rPr>
          <w:i/>
          <w:color w:val="666666"/>
          <w:sz w:val="18"/>
        </w:rPr>
        <w:t>Schüle D et al.  ·  GMS J Med Educ  ·  15.09.2026  ·  PMID 42807621</w:t>
      </w:r>
    </w:p>
    <w:p>
      <w:r>
        <w:t>Gemischte Methoden-Studie an einem deutschen Universitätskrankenhaus zur Bewertung und Neukonzeption eines zweiwöchigen Allgemeinmedizin-Blockpraktikums anhand von NKLM 2.0 und EPAs.</w:t>
      </w:r>
    </w:p>
    <w:p>
      <w:r>
        <w:rPr>
          <w:b/>
        </w:rPr>
        <w:t xml:space="preserve">Ergebnis: </w:t>
      </w:r>
      <w:r>
        <w:t>Aktuelles Praktikum erreichte Gesamtnote 1,8 (SD 1,06), erhöhte das Interesse an Allgemeinmedizin aber nicht signifikant; fehlten: interprofessionelle Zusammenarbeit, Führungskompetenzen; vorgeschlagen wurde sechswöchiges longitudinales Modell mit Simulation und Hospitationen.</w:t>
      </w:r>
    </w:p>
    <w:p>
      <w:r>
        <w:rPr>
          <w:b/>
          <w:sz w:val="19"/>
        </w:rPr>
        <w:t xml:space="preserve">Übertragbarkeit: </w:t>
      </w:r>
      <w:r>
        <w:rPr>
          <w:sz w:val="19"/>
        </w:rPr>
        <w:t>Deutschland, Fokus auf medizinische Ausbildung und Lehrqualität.</w:t>
      </w:r>
    </w:p>
    <w:p>
      <w:r>
        <w:rPr>
          <w:color w:val="5A7D3A"/>
          <w:sz w:val="18"/>
        </w:rPr>
        <w:t>https://pubmed.ncbi.nlm.nih.gov/42807621/</w:t>
      </w:r>
    </w:p>
    <w:p>
      <w:pPr>
        <w:pStyle w:val="Heading2"/>
      </w:pPr>
      <w:r>
        <w:t>VISIONARA: Dezentrales kompetenzbasiertes Lernmodell in Hausarztpraxen</w:t>
      </w:r>
    </w:p>
    <w:p>
      <w:r>
        <w:rPr>
          <w:i/>
          <w:color w:val="666666"/>
          <w:sz w:val="18"/>
        </w:rPr>
        <w:t>Lübbert J et al.  ·  GMS J Med Educ  ·  15.09.2026  ·  PMID 42807235</w:t>
      </w:r>
    </w:p>
    <w:p>
      <w:r>
        <w:t>Konzeptentwicklung und geplante Pilotierung eines Programms für akademische Lehrpraxen (MRC-Framework), das strukturiertes kompetenzbasiertes Lernen direkt in den Versorgungsalltag der Allgemeinmedizin integriert.</w:t>
      </w:r>
    </w:p>
    <w:p>
      <w:r>
        <w:rPr>
          <w:b/>
        </w:rPr>
        <w:t xml:space="preserve">Ergebnis: </w:t>
      </w:r>
      <w:r>
        <w:t>Konzeptphase abgeschlossen; geplante Pilotphase wird Machbarkeit, Akzeptanz und Integrierbarkeit in Routinepraxen prüfen sowie personelle Ressourcen, Patientenzustimmung und logistische Hürden evaluieren.</w:t>
      </w:r>
    </w:p>
    <w:p>
      <w:r>
        <w:rPr>
          <w:b/>
          <w:sz w:val="19"/>
        </w:rPr>
        <w:t xml:space="preserve">Übertragbarkeit: </w:t>
      </w:r>
      <w:r>
        <w:rPr>
          <w:sz w:val="19"/>
        </w:rPr>
        <w:t>Deutschland, Modell für Primärversorgung und ärztliche Ausbildung direkt vor Ort.</w:t>
      </w:r>
    </w:p>
    <w:p>
      <w:r>
        <w:rPr>
          <w:color w:val="5A7D3A"/>
          <w:sz w:val="18"/>
        </w:rPr>
        <w:t>https://pubmed.ncbi.nlm.nih.gov/42807235/</w:t>
      </w:r>
    </w:p>
    <w:p>
      <w:pPr>
        <w:pStyle w:val="Heading2"/>
      </w:pPr>
      <w:r>
        <w:t>Facharztprüfung Allgemeinmedizin: Perspektiven von Prüfenden</w:t>
      </w:r>
    </w:p>
    <w:p>
      <w:r>
        <w:rPr>
          <w:i/>
          <w:color w:val="666666"/>
          <w:sz w:val="18"/>
        </w:rPr>
        <w:t>Dreher AC et al.  ·  GMS J Med Educ  ·  15.09.2026  ·  PMID 42807223</w:t>
      </w:r>
    </w:p>
    <w:p>
      <w:r>
        <w:t>Qualitative Explorationsstudie mit 12 Prüfenden aus 6 Bundesländern zu Stärken, Schwächen und Weiterentwicklungspotenzial der mündlichen Facharztprüfung.</w:t>
      </w:r>
    </w:p>
    <w:p>
      <w:r>
        <w:rPr>
          <w:b/>
        </w:rPr>
        <w:t xml:space="preserve">Ergebnis: </w:t>
      </w:r>
      <w:r>
        <w:t>Prüfende beschrieben Stärken: Mindeststandard-Sicherung, Effizienz; Schwächen: begrenzte Aussagekraft für komplexe Handlungskompetenzen; Verbesserungen: Prüfendenschulungen, gemeinsame Erwartungshorizonte, praktische Prüfungskomponenten, longitudinale Assessments.</w:t>
      </w:r>
    </w:p>
    <w:p>
      <w:r>
        <w:rPr>
          <w:b/>
          <w:sz w:val="19"/>
        </w:rPr>
        <w:t xml:space="preserve">Übertragbarkeit: </w:t>
      </w:r>
      <w:r>
        <w:rPr>
          <w:sz w:val="19"/>
        </w:rPr>
        <w:t>Deutschland, direkt auf Facharztausbildung und Qualitätssicherung bezogen.</w:t>
      </w:r>
    </w:p>
    <w:p>
      <w:r>
        <w:rPr>
          <w:color w:val="5A7D3A"/>
          <w:sz w:val="18"/>
        </w:rPr>
        <w:t>https://pubmed.ncbi.nlm.nih.gov/42807223/</w:t>
      </w:r>
    </w:p>
    <w:p>
      <w:pPr>
        <w:pStyle w:val="Heading2"/>
      </w:pPr>
      <w:r>
        <w:t>Früherkennung und Reha bei Muskelskelettstörungen reduzieren Arbeitsunfähigkeit?</w:t>
      </w:r>
    </w:p>
    <w:p>
      <w:r>
        <w:rPr>
          <w:i/>
          <w:color w:val="666666"/>
          <w:sz w:val="18"/>
        </w:rPr>
        <w:t>Bornhöft L et al.  ·  BMC Health Serv Res  ·  26.09.2026  ·  PMID 42806350</w:t>
      </w:r>
    </w:p>
    <w:p>
      <w:r>
        <w:t>Ökonomische Analyse eines randomisierten Vergleichs zwischen teambasierter Primärversorgungsrehabilitation und Standardversorgung für Patienten mit erhöhtem Fehlzeitrisiko in Schweden (N=526).</w:t>
      </w:r>
    </w:p>
    <w:p>
      <w:r>
        <w:rPr>
          <w:b/>
        </w:rPr>
        <w:t xml:space="preserve">Ergebnis: </w:t>
      </w:r>
      <w:r>
        <w:t>Team-Rehabilitation und Standardversorgung führten zu ähnlichen QALYs über ein Jahr; die Wahrscheinlichkeit der Kosteneffektivität lag bei etwa 50 % (schwedische Schwellenwerte 43.000–86.000 €/QALY); Selektion bedürftiger Patienten muss verbessert werden.</w:t>
      </w:r>
    </w:p>
    <w:p>
      <w:r>
        <w:rPr>
          <w:b/>
          <w:sz w:val="19"/>
        </w:rPr>
        <w:t xml:space="preserve">Übertragbarkeit: </w:t>
      </w:r>
      <w:r>
        <w:rPr>
          <w:sz w:val="19"/>
        </w:rPr>
        <w:t>Schweden, steuerfinanziert und hausarztgesteuert, aber Prozesse und Arbeitsfähigkeit sind übertragbar.</w:t>
      </w:r>
    </w:p>
    <w:p>
      <w:r>
        <w:rPr>
          <w:color w:val="5A7D3A"/>
          <w:sz w:val="18"/>
        </w:rPr>
        <w:t>https://pubmed.ncbi.nlm.nih.gov/42806350/</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2026-10-23T06:00:00Z</dcterms:created>
  <dcterms:modified xsi:type="dcterms:W3CDTF">2026-10-23T06:00:00Z</dcterms:modified>
  <cp:category/>
</cp:coreProperties>
</file>