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18.10.2026  |  7 Studien  |  wissen.m-vf.de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Enzalutamid bei metastatischem hormonsensitivem Prostatakarzinom: Kosteneffektivitätsanalyse</w:t>
      </w:r>
    </w:p>
    <w:p>
      <w:r>
        <w:rPr>
          <w:i/>
          <w:color w:val="666666"/>
          <w:sz w:val="18"/>
        </w:rPr>
        <w:t>Law CK et al.  ·  EClinicalMedicine  ·  05.10.2026  ·  PMID 42890411</w:t>
      </w:r>
    </w:p>
    <w:p>
      <w:r>
        <w:t>Australische within-trial-Kosteneffektivitätsanalyse der ENZAMET-Studie verglich Enzalutamid plus Testosteronsuppression mit Standard-Nicht-Steroiden für Patienten mit metastatischem hormonsensitivem Prostatakarzinom über 60 Monate.</w:t>
      </w:r>
    </w:p>
    <w:p>
      <w:r>
        <w:rPr>
          <w:b/>
        </w:rPr>
        <w:t xml:space="preserve">Ergebnis: </w:t>
      </w:r>
      <w:r>
        <w:t>Enzalutamid führte zu AUD 127.262 zusätzlichen Kosten pro Patient, 0,24 Lebensjahren und 0,15 QALYs-Gewinn; ICER AUD 835.580 pro QALY. Kosteneffizienz nur bei Kaufpreis von AUD 6,73 pro Tablette erreichbar (Schwellenwert AUD 50.000/QALY). Erhöhte Hospitalisierungen und Muskel-Skelett-Medikationen in Enzalutamid-Gruppe.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 Gesundheitssystem, aber Analyse-Methodik auf deutsches System übertragbar.</w:t>
      </w:r>
    </w:p>
    <w:p>
      <w:r>
        <w:rPr>
          <w:color w:val="5A7D3A"/>
          <w:sz w:val="18"/>
        </w:rPr>
        <w:t>https://pubmed.ncbi.nlm.nih.gov/42890411/</w:t>
      </w:r>
    </w:p>
    <w:p>
      <w:pPr>
        <w:pStyle w:val="Heading2"/>
      </w:pPr>
      <w:r>
        <w:t>Nutzen von klinischen Qualitätsregistern: Governance und Systemintegration</w:t>
      </w:r>
    </w:p>
    <w:p>
      <w:r>
        <w:rPr>
          <w:i/>
          <w:color w:val="666666"/>
          <w:sz w:val="18"/>
        </w:rPr>
        <w:t>Bessen T et al.  ·  Med J Aust  ·  Okt. 2026  ·  PMID 42888857</w:t>
      </w:r>
    </w:p>
    <w:p>
      <w:r>
        <w:t>Konferenzbeitrag diskutiert, wie klinische Qualitätsregister (CQRs) zur Qualitätsverbesserung in Gesundheitssystemen beitragen und beschreibt Organizational-Infrastructure-Elemente für Systemintegration.</w:t>
      </w:r>
    </w:p>
    <w:p>
      <w:r>
        <w:rPr>
          <w:b/>
        </w:rPr>
        <w:t xml:space="preserve">Ergebnis: </w:t>
      </w:r>
      <w:r>
        <w:t>CQRs erfassen systematisch Sicherheits- und Qualitätsdaten mit Risikoanpassung und Benchmarking; Daten treiben Qualitätsverbesserungen. Zentrale Erkenntnis: Daten bleiben oft in Facheinheiten statt Organisation/System-weit integriert. Erforderlich: Governance-Infrastruktur zur Systemintegration auf Gesundheits- und Behördenebene.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Registries-Governance-Ansätze auf deutsches Qualitätsmanagement übertragbar.</w:t>
      </w:r>
    </w:p>
    <w:p>
      <w:r>
        <w:rPr>
          <w:color w:val="5A7D3A"/>
          <w:sz w:val="18"/>
        </w:rPr>
        <w:t>https://pubmed.ncbi.nlm.nih.gov/42888857/</w:t>
      </w:r>
    </w:p>
    <w:p>
      <w:pPr>
        <w:pStyle w:val="Heading2"/>
      </w:pPr>
      <w:r>
        <w:t>Wartezeiten und Verzögerungen bei Kopf-Hals-Krebs in England</w:t>
      </w:r>
    </w:p>
    <w:p>
      <w:r>
        <w:rPr>
          <w:i/>
          <w:color w:val="666666"/>
          <w:sz w:val="18"/>
        </w:rPr>
        <w:t>Jashek-Ahmed F et al.  ·  Br J Cancer  ·  16.10.2026  ·  PMID 42888204</w:t>
      </w:r>
    </w:p>
    <w:p>
      <w:r>
        <w:t>Britische Kohortenstudie mit verlinkten nationalen Datenregistern untersuchte Wartezeiten von Überweisung bis zur ersten Krebsbehandlung (Chirurgie oder Strahlenchemotherapie) bei 30.506 Kopf-Hals-Karzinom-Patienten.</w:t>
      </w:r>
    </w:p>
    <w:p>
      <w:r>
        <w:rPr>
          <w:b/>
        </w:rPr>
        <w:t xml:space="preserve">Ergebnis: </w:t>
      </w:r>
      <w:r>
        <w:t>43 % erlebten Behandlungsverzögerung (&gt;62 Tage), 11 % bei Chirurgie und 20 % bei (Chemo-)Strahlung &gt;90 Tage. Nicht-dringende Überweisung (30 % der Patienten) war stärkster Prädiktor für lange Verzögerung (aOR 4,07; 95 %-KI 3,54–4,68). Zusätzliche Risikofaktoren: initiale Bewertung in Nicht-Spezialist-Kliniken, Non-Oropharynx-Karzinome, höhere Deprivation.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NHS-System; Methodik zu Zugangssteuerung begrenzt übertragbar auf Deutschland.</w:t>
      </w:r>
    </w:p>
    <w:p>
      <w:r>
        <w:rPr>
          <w:color w:val="5A7D3A"/>
          <w:sz w:val="18"/>
        </w:rPr>
        <w:t>https://pubmed.ncbi.nlm.nih.gov/42888204/</w:t>
      </w:r>
    </w:p>
    <w:p>
      <w:pPr>
        <w:pStyle w:val="Heading2"/>
      </w:pPr>
      <w:r>
        <w:t>Zugang zu Versorgung bei Niereninsuffizienz: Sicht von Medicare-Advantage-Organisationen</w:t>
      </w:r>
    </w:p>
    <w:p>
      <w:r>
        <w:rPr>
          <w:i/>
          <w:color w:val="666666"/>
          <w:sz w:val="18"/>
        </w:rPr>
        <w:t>Tyler DA et al.  ·  Health Serv Res  ·  Okt. 2026  ·  PMID 42888180</w:t>
      </w:r>
    </w:p>
    <w:p>
      <w:r>
        <w:t>Qualitative Studie mit 56 Teilnehmern aus 8 Medicare-Advantage-Plänen, 6 Dialyse- und 5 Nierenbetreu-Unternehmen in den USA untersuchte Perspektiven zum Versorgungszugang nach Medicare-Advantage-Einschreibung bei Dialysepatienten.</w:t>
      </w:r>
    </w:p>
    <w:p>
      <w:r>
        <w:rPr>
          <w:b/>
        </w:rPr>
        <w:t xml:space="preserve">Ergebnis: </w:t>
      </w:r>
      <w:r>
        <w:t>Perspektiven differieren nach Organisation und Mitarbeiter-Funktion. MA-Plankvertreter berichten keine Zugangsbarrieren zu Dialyse; kleine Dialyse-Anbieter berichten Patienten-Fahrtweite zu In-Network-Einrichtungen. Informationen über Netzwerkbeschränkungen für Spezialisten oft nicht Patienten-bewusst. MA wählt ‚Centers of Excellence', andere berichten Transplant-Zugangs-Behinderung. Zusatzleistungen von Exekutive betont, von Frontline-Personal als begrenzt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stark systemabhängig von Medicare-Struktur, begrenzte Übertragbarkeit.</w:t>
      </w:r>
    </w:p>
    <w:p>
      <w:r>
        <w:rPr>
          <w:color w:val="5A7D3A"/>
          <w:sz w:val="18"/>
        </w:rPr>
        <w:t>https://pubmed.ncbi.nlm.nih.gov/42888180/</w:t>
      </w:r>
    </w:p>
    <w:p>
      <w:pPr>
        <w:pStyle w:val="Heading2"/>
      </w:pPr>
      <w:r>
        <w:t>Konsensusdefinition schwere COPD: internationale Delphi-Studie</w:t>
      </w:r>
    </w:p>
    <w:p>
      <w:r>
        <w:rPr>
          <w:i/>
          <w:color w:val="666666"/>
          <w:sz w:val="18"/>
        </w:rPr>
        <w:t>Melles MC et al.  ·  Ann Am Thorac Soc  ·  16.10.2026  ·  PMID 42885566</w:t>
      </w:r>
    </w:p>
    <w:p>
      <w:r>
        <w:t>Internationale modifizierte Delphi-Studie mit 55 COPD-Experten entwickelte Konsensusdefinition und minimales Diagnose-Set für schwere COPD sowie notwendige Arbeitsvorgänge.</w:t>
      </w:r>
    </w:p>
    <w:p>
      <w:r>
        <w:rPr>
          <w:b/>
        </w:rPr>
        <w:t xml:space="preserve">Ergebnis: </w:t>
      </w:r>
      <w:r>
        <w:t>Konsens in 46 von 67 Aussagen (Runde 1, 69 %) und 15 von 20 (Runde 2, 75 %). Schwere COPD definiert als persistierende Symptome/Funktionsbeeinträchtigung trotz optimaler Therapie mit mindestens einem Merkmal: schwere Atemwegsobstruktion, schwere Diffusionsstörung, schwere Überblähung, häufige Exazerbationen, chronische Ateminsuffizienz, pulmonale Hypertonie oder Kachexie. Standardisiertes Workup inkl. Patient-Reported Outcomes, Exazerbationen, Lungenfunktion, Blutgase, Imaging, kardiale Bewertung, Belastungstestung.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Konsensus-Studie mit 55 Experten; Definitionen für deutsches Versorgungssystem relevant.</w:t>
      </w:r>
    </w:p>
    <w:p>
      <w:r>
        <w:rPr>
          <w:color w:val="5A7D3A"/>
          <w:sz w:val="18"/>
        </w:rPr>
        <w:t>https://pubmed.ncbi.nlm.nih.gov/42885566/</w:t>
      </w:r>
    </w:p>
    <w:p>
      <w:pPr>
        <w:pStyle w:val="Heading2"/>
      </w:pPr>
      <w:r>
        <w:t>Social-Media-Nutzung und Angststörungen bei Gesundheitsmitarbeitern in COVID-19</w:t>
      </w:r>
    </w:p>
    <w:p>
      <w:r>
        <w:rPr>
          <w:i/>
          <w:color w:val="666666"/>
          <w:sz w:val="18"/>
        </w:rPr>
        <w:t>Powell M et al.  ·  J Med Internet Res  ·  15.10.2026  ·  PMID 42879747</w:t>
      </w:r>
    </w:p>
    <w:p>
      <w:r>
        <w:t>Sekundäranalyse der UC-COVID-Studie 2021 mit 427 Gesundheitsmitarbeitern untersuchte Assoziationen zwischen Social-Media-Nutzung über mehrere Plattformen und Angst-Symptomen während Pandemie.</w:t>
      </w:r>
    </w:p>
    <w:p>
      <w:r>
        <w:rPr>
          <w:b/>
        </w:rPr>
        <w:t xml:space="preserve">Ergebnis: </w:t>
      </w:r>
      <w:r>
        <w:t>29 % berichteten klinisch relevante Angststörungen (GAD-2 ≥3). Höhere Social-Media-Nutzung signifikant mit Angst assoziiert (OR 1,77; 95 %-KI 1,15–2,73). Älteres Alter reduzierte Angststörungen (aOR 0,97; 95 %-KI 0,95–0,99). Psychische-Anamnese erhöhte Angststörungen (aOR 2,33; 95 %-KI 1,35–4,03). Nicht-hispanische Asiaten weniger Angststörungen (aOR 0,39; KI 0,19–0,80). Höheres Einkommen reduzierte Angststörungen (aOR 0,51; KI 0,30–0,87).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Fragestellung zu Gesundheitsmitarbeiter-Psyche systemunabhängig relevant.</w:t>
      </w:r>
    </w:p>
    <w:p>
      <w:r>
        <w:rPr>
          <w:color w:val="5A7D3A"/>
          <w:sz w:val="18"/>
        </w:rPr>
        <w:t>https://pubmed.ncbi.nlm.nih.gov/42879747/</w:t>
      </w:r>
    </w:p>
    <w:p>
      <w:pPr>
        <w:pStyle w:val="Heading2"/>
      </w:pPr>
      <w:r>
        <w:t>Umsetzung von CVD-Risiko-Vorhersage-Tools in Subsahara-Afrika: Scoping Review</w:t>
      </w:r>
    </w:p>
    <w:p>
      <w:r>
        <w:rPr>
          <w:i/>
          <w:color w:val="666666"/>
          <w:sz w:val="18"/>
        </w:rPr>
        <w:t>Gouws M et al.  ·  BMC Health Serv Res  ·  19.08.2026  ·  PMID 42875763</w:t>
      </w:r>
    </w:p>
    <w:p>
      <w:r>
        <w:t>Systematische Scoping Review zur Implementierung von Kardiovaskulär-Risiko-Vorhersage-Scores in Subsahara-Afrika anhand von 41 Studien aus zehn Ländern; Struktur nach Implementation-Research-Logic-Model.</w:t>
      </w:r>
    </w:p>
    <w:p>
      <w:r>
        <w:rPr>
          <w:b/>
        </w:rPr>
        <w:t xml:space="preserve">Ergebnis: </w:t>
      </w:r>
      <w:r>
        <w:t>Vier Use-Cases identifiziert: ökonomische/Policy-Überlegungen, Screening hohes CVD-Risiko/Überweisung, Risikokommunikation, Behandlung Hochrisiko-Patienten. Häufigste Barrieren: Gesundheitssystem- und Organisations-Herausforderungen. Implementierungs-Strategien fokussieren Task-Shifting, Training, kurzfristige Materialien/Technologie-Unterstützung für Community-Health-Worker. Wenig Evidenz zu Nachhaltigkeits-Strategien in Einrichtungen; Mismatch zwischen Determinanten-Breite und Strategien-Enge.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Sub-Sahara; systemabhängig von Ressourcenlage, begrenzte Übertragbarkeit auf Deutschland.</w:t>
      </w:r>
    </w:p>
    <w:p>
      <w:r>
        <w:rPr>
          <w:color w:val="5A7D3A"/>
          <w:sz w:val="18"/>
        </w:rPr>
        <w:t>https://pubmed.ncbi.nlm.nih.gov/42875763/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