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31.08.2026  |  6 Studien  |  wissen.m-vf.de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Symptombelastung nach Dialysebeginn und Hospitalisierungsrisiko</w:t>
      </w:r>
    </w:p>
    <w:p>
      <w:r>
        <w:rPr>
          <w:i/>
          <w:color w:val="666666"/>
          <w:sz w:val="18"/>
        </w:rPr>
        <w:t>Nair D et al.  ·  Kidney Med  ·  23.06.2026  ·  PMID 42668553</w:t>
      </w:r>
    </w:p>
    <w:p>
      <w:r>
        <w:t>Längsschnittstudie zur Assoziation zwischen Symptombelastung (KDQOL-36) und Krankenhausaufnahmen bei Hämodialysepatienten in den USA.</w:t>
      </w:r>
    </w:p>
    <w:p>
      <w:r>
        <w:rPr>
          <w:b/>
        </w:rPr>
        <w:t xml:space="preserve">Ergebnis: </w:t>
      </w:r>
      <w:r>
        <w:t>1.818 Teilnehmer; latente Transitionsanalyse identifizierte 3 Symptombelastungs-Klassen. Hohe Symptombelastung: HR 1,20 für Hospitalisierung (95%-CI). Schmerzinterferenz und Müdigkeit stärkste Prädiktoren (je 1-Kategorie-Verschlechterung: +12% bzw. +8% Hazard). Symptombelastung sollte Behandlungsziel in Dialysezentren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US-Daten, aber Messinstrument und Fragestellung systemunabhängig auf deutsches Setting anwendbar.</w:t>
      </w:r>
    </w:p>
    <w:p>
      <w:r>
        <w:rPr>
          <w:color w:val="5A7D3A"/>
          <w:sz w:val="18"/>
        </w:rPr>
        <w:t>https://pubmed.ncbi.nlm.nih.gov/42668553/</w:t>
      </w:r>
    </w:p>
    <w:p>
      <w:pPr>
        <w:pStyle w:val="Heading2"/>
      </w:pPr>
      <w:r>
        <w:t>Kardiovaskulär-Nieren-Leber-Stoffwechsel-Last weltweit 1990–2023</w:t>
      </w:r>
    </w:p>
    <w:p>
      <w:r>
        <w:rPr>
          <w:i/>
          <w:color w:val="666666"/>
          <w:sz w:val="18"/>
        </w:rPr>
        <w:t>Jayabaskaran J et al.  ·  EClinicalMedicine  ·  22.08.2026  ·  PMID 42668515</w:t>
      </w:r>
    </w:p>
    <w:p>
      <w:r>
        <w:t>Deskriptive epidemiologische Analyse Global Burden of Disease 2023 zu Mortalität und DALYs für atherogene CVD, CKD, Typ-2-Diabetes, Adipositas und MASLD in 204 Ländern.</w:t>
      </w:r>
    </w:p>
    <w:p>
      <w:r>
        <w:rPr>
          <w:b/>
        </w:rPr>
        <w:t xml:space="preserve">Ergebnis: </w:t>
      </w:r>
      <w:r>
        <w:t>2023: 626,7 Millionen DALYs; altersstandardisierte Rate 6.944,3/100.000. Atherogene CVD 3.924,2 DALYs [95%-UI 3.667–4.181], Adipositas 1.500,0, Typ-2-Diabetes 956,7, CKD 523,8, MASLD 39,6. 1990–2023: CKLM-DALYs -24,4%; CVD -41,5%, aber Typ-2-Diabetes +37,5%, Adipositas +23,3%. Prävention muss geteilte Risikofaktoren adressieren.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Daten, WHO-Methodik; Trends relevant für deutsche Versorgungsplanung.</w:t>
      </w:r>
    </w:p>
    <w:p>
      <w:r>
        <w:rPr>
          <w:color w:val="5A7D3A"/>
          <w:sz w:val="18"/>
        </w:rPr>
        <w:t>https://pubmed.ncbi.nlm.nih.gov/42668515/</w:t>
      </w:r>
    </w:p>
    <w:p>
      <w:pPr>
        <w:pStyle w:val="Heading2"/>
      </w:pPr>
      <w:r>
        <w:t>Ambulante Behandlung akuter Herzinsuffizienz durch Fachkräfte – niedrigere Readmissions- und Mortalitätsraten</w:t>
      </w:r>
    </w:p>
    <w:p>
      <w:r>
        <w:rPr>
          <w:i/>
          <w:color w:val="666666"/>
          <w:sz w:val="18"/>
        </w:rPr>
        <w:t>Rasoul D et al.  ·  Curr Probl Cardiol  ·  29.08.2026  ·  PMID 42667938</w:t>
      </w:r>
    </w:p>
    <w:p>
      <w:r>
        <w:t>Retrospektive Kohortenstudie zu ambulanter Behandlung dekompenserter Herzinsuffizienz mit IV-Diuretika in spezialisierter Fachkrankenpflege-geführter Einheit versus stationär.</w:t>
      </w:r>
    </w:p>
    <w:p>
      <w:r>
        <w:rPr>
          <w:b/>
        </w:rPr>
        <w:t xml:space="preserve">Ergebnis: </w:t>
      </w:r>
      <w:r>
        <w:t>Nach Propensity-Score-Matching (je 1.227 Patienten): 30-Tage-Readmission AHFU vs. Standardcare 16,5% vs. 24,1% (p&lt;0,001); 1-Jahres-Readmission 25,2% vs. 30,8% (p=0,004); 30-Tage-Mortalität 10,1% vs. 13,5% (p=0,009); 1-Jahres-Mortalität vergleichbar (10,9% vs. 10,8%). Spezialisierte ambulante Versorgung kann Krankenhausbehandlung bei geeigneten Patienten reduzieren.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nationale Gesundheitsversorgung, hausarztgestützt – System übertragbar auf strukturierte Poliklinik-Modelle.</w:t>
      </w:r>
    </w:p>
    <w:p>
      <w:r>
        <w:rPr>
          <w:color w:val="5A7D3A"/>
          <w:sz w:val="18"/>
        </w:rPr>
        <w:t>https://pubmed.ncbi.nlm.nih.gov/42667938/</w:t>
      </w:r>
    </w:p>
    <w:p>
      <w:pPr>
        <w:pStyle w:val="Heading2"/>
      </w:pPr>
      <w:r>
        <w:t>Lebensqualität nach präventiver Hysterektomie bei Lynch-Syndrom</w:t>
      </w:r>
    </w:p>
    <w:p>
      <w:r>
        <w:rPr>
          <w:i/>
          <w:color w:val="666666"/>
          <w:sz w:val="18"/>
        </w:rPr>
        <w:t>Oxley SG et al.  ·  EClinicalMedicine  ·  27.07.2026  ·  PMID 42666945</w:t>
      </w:r>
    </w:p>
    <w:p>
      <w:r>
        <w:t>Multizentrische Querschnittsstudie (PRESCORES) zur Erfassung der gesundheitsbezogenen Lebensqualität (EQ-5D) bei Frauen mit Lynch-Syndrom mit und ohne risikoreduzierende Hysterektomie.</w:t>
      </w:r>
    </w:p>
    <w:p>
      <w:r>
        <w:rPr>
          <w:b/>
        </w:rPr>
        <w:t xml:space="preserve">Ergebnis: </w:t>
      </w:r>
      <w:r>
        <w:t>1.120 Teilnehmer: 529 nach RRH (Median 55 Jahre), 591 ohne (39 Jahre). Adjustierte mittlere EQ-5D-Differenz RRH vs. keine RRH: -0,020 (95%-CI -0,045–0,004; p=0,11), bei prämenopausalen Frauen -0,041 (p&lt;0,05). Cancer-Worry-Scale in RRH-Gruppe signifikant niedriger (Differenz -0,48; p=0,004). Hysterektomie bei jüngeren Frauen mit Lebensqualitätseinbußen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NHS-Daten, genetische Beratung/Screening-Kontext auf deutsches Versorgungssystem übertragbar.</w:t>
      </w:r>
    </w:p>
    <w:p>
      <w:r>
        <w:rPr>
          <w:color w:val="5A7D3A"/>
          <w:sz w:val="18"/>
        </w:rPr>
        <w:t>https://pubmed.ncbi.nlm.nih.gov/42666945/</w:t>
      </w:r>
    </w:p>
    <w:p>
      <w:pPr>
        <w:pStyle w:val="Heading2"/>
      </w:pPr>
      <w:r>
        <w:t>Körperliche Aktivität und Mundgesundheit im Alter – kausale Studie in Singapur</w:t>
      </w:r>
    </w:p>
    <w:p>
      <w:r>
        <w:rPr>
          <w:i/>
          <w:color w:val="666666"/>
          <w:sz w:val="18"/>
        </w:rPr>
        <w:t>Tay JRH et al.  ·  J Nutr Health Aging  ·  28.08.2026  ·  PMID 42664809</w:t>
      </w:r>
    </w:p>
    <w:p>
      <w:r>
        <w:t>Längsschnitt-Kausalitätsstudie (THE SIGNS Study, 2016–2024) zu Effekten erhöhter körperlicher Aktivität auf Mundgesundheit und Kaufunktion bei älteren Erwachsenen.</w:t>
      </w:r>
    </w:p>
    <w:p>
      <w:r>
        <w:rPr>
          <w:b/>
        </w:rPr>
        <w:t xml:space="preserve">Ergebnis: </w:t>
      </w:r>
      <w:r>
        <w:t>N=3.981, 3 Wellen. Erhöhung auf ≥450 MET-min/Woche: RR für schlechte Mundgesundheit 0,88 (95%-CI 0,82–0,95). Selbst Anstieg auf 150 MET-min/Woche: RR 0,93 (0,88–0,99). Eleminierung aller Aktivität erhöht Kaufunktionsstörungen um 21% (RR 1,21; 95%-CI 1,10–1,33). Physische Aktivität protektiv für Mundgesundheit im Alter.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Singapur, steuerfinanziertes System; Public-Health-Fragestellung systemunabhängig, Ergebnisse auf deutsches Setting übertragbar.</w:t>
      </w:r>
    </w:p>
    <w:p>
      <w:r>
        <w:rPr>
          <w:color w:val="5A7D3A"/>
          <w:sz w:val="18"/>
        </w:rPr>
        <w:t>https://pubmed.ncbi.nlm.nih.gov/42664809/</w:t>
      </w:r>
    </w:p>
    <w:p>
      <w:pPr>
        <w:pStyle w:val="Heading2"/>
      </w:pPr>
      <w:r>
        <w:t>Difference-in-Differences – methodisches Rahmenwerk für pädiatrische Versorgungsforschung</w:t>
      </w:r>
    </w:p>
    <w:p>
      <w:r>
        <w:rPr>
          <w:i/>
          <w:color w:val="666666"/>
          <w:sz w:val="18"/>
        </w:rPr>
        <w:t>Lee AR et al.  ·  Arch Dis Child  ·  26.08.2026  ·  PMID 42648881</w:t>
      </w:r>
    </w:p>
    <w:p>
      <w:r>
        <w:t>Methodisches Tutorial zur Difference-in-Differences-Analyse für Kinderärzte im Bereich Versorgungsforschung.</w:t>
      </w:r>
    </w:p>
    <w:p>
      <w:r>
        <w:rPr>
          <w:b/>
        </w:rPr>
        <w:t xml:space="preserve">Ergebnis: </w:t>
      </w:r>
      <w:r>
        <w:t>Strukturierter Rahmen für quasi-experimentelle Analyse von Interventionseffekten mit zeitlicher und Kontrollgruppen-Variation. Methodisch-pädagogischer Beitrag ohne quantitative Ergebnisse eigener Studie.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Methodische Anleitung, systemunabhängig anwendbar auf deutsche Versorgungsforschung.</w:t>
      </w:r>
    </w:p>
    <w:p>
      <w:r>
        <w:rPr>
          <w:color w:val="5A7D3A"/>
          <w:sz w:val="18"/>
        </w:rPr>
        <w:t>https://pubmed.ncbi.nlm.nih.gov/42648881/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2026-08-31T06:00:00Z</dcterms:created>
  <dcterms:modified xsi:type="dcterms:W3CDTF">2026-08-31T06:00:00Z</dcterms:modified>
  <cp:category/>
</cp:coreProperties>
</file>