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17.10.2026  |  380 Studien  |  wissen.m-vf.de</w:t>
      </w:r>
    </w:p>
    <w:p>
      <w:pPr>
        <w:pStyle w:val="Heading1"/>
      </w:pPr>
      <w:r>
        <w:t>Aufgenommen am 17.10.2026</w:t>
      </w:r>
    </w:p>
    <w:p>
      <w:pPr>
        <w:pStyle w:val="Heading2"/>
      </w:pPr>
      <w:r>
        <w:t>ASAS-Kernsatz zur Assessmentierung axialer Spondyloarthritis</w:t>
      </w:r>
    </w:p>
    <w:p>
      <w:r>
        <w:rPr>
          <w:i/>
          <w:color w:val="666666"/>
          <w:sz w:val="18"/>
        </w:rPr>
        <w:t>van Tubergen A et al.  ·  Ann Rheum Dis  ·  16.10.2026  ·  PMID 42888164</w:t>
      </w:r>
    </w:p>
    <w:p>
      <w:r>
        <w:t>Internationale Expertengruppe entwickelte per modifiziertem Delphi-Verfahren einen standardisierten Kernsatz von Assessmentdomänen und -instrumenten für die klinische Praxis.</w:t>
      </w:r>
    </w:p>
    <w:p>
      <w:r>
        <w:rPr>
          <w:b/>
        </w:rPr>
        <w:t xml:space="preserve">Ergebnis: </w:t>
      </w:r>
      <w:r>
        <w:t>Der Kernsatz wurde von der Mehrheit der ASAS-Mitglieder verabschiedet. Fünf Domänen für Routinevisiten (Krankheitsaktivität, Schmerz, periphere Manifestationen, extramuskuloskeletale Manifestationen, Therapieaspekte) mit je mindestens einem empfohlenen Instrument plus vier ergänzende Domänen für erweiterte Visiten (strukturelle Schäden, Funktionsfähigkeit, Komorbiditäten, Mobilität).</w:t>
      </w:r>
    </w:p>
    <w:p>
      <w:r>
        <w:rPr>
          <w:b/>
          <w:sz w:val="19"/>
        </w:rPr>
        <w:t xml:space="preserve">Übertragbarkeit: </w:t>
      </w:r>
      <w:r>
        <w:rPr>
          <w:sz w:val="19"/>
        </w:rPr>
        <w:t>Internationaler Konsens, europäische Beteiligung, deutsches Rheumazentrum beteiligt</w:t>
      </w:r>
    </w:p>
    <w:p>
      <w:r>
        <w:rPr>
          <w:color w:val="5A7D3A"/>
          <w:sz w:val="18"/>
        </w:rPr>
        <w:t>https://pubmed.ncbi.nlm.nih.gov/42888164/</w:t>
      </w:r>
    </w:p>
    <w:p>
      <w:pPr>
        <w:pStyle w:val="Heading2"/>
      </w:pPr>
      <w:r>
        <w:t>Partizipative Forschung mit Betroffenen: Impact und Team-Dynamik</w:t>
      </w:r>
    </w:p>
    <w:p>
      <w:r>
        <w:rPr>
          <w:i/>
          <w:color w:val="666666"/>
          <w:sz w:val="18"/>
        </w:rPr>
        <w:t>Fox J et al.  ·  Health Expect  ·  Okt. 2026  ·  PMID 42886175</w:t>
      </w:r>
    </w:p>
    <w:p>
      <w:r>
        <w:t>Qualitative Fallstudie erforschte über sieben Jahre die Erfahrungen von Forschungsteams und Betroffenen-Panels bei partizipativ durchgeführter Forschung zur Psychoseprävention.</w:t>
      </w:r>
    </w:p>
    <w:p>
      <w:r>
        <w:rPr>
          <w:b/>
        </w:rPr>
        <w:t xml:space="preserve">Ergebnis: </w:t>
      </w:r>
      <w:r>
        <w:t>Vier Hauptthemen: Impact wurde als Lernprozess mit Friktionen beschrieben; Studienteam schätzte Expertise der Betroffenen; Herausforderungen waren mangelnde Schulung zur Partizipation, Wechsel in Panelstruktur, COVID-bedingte Online-Verlagerung und Zweifel an Relevanzbezug. Regelmäßige reflexive Lernprozesse mit offenem Feedback waren zentral für positive Inklusionskultur.</w:t>
      </w:r>
    </w:p>
    <w:p>
      <w:r>
        <w:rPr>
          <w:b/>
          <w:sz w:val="19"/>
        </w:rPr>
        <w:t xml:space="preserve">Übertragbarkeit: </w:t>
      </w:r>
      <w:r>
        <w:rPr>
          <w:sz w:val="19"/>
        </w:rPr>
        <w:t>UK-Studie, Methode aber international übertragbar für Partizipationsforschung</w:t>
      </w:r>
    </w:p>
    <w:p>
      <w:r>
        <w:rPr>
          <w:color w:val="5A7D3A"/>
          <w:sz w:val="18"/>
        </w:rPr>
        <w:t>https://pubmed.ncbi.nlm.nih.gov/42886175/</w:t>
      </w:r>
    </w:p>
    <w:p>
      <w:pPr>
        <w:pStyle w:val="Heading2"/>
      </w:pPr>
      <w:r>
        <w:t>Depressive Symptome und Remission bei Psoriasis-Arthritis</w:t>
      </w:r>
    </w:p>
    <w:p>
      <w:r>
        <w:rPr>
          <w:i/>
          <w:color w:val="666666"/>
          <w:sz w:val="18"/>
        </w:rPr>
        <w:t>Reich A et al.  ·  BMC Rheumatol  ·  14.10.2026  ·  PMID 42881477</w:t>
      </w:r>
    </w:p>
    <w:p>
      <w:r>
        <w:t>Deutsche Registerstudie untersuchte die Assoziation depressiver Symptome mit Remissionserreichung bei Patienten mit Psoriasis-Arthritis unter systemischer Therapie.</w:t>
      </w:r>
    </w:p>
    <w:p>
      <w:r>
        <w:rPr>
          <w:b/>
        </w:rPr>
        <w:t xml:space="preserve">Ergebnis: </w:t>
      </w:r>
      <w:r>
        <w:t>29 % der 1.888 Patienten berichteten moderate/schwere depressive Symptome (34 % Frauen, 23 % Männer). Höheres Wohlbefinden war mit Remission assoziiert (OR 1,06–1,14 pro 10-Punkt-Steigerung). Beide Geschlechter mit moderaten/schweren Symptomen erreichten Minimal Disease Activity und DAPSA-Remission weniger häufig; die Assoziation unterschied sich nicht signifikant nach Geschlecht.</w:t>
      </w:r>
    </w:p>
    <w:p>
      <w:r>
        <w:rPr>
          <w:b/>
          <w:sz w:val="19"/>
        </w:rPr>
        <w:t xml:space="preserve">Übertragbarkeit: </w:t>
      </w:r>
      <w:r>
        <w:rPr>
          <w:sz w:val="19"/>
        </w:rPr>
        <w:t>Deutsche Routinedaten, ambulante rheumatologische Praxis</w:t>
      </w:r>
    </w:p>
    <w:p>
      <w:r>
        <w:rPr>
          <w:color w:val="5A7D3A"/>
          <w:sz w:val="18"/>
        </w:rPr>
        <w:t>https://pubmed.ncbi.nlm.nih.gov/42881477/</w:t>
      </w:r>
    </w:p>
    <w:p>
      <w:pPr>
        <w:pStyle w:val="Heading2"/>
      </w:pPr>
      <w:r>
        <w:t>Belastung von Eltern als Pflegende bei seltenen Kindererkrankungen</w:t>
      </w:r>
    </w:p>
    <w:p>
      <w:r>
        <w:rPr>
          <w:i/>
          <w:color w:val="666666"/>
          <w:sz w:val="18"/>
        </w:rPr>
        <w:t>Brandt M et al.  ·  Orphanet J Rare Dis  ·  12.10.2026  ·  PMID 42881418</w:t>
      </w:r>
    </w:p>
    <w:p>
      <w:r>
        <w:t>Deutsche Querschnittstudie untersuchte Pflegbelastung bei 123 Eltern von Kindern mit seltenen Erkrankungen und identifizierte assoziierte Faktoren.</w:t>
      </w:r>
    </w:p>
    <w:p>
      <w:r>
        <w:rPr>
          <w:b/>
        </w:rPr>
        <w:t xml:space="preserve">Ergebnis: </w:t>
      </w:r>
      <w:r>
        <w:t>23 % berichteten depressive Symptome, 77 % mindestens einen unerfüllten Unterstützungsbedarf. Bei Kindern mit Pflegebedarf: 24 % mit hoher Pflegbelastung. Nach Adjustierung für multiple Tests zeigten sich bei niedrigerer pflegbezogener Lebensqualität, höherer Sozioökonomie, elterlichen depressiven Symptomen und niedriger Therapiezufriedenheit stärkste Assoziationen mit Pflegbelastung.</w:t>
      </w:r>
    </w:p>
    <w:p>
      <w:r>
        <w:rPr>
          <w:b/>
          <w:sz w:val="19"/>
        </w:rPr>
        <w:t xml:space="preserve">Übertragbarkeit: </w:t>
      </w:r>
      <w:r>
        <w:rPr>
          <w:sz w:val="19"/>
        </w:rPr>
        <w:t>Deutsche Studie, spezialisierte Zentren und Patientenorganisationen</w:t>
      </w:r>
    </w:p>
    <w:p>
      <w:r>
        <w:rPr>
          <w:color w:val="5A7D3A"/>
          <w:sz w:val="18"/>
        </w:rPr>
        <w:t>https://pubmed.ncbi.nlm.nih.gov/42881418/</w:t>
      </w:r>
    </w:p>
    <w:p>
      <w:pPr>
        <w:pStyle w:val="Heading2"/>
      </w:pPr>
      <w:r>
        <w:t>Gesundheitskompetenz und Gesundheit bei Pflegestudierenden</w:t>
      </w:r>
    </w:p>
    <w:p>
      <w:r>
        <w:rPr>
          <w:i/>
          <w:color w:val="666666"/>
          <w:sz w:val="18"/>
        </w:rPr>
        <w:t>Otto R et al.  ·  Front Med (Lausanne)  ·  30.09.2026  ·  PMID 42876879</w:t>
      </w:r>
    </w:p>
    <w:p>
      <w:r>
        <w:t>Longitudinale deutsche Kohortenstudie verfolgten 128 Auszubildende und 43 Studierende im Pflegebereich über ein Jahr und untersuchten Gesundheitskompetenz, Gesundheitsstatus und Gesundheitsverhalten.</w:t>
      </w:r>
    </w:p>
    <w:p>
      <w:r>
        <w:rPr>
          <w:b/>
        </w:rPr>
        <w:t xml:space="preserve">Ergebnis: </w:t>
      </w:r>
      <w:r>
        <w:t>Durchschnittliche Gesundheitskompetenzscores blieben stabil, zeigten aber heterogene individuelle Veränderungen. BMI stieg signifikant an. Selbstbewerteter Gesundheitsstatus verschlechterte sich bei Auszubildenden signifikant. Raucherquote stieg signifikant an, andere Gesundheitsverhalten blieben unverändert. Keine signifikanten Assoziationen zwischen Baseline-Gesundheitskompetenz und späteren Outcomes oder Verhalten.</w:t>
      </w:r>
    </w:p>
    <w:p>
      <w:r>
        <w:rPr>
          <w:b/>
          <w:sz w:val="19"/>
        </w:rPr>
        <w:t xml:space="preserve">Übertragbarkeit: </w:t>
      </w:r>
      <w:r>
        <w:rPr>
          <w:sz w:val="19"/>
        </w:rPr>
        <w:t>Deutsche Studie, Unterricht und Ausbildungssetting</w:t>
      </w:r>
    </w:p>
    <w:p>
      <w:r>
        <w:rPr>
          <w:color w:val="5A7D3A"/>
          <w:sz w:val="18"/>
        </w:rPr>
        <w:t>https://pubmed.ncbi.nlm.nih.gov/42876879/</w:t>
      </w:r>
    </w:p>
    <w:p>
      <w:pPr>
        <w:pStyle w:val="Heading2"/>
      </w:pPr>
      <w:r>
        <w:t>Technische Effizienz öffentlicher Gesundheitseinrichtungen</w:t>
      </w:r>
    </w:p>
    <w:p>
      <w:r>
        <w:rPr>
          <w:i/>
          <w:color w:val="666666"/>
          <w:sz w:val="18"/>
        </w:rPr>
        <w:t>Momina AU et al.  ·  BMC Health Serv Res  ·  13.10.2026  ·  PMID 42870268</w:t>
      </w:r>
    </w:p>
    <w:p>
      <w:r>
        <w:t>Datenabgrenzungsanalyse evaluierte die technische Effizienz von 100 öffentlichen Gesundheitseinrichtungen in Pakistan bei der Familienplanungsversorgung.</w:t>
      </w:r>
    </w:p>
    <w:p>
      <w:r>
        <w:rPr>
          <w:b/>
        </w:rPr>
        <w:t xml:space="preserve">Ergebnis: </w:t>
      </w:r>
      <w:r>
        <w:t>Die durchschnittliche Effizienzquote betrug 78 %. Basic Health Units und Rural Health Centers zeigten erhebliche Ressourcenoptimierungslücken. Eine negative Assoziation bestand zwischen der Anzahl alternativer Anbieter im Einzugsgebiet und der Effizienz, was die Bedeutung der Angebotsorientierung nach lokaler Nachfrage unterstreicht.</w:t>
      </w:r>
    </w:p>
    <w:p>
      <w:r>
        <w:rPr>
          <w:b/>
          <w:sz w:val="19"/>
        </w:rPr>
        <w:t xml:space="preserve">Übertragbarkeit: </w:t>
      </w:r>
      <w:r>
        <w:rPr>
          <w:sz w:val="19"/>
        </w:rPr>
        <w:t>Nur bedingt: andere Ressourcenlage, Gesundheitssystem-Kontext unterscheidet sich grundlegend</w:t>
      </w:r>
    </w:p>
    <w:p>
      <w:r>
        <w:rPr>
          <w:color w:val="5A7D3A"/>
          <w:sz w:val="18"/>
        </w:rPr>
        <w:t>https://pubmed.ncbi.nlm.nih.gov/42870268/</w:t>
      </w:r>
    </w:p>
    <w:p>
      <w:pPr>
        <w:pStyle w:val="Heading1"/>
      </w:pPr>
      <w:r>
        <w:t>Aufgenommen am 16.10.2026</w:t>
      </w:r>
    </w:p>
    <w:p>
      <w:pPr>
        <w:pStyle w:val="Heading2"/>
      </w:pPr>
      <w:r>
        <w:t>Medizinische Kunstfehlerfälle in Katalonien: 22 Jahre Trends</w:t>
      </w:r>
    </w:p>
    <w:p>
      <w:r>
        <w:rPr>
          <w:i/>
          <w:color w:val="666666"/>
          <w:sz w:val="18"/>
        </w:rPr>
        <w:t>Arimany-Manso J et al.  ·  Health Policy  ·  13.10.2026  ·  PMID 42879821</w:t>
      </w:r>
    </w:p>
    <w:p>
      <w:r>
        <w:t>Retrospektive Analyse von 22 Jahren Kunstfehlermeldungen im katalanischen Versicherungssystem mit Fokus auf Trends und Unterschiede zwischen Fachbereichen.</w:t>
      </w:r>
    </w:p>
    <w:p>
      <w:r>
        <w:rPr>
          <w:b/>
        </w:rPr>
        <w:t xml:space="preserve">Ergebnis: </w:t>
      </w:r>
      <w:r>
        <w:t>Bei 22 % Bevölkerungswachstum sanken Kunstfehlerfälle um 9,5 %, adjustierte Raten sogar um 26,1 % (p &lt; 0,0005). Chirurgische Fälle fielen um 34,0 %, Notfallmedizin um 20,5 %; mittlere Latenz zwischen Ereignis und Anspruch: 23,9 Monate. Dies widerspricht der Wahrnehmung steigender Fälle.</w:t>
      </w:r>
    </w:p>
    <w:p>
      <w:r>
        <w:rPr>
          <w:b/>
          <w:sz w:val="19"/>
        </w:rPr>
        <w:t xml:space="preserve">Übertragbarkeit: </w:t>
      </w:r>
      <w:r>
        <w:rPr>
          <w:sz w:val="19"/>
        </w:rPr>
        <w:t>Katalonisches Versicherungsmodell, vergleichbar mit deutschen Strukturen und Sozialversicherungen</w:t>
      </w:r>
    </w:p>
    <w:p>
      <w:r>
        <w:rPr>
          <w:color w:val="5A7D3A"/>
          <w:sz w:val="18"/>
        </w:rPr>
        <w:t>https://pubmed.ncbi.nlm.nih.gov/42879821/</w:t>
      </w:r>
    </w:p>
    <w:p>
      <w:pPr>
        <w:pStyle w:val="Heading2"/>
      </w:pPr>
      <w:r>
        <w:t>Langzeiteffekte von Community-Screening auf kardiovaskuläres Risiko und Verhalten</w:t>
      </w:r>
    </w:p>
    <w:p>
      <w:r>
        <w:rPr>
          <w:i/>
          <w:color w:val="666666"/>
          <w:sz w:val="18"/>
        </w:rPr>
        <w:t>Gani LU et al.  ·  Singapore Med J  ·  15.10.2026  ·  PMID 42879299</w:t>
      </w:r>
    </w:p>
    <w:p>
      <w:r>
        <w:t>Achtjährige Beobachtungsstudie (2011–2019): 28.565 Teilnehmer an ECHO-Screening; Auswertung der Auswirkungen auf Risikofaktoren, Arztbesuche und Gesundheitsverhalten.</w:t>
      </w:r>
    </w:p>
    <w:p>
      <w:r>
        <w:rPr>
          <w:b/>
        </w:rPr>
        <w:t xml:space="preserve">Ergebnis: </w:t>
      </w:r>
      <w:r>
        <w:t>12.762 Personen beim Screening teilgenommen, 5.977 (46,8 %) hatten abnorme Befunde; 56 % besuchten Hausarzt innerhalb eines Jahres. Bewohner von kostengünstigen Wohnungen zeigten höhere Besuchsraten (74 % vs. 52,5 %, p &lt; 0,001). Wiederholte ECHO-Teilnahme war mit verbesserten kardiomet. Indikatoren assoziiert trotz bescheidener Verhaltensänderungen.</w:t>
      </w:r>
    </w:p>
    <w:p>
      <w:r>
        <w:rPr>
          <w:b/>
          <w:sz w:val="19"/>
        </w:rPr>
        <w:t xml:space="preserve">Übertragbarkeit: </w:t>
      </w:r>
      <w:r>
        <w:rPr>
          <w:sz w:val="19"/>
        </w:rPr>
        <w:t>Singapur, vergleichbare Mehrschichtstruktur; Befunde zu niederschwelligem Screening in Gemeinden übertragbar</w:t>
      </w:r>
    </w:p>
    <w:p>
      <w:r>
        <w:rPr>
          <w:color w:val="5A7D3A"/>
          <w:sz w:val="18"/>
        </w:rPr>
        <w:t>https://pubmed.ncbi.nlm.nih.gov/42879299/</w:t>
      </w:r>
    </w:p>
    <w:p>
      <w:pPr>
        <w:pStyle w:val="Heading2"/>
      </w:pPr>
      <w:r>
        <w:t>Telehealth bei Morbus Parkinson: Urbane vs. ländliche Disparitäten</w:t>
      </w:r>
    </w:p>
    <w:p>
      <w:r>
        <w:rPr>
          <w:i/>
          <w:color w:val="666666"/>
          <w:sz w:val="18"/>
        </w:rPr>
        <w:t>Gros P et al.  ·  Can J Neurol Sci  ·  15.10.2026  ·  PMID 42878209</w:t>
      </w:r>
    </w:p>
    <w:p>
      <w:r>
        <w:t>Populationsgestützte Querschnittsstudie von 24.736 Patienten mit Parkinson in Ontario (März 2020–August 2023) zur Telehealth-Nutzung in Stadt vs. Land.</w:t>
      </w:r>
    </w:p>
    <w:p>
      <w:r>
        <w:rPr>
          <w:b/>
        </w:rPr>
        <w:t xml:space="preserve">Ergebnis: </w:t>
      </w:r>
      <w:r>
        <w:t>Ländliche Patienten hatten signifikant niedrigere Telehealth-Raten zu Neurologen (aRR 0,93; 95%-KI 0,90–0,96), Hausärzten (aRR 0,73; 95%-KI 0,70–0,77) und Geriatrie/Psychiatrie (aRR 0,67; 95%-KI 0,65–0,77). Telehealth fiel über 3,5 Jahre bei Neurologen auf aRR 0,23, bei Hausärzten auf aRR 0,39.</w:t>
      </w:r>
    </w:p>
    <w:p>
      <w:r>
        <w:rPr>
          <w:b/>
          <w:sz w:val="19"/>
        </w:rPr>
        <w:t xml:space="preserve">Übertragbarkeit: </w:t>
      </w:r>
      <w:r>
        <w:rPr>
          <w:sz w:val="19"/>
        </w:rPr>
        <w:t>Kanada, steuerfinanziert; Befunde zu Zugangsungleichheit sind systemunabhängig relevant</w:t>
      </w:r>
    </w:p>
    <w:p>
      <w:r>
        <w:rPr>
          <w:color w:val="5A7D3A"/>
          <w:sz w:val="18"/>
        </w:rPr>
        <w:t>https://pubmed.ncbi.nlm.nih.gov/42878209/</w:t>
      </w:r>
    </w:p>
    <w:p>
      <w:pPr>
        <w:pStyle w:val="Heading2"/>
      </w:pPr>
      <w:r>
        <w:t>SMS-Erinnerungen zur Zervixkrebsvorsorge: Effektivität bei Massenimplementierung</w:t>
      </w:r>
    </w:p>
    <w:p>
      <w:r>
        <w:rPr>
          <w:i/>
          <w:color w:val="666666"/>
          <w:sz w:val="18"/>
        </w:rPr>
        <w:t>Nichol B et al.  ·  Lancet Prim Care  ·  Sept. 2026  ·  PMID 42877070</w:t>
      </w:r>
    </w:p>
    <w:p>
      <w:r>
        <w:t>Rückwirkende Analyse der flächendeckenden Einführung von GP-unterstützten SMS-Erinnerungen für Zervixkrebsscreenings in London (Juni 2021–März 2024).</w:t>
      </w:r>
    </w:p>
    <w:p>
      <w:r>
        <w:rPr>
          <w:b/>
        </w:rPr>
        <w:t xml:space="preserve">Ergebnis: </w:t>
      </w:r>
      <w:r>
        <w:t>Von 3.127.759 Personen erhielten 2.112.003 (67,5 %) SMS-Erinnerungen. Teilnahmequote mit SMS: 51,7 % vs. ohne SMS: 25,0 %; Odds Ratio 3,36 (95%-KI 3,31–3,40, p &lt; 0,0001). SMS-Versand stieg Teilnahme um 1,7 Prozentpunkte.</w:t>
      </w:r>
    </w:p>
    <w:p>
      <w:r>
        <w:rPr>
          <w:b/>
          <w:sz w:val="19"/>
        </w:rPr>
        <w:t xml:space="preserve">Übertragbarkeit: </w:t>
      </w:r>
      <w:r>
        <w:rPr>
          <w:sz w:val="19"/>
        </w:rPr>
        <w:t>Britische Primärversorgung, gut übertragbar auf deutsche Screeningprogramme in der Hausarztpraxis</w:t>
      </w:r>
    </w:p>
    <w:p>
      <w:r>
        <w:rPr>
          <w:color w:val="5A7D3A"/>
          <w:sz w:val="18"/>
        </w:rPr>
        <w:t>https://pubmed.ncbi.nlm.nih.gov/42877070/</w:t>
      </w:r>
    </w:p>
    <w:p>
      <w:pPr>
        <w:pStyle w:val="Heading2"/>
      </w:pPr>
      <w:r>
        <w:t>Generationensolidarität in der Pandemie: Geschlechter- und Altersstereotype in deutschen Medien</w:t>
      </w:r>
    </w:p>
    <w:p>
      <w:r>
        <w:rPr>
          <w:i/>
          <w:color w:val="666666"/>
          <w:sz w:val="18"/>
        </w:rPr>
        <w:t>Boser EK et al.  ·  Int J Equity Health  ·  12.10.2026  ·  PMID 42875791</w:t>
      </w:r>
    </w:p>
    <w:p>
      <w:r>
        <w:t>Qualitative Inhaltsanalyse von 351 Artikeln aus zwei großen deutschen Wochenzeitungen (März 2020–Juni 2022) zur Verschränkung von Generationen-, Geschlechter- und Altersdebatten während COVID-19.</w:t>
      </w:r>
    </w:p>
    <w:p>
      <w:r>
        <w:rPr>
          <w:b/>
        </w:rPr>
        <w:t xml:space="preserve">Ergebnis: </w:t>
      </w:r>
      <w:r>
        <w:t>Mediendebatten zeigten Verwobenheit von Altersrassismus und Geschlechternormen. Zwei paradigmatische Fälle offenbarten persistente geschlechts- und altersspezifische Annahmen über Moralakteure und Solidaritätserwartungen. Festgestellte gendered age divide widerlegt simplistische Solidaritätsnarrative und bekräftigt Notwendigkeit intersektionaler Perspektiven.</w:t>
      </w:r>
    </w:p>
    <w:p>
      <w:r>
        <w:rPr>
          <w:b/>
          <w:sz w:val="19"/>
        </w:rPr>
        <w:t xml:space="preserve">Übertragbarkeit: </w:t>
      </w:r>
      <w:r>
        <w:rPr>
          <w:sz w:val="19"/>
        </w:rPr>
        <w:t>Deutsche Medienanalyse, direkt auf deutsches Versorgungssystem und Gesundheitspolitik anwendbar</w:t>
      </w:r>
    </w:p>
    <w:p>
      <w:r>
        <w:rPr>
          <w:color w:val="5A7D3A"/>
          <w:sz w:val="18"/>
        </w:rPr>
        <w:t>https://pubmed.ncbi.nlm.nih.gov/42875791/</w:t>
      </w:r>
    </w:p>
    <w:p>
      <w:pPr>
        <w:pStyle w:val="Heading2"/>
      </w:pPr>
      <w:r>
        <w:t>Kosteneffektivität von Rehabilitations-Follow-up zuhause statt in Einrichtungen</w:t>
      </w:r>
    </w:p>
    <w:p>
      <w:r>
        <w:rPr>
          <w:i/>
          <w:color w:val="666666"/>
          <w:sz w:val="18"/>
        </w:rPr>
        <w:t>Gamble CJ et al.  ·  Eur J Health Econ  ·  15.10.2026  ·  PMID 42875712</w:t>
      </w:r>
    </w:p>
    <w:p>
      <w:r>
        <w:t>Prospektive Kohortenstudie mit historischer Kontrolle: Vergleich von Heimrehabilitation nach verkürztem stationärem Aufenthalt versus konventioneller rein stationärer Rehabilitation (350 Patienten, 8 niederländische Zentren).</w:t>
      </w:r>
    </w:p>
    <w:p>
      <w:r>
        <w:rPr>
          <w:b/>
        </w:rPr>
        <w:t xml:space="preserve">Ergebnis: </w:t>
      </w:r>
      <w:r>
        <w:t>Incremental Effect: 0,44 Barthel-Index-Punkte (95%-KI −0,44 bis 1,31); Kosten: −€722,63 (95%-KI −€2.693,68 bis €1.248,43). Adjustierte Kosten betrugen −€654,72 pro Patient (95%-KI −€1.035,66 bis −€267,48). Better@Home erzielte vergleichbare ADL-Unabhängigkeit bei niedrigeren Kosten.</w:t>
      </w:r>
    </w:p>
    <w:p>
      <w:r>
        <w:rPr>
          <w:b/>
          <w:sz w:val="19"/>
        </w:rPr>
        <w:t xml:space="preserve">Übertragbarkeit: </w:t>
      </w:r>
      <w:r>
        <w:rPr>
          <w:sz w:val="19"/>
        </w:rPr>
        <w:t>Niederlande, Sozialversicherungssystem mit ähnlicher Versorgungsstruktur wie Deutschland</w:t>
      </w:r>
    </w:p>
    <w:p>
      <w:r>
        <w:rPr>
          <w:color w:val="5A7D3A"/>
          <w:sz w:val="18"/>
        </w:rPr>
        <w:t>https://pubmed.ncbi.nlm.nih.gov/42875712/</w:t>
      </w:r>
    </w:p>
    <w:p>
      <w:pPr>
        <w:pStyle w:val="Heading1"/>
      </w:pPr>
      <w:r>
        <w:t>Aufgenommen am 15.10.2026</w:t>
      </w:r>
    </w:p>
    <w:p>
      <w:pPr>
        <w:pStyle w:val="Heading2"/>
      </w:pPr>
      <w:r>
        <w:t>Online-Diabetesschulung in England: Langzeit-Kosteneffektivität einer kostenlosen Interventionen</w:t>
      </w:r>
    </w:p>
    <w:p>
      <w:r>
        <w:rPr>
          <w:i/>
          <w:color w:val="666666"/>
          <w:sz w:val="18"/>
        </w:rPr>
        <w:t>Paterson L et al.  ·  Diabet Med  ·  14.10.2026  ·  PMID 42875188</w:t>
      </w:r>
    </w:p>
    <w:p>
      <w:r>
        <w:t>Eine Simulation mit Routinedaten zur Kosteneffektivität eines kostenlosen Online-Schulungsprogramms für Typ-2-Diabetes in England über die gesamte Lebensspanne.</w:t>
      </w:r>
    </w:p>
    <w:p>
      <w:r>
        <w:rPr>
          <w:b/>
        </w:rPr>
        <w:t xml:space="preserve">Ergebnis: </w:t>
      </w:r>
      <w:r>
        <w:t>Modest improvement in health (0,016 QALYs), kleine Reduktion der Lebenszeit-Kosten (-4 £/Person), netto £216/Nutzer mit Cost-per-QALY von £13.192 unter dem NICE-Schwellenwert (£25.000/QALY), also kosteneffektiv.</w:t>
      </w:r>
    </w:p>
    <w:p>
      <w:r>
        <w:rPr>
          <w:b/>
          <w:sz w:val="19"/>
        </w:rPr>
        <w:t xml:space="preserve">Übertragbarkeit: </w:t>
      </w:r>
      <w:r>
        <w:rPr>
          <w:sz w:val="19"/>
        </w:rPr>
        <w:t>England, NHS-Perspektive; teilweise übertragbar auf deutsche gesetzliche Krankenversicherung bei ähnlichen Interventionskosten.</w:t>
      </w:r>
    </w:p>
    <w:p>
      <w:r>
        <w:rPr>
          <w:color w:val="5A7D3A"/>
          <w:sz w:val="18"/>
        </w:rPr>
        <w:t>https://pubmed.ncbi.nlm.nih.gov/42875188/</w:t>
      </w:r>
    </w:p>
    <w:p>
      <w:pPr>
        <w:pStyle w:val="Heading2"/>
      </w:pPr>
      <w:r>
        <w:t>Versorgungsungleichheiten bei kolorektalen Lebermetastasen in England</w:t>
      </w:r>
    </w:p>
    <w:p>
      <w:r>
        <w:rPr>
          <w:i/>
          <w:color w:val="666666"/>
          <w:sz w:val="18"/>
        </w:rPr>
        <w:t>Saito MK et al.  ·  J Cancer Policy  ·  14.10.2026  ·  PMID 42874958</w:t>
      </w:r>
    </w:p>
    <w:p>
      <w:r>
        <w:t>Analyse von Versorgungsungleichheiten in der Leberteilresektion bei synchronen/metachronen Lebermetastasen nach sozioökonomischem Status.</w:t>
      </w:r>
    </w:p>
    <w:p>
      <w:r>
        <w:rPr>
          <w:b/>
        </w:rPr>
        <w:t xml:space="preserve">Ergebnis: </w:t>
      </w:r>
      <w:r>
        <w:t>Kumulative Resektions-/Ablationsraten 8,7% (synchron) bzw. 23,5% (metachron); adjusted Ungleichheitslücke zwischen ärmster und wohlhabendster Gruppe 2,6% bei synchronen Metastasen, 1,0% bei metachronen.</w:t>
      </w:r>
    </w:p>
    <w:p>
      <w:r>
        <w:rPr>
          <w:b/>
          <w:sz w:val="19"/>
        </w:rPr>
        <w:t xml:space="preserve">Übertragbarkeit: </w:t>
      </w:r>
      <w:r>
        <w:rPr>
          <w:sz w:val="19"/>
        </w:rPr>
        <w:t>Englische Krebsregisterdaten; Befunde zur equity-gap in der Spezialisten-Zuweisung relevant für deutsche Diskussion zur Gleichheit der Krebsversorgung.</w:t>
      </w:r>
    </w:p>
    <w:p>
      <w:r>
        <w:rPr>
          <w:color w:val="5A7D3A"/>
          <w:sz w:val="18"/>
        </w:rPr>
        <w:t>https://pubmed.ncbi.nlm.nih.gov/42874958/</w:t>
      </w:r>
    </w:p>
    <w:p>
      <w:pPr>
        <w:pStyle w:val="Heading2"/>
      </w:pPr>
      <w:r>
        <w:t>Langzeitprognose zwangsweise psychiatrisch behandelter Personen in Norwegen</w:t>
      </w:r>
    </w:p>
    <w:p>
      <w:r>
        <w:rPr>
          <w:i/>
          <w:color w:val="666666"/>
          <w:sz w:val="18"/>
        </w:rPr>
        <w:t>Hofstad T et al.  ·  Lancet Psychiatry  ·  Nov. 2026  ·  PMID 42874602</w:t>
      </w:r>
    </w:p>
    <w:p>
      <w:r>
        <w:t>Nationale Registerstudie zur Langzeitprognose (Gesundheit, Kriminalität, Sozioökonomie) bei Personen mit Zwangsbetreuung, Zwangseinweisung und freiwilliger Behandlung.</w:t>
      </w:r>
    </w:p>
    <w:p>
      <w:r>
        <w:rPr>
          <w:b/>
        </w:rPr>
        <w:t xml:space="preserve">Ergebnis: </w:t>
      </w:r>
      <w:r>
        <w:t>Zwangsbetreuungsgruppen zeigten deutlich schlechtere Outcomes: Selbstschadensrisiko in Beobachtungsgruppe 12% (Frauen) vs. 5,5% (Männer); Substanzstörung 39-53%; Gewalt-/Sexualvergehen 14-37%; Invalidenrente CTOs 89-93%; 55,7% der Todesfälle durch Suizid/externe Ursachen.</w:t>
      </w:r>
    </w:p>
    <w:p>
      <w:r>
        <w:rPr>
          <w:b/>
          <w:sz w:val="19"/>
        </w:rPr>
        <w:t xml:space="preserve">Übertragbarkeit: </w:t>
      </w:r>
      <w:r>
        <w:rPr>
          <w:sz w:val="19"/>
        </w:rPr>
        <w:t>Norwegische Registerdaten, ähnlich skandinavisches Gesundheitssystem; Outcomes-Benchmarks für Versorgungsplanung relevant auch für deutsche Psychiatrie.</w:t>
      </w:r>
    </w:p>
    <w:p>
      <w:r>
        <w:rPr>
          <w:color w:val="5A7D3A"/>
          <w:sz w:val="18"/>
        </w:rPr>
        <w:t>https://pubmed.ncbi.nlm.nih.gov/42874602/</w:t>
      </w:r>
    </w:p>
    <w:p>
      <w:pPr>
        <w:pStyle w:val="Heading2"/>
      </w:pPr>
      <w:r>
        <w:t>Digitale Zwillinge und Patientenrechte: Qualitative Studie mit älteren Patienten</w:t>
      </w:r>
    </w:p>
    <w:p>
      <w:r>
        <w:rPr>
          <w:i/>
          <w:color w:val="666666"/>
          <w:sz w:val="18"/>
        </w:rPr>
        <w:t>Zhang W et al.  ·  BMC Health Serv Res  ·  27.08.2026  ·  PMID 42870264</w:t>
      </w:r>
    </w:p>
    <w:p>
      <w:r>
        <w:t>Qualitative Studie (22 Interviews) zu Perspektiven älterer Patienten (≥65 Jahren) mit chronischen Erkrankungen auf die Verwendung ihrer Daten für Virtual Models/digitale Zwillinge.</w:t>
      </w:r>
    </w:p>
    <w:p>
      <w:r>
        <w:rPr>
          <w:b/>
        </w:rPr>
        <w:t xml:space="preserve">Ergebnis: </w:t>
      </w:r>
      <w:r>
        <w:t>Fünf zentrale Themen: (1) Konzeptuelle Undurchsichtigkeit, (2) existenzielles Unbehagen vor manipulierbarem digitalen Abbild ('uncanny self'), (3) Zustimmungsinadäquanz, (4) 'trapped self' (irreversible Datenintegration), (5) Forderung nach Benachrichtigung, laufender Zustimmung, digitaler Löschung und Transparenz.</w:t>
      </w:r>
    </w:p>
    <w:p>
      <w:r>
        <w:rPr>
          <w:b/>
          <w:sz w:val="19"/>
        </w:rPr>
        <w:t xml:space="preserve">Übertragbarkeit: </w:t>
      </w:r>
      <w:r>
        <w:rPr>
          <w:sz w:val="19"/>
        </w:rPr>
        <w:t>Qualitative britische Studie (Wenzhou, China); Befunde zu Patientenperspektive auf KI-Datenverwertung systemübergreifend relevant für deutsche Governance und Ethik.</w:t>
      </w:r>
    </w:p>
    <w:p>
      <w:r>
        <w:rPr>
          <w:color w:val="5A7D3A"/>
          <w:sz w:val="18"/>
        </w:rPr>
        <w:t>https://pubmed.ncbi.nlm.nih.gov/42870264/</w:t>
      </w:r>
    </w:p>
    <w:p>
      <w:pPr>
        <w:pStyle w:val="Heading2"/>
      </w:pPr>
      <w:r>
        <w:t>Patientenwahl des Hausarztes: Kontextuelle Hindernisse in Schweden</w:t>
      </w:r>
    </w:p>
    <w:p>
      <w:r>
        <w:rPr>
          <w:i/>
          <w:color w:val="666666"/>
          <w:sz w:val="18"/>
        </w:rPr>
        <w:t>Blomberg-Ohlström C et al.  ·  BMC Health Serv Res  ·  11.10.2026  ·  PMID 42870246</w:t>
      </w:r>
    </w:p>
    <w:p>
      <w:r>
        <w:t>Qualitative Studie (18 Interviews) zu Bedingungen, die Wahlentscheidungen für Hausarztpraxen beeinflussen; Vergleich mit Wahlen von Pflege- und Schulservices.</w:t>
      </w:r>
    </w:p>
    <w:p>
      <w:r>
        <w:rPr>
          <w:b/>
        </w:rPr>
        <w:t xml:space="preserve">Ergebnis: </w:t>
      </w:r>
      <w:r>
        <w:t>Fünf Kontextfaktoren für niedrige Wahlaktivität: (1) geringe Wahlnotwendigkeit, (2) unsichtbare Anbieterunterschied, (3) Erwartung gleicher Qualität, (4) persönliche Beziehungen, (5) Kontinuität der Beziehung; weniger Informationssuche als bei anderen Dienstleistungen.</w:t>
      </w:r>
    </w:p>
    <w:p>
      <w:r>
        <w:rPr>
          <w:b/>
          <w:sz w:val="19"/>
        </w:rPr>
        <w:t xml:space="preserve">Übertragbarkeit: </w:t>
      </w:r>
      <w:r>
        <w:rPr>
          <w:sz w:val="19"/>
        </w:rPr>
        <w:t>Schwedische qualitative Studie; Befunde zu Wahl-Hürden im Hausarztsektor übertragbar auf deutsches Modell mit begrenztem Wettbewerb.</w:t>
      </w:r>
    </w:p>
    <w:p>
      <w:r>
        <w:rPr>
          <w:color w:val="5A7D3A"/>
          <w:sz w:val="18"/>
        </w:rPr>
        <w:t>https://pubmed.ncbi.nlm.nih.gov/42870246/</w:t>
      </w:r>
    </w:p>
    <w:p>
      <w:pPr>
        <w:pStyle w:val="Heading2"/>
      </w:pPr>
      <w:r>
        <w:t>Nurse-Navigation bei Krebspatienten: RCT-Ergebnisse aus Sachsen</w:t>
      </w:r>
    </w:p>
    <w:p>
      <w:r>
        <w:rPr>
          <w:i/>
          <w:color w:val="666666"/>
          <w:sz w:val="18"/>
        </w:rPr>
        <w:t>Porzig R et al.  ·  Res Health Serv Reg  ·  14.10.2026  ·  PMID 42870145</w:t>
      </w:r>
    </w:p>
    <w:p>
      <w:r>
        <w:t>Randomisierte kontrollierte Studie zur Wirkung eines 12-Monate-Nurse-Navigation-Programms (Onkolotse) auf Krankenhausaufenthalte, psychische Belastung und Kosten.</w:t>
      </w:r>
    </w:p>
    <w:p>
      <w:r>
        <w:rPr>
          <w:b/>
        </w:rPr>
        <w:t xml:space="preserve">Ergebnis: </w:t>
      </w:r>
      <w:r>
        <w:t>Hospitalisierungsrate ITT 43,9% (Intervention) vs. 51,6% (Kontrolle), n.s. (OR 0,74, 95% CI 0,45–1,20, p=0,219); HADS-Angst Δ-0,75 (n.s.), Depression Δ-0,56 (n.s.); Kosten median 14.224€ vs. 12.560€ (n.s.).</w:t>
      </w:r>
    </w:p>
    <w:p>
      <w:r>
        <w:rPr>
          <w:b/>
          <w:sz w:val="19"/>
        </w:rPr>
        <w:t xml:space="preserve">Übertragbarkeit: </w:t>
      </w:r>
      <w:r>
        <w:rPr>
          <w:sz w:val="19"/>
        </w:rPr>
        <w:t>Deutsche Studie (Sachsen, 258 Patienten, 2017–2022); direkt relevant für deutsches Versorgungssystem, dennoch unterversorgt (statistische Kraft unzureichend).</w:t>
      </w:r>
    </w:p>
    <w:p>
      <w:r>
        <w:rPr>
          <w:color w:val="5A7D3A"/>
          <w:sz w:val="18"/>
        </w:rPr>
        <w:t>https://pubmed.ncbi.nlm.nih.gov/42870145/</w:t>
      </w:r>
    </w:p>
    <w:p>
      <w:pPr>
        <w:pStyle w:val="Heading1"/>
      </w:pPr>
      <w:r>
        <w:t>Aufgenommen am 14.10.2026</w:t>
      </w:r>
    </w:p>
    <w:p>
      <w:pPr>
        <w:pStyle w:val="Heading2"/>
      </w:pPr>
      <w:r>
        <w:t>Stepped-Care-Modell für Opioidabhängige: Besserer Zugang zu Medikamenten</w:t>
      </w:r>
    </w:p>
    <w:p>
      <w:r>
        <w:rPr>
          <w:i/>
          <w:color w:val="666666"/>
          <w:sz w:val="18"/>
        </w:rPr>
        <w:t>Li H et al.  ·  Health Serv Res  ·  Okt. 2026  ·  PMID 42869778</w:t>
      </w:r>
    </w:p>
    <w:p>
      <w:r>
        <w:t>Eine US-Studie evaluierte, ob ein nationales Trainings-Programm (SCOUTT) zur Ausweitung der medikamentösen Opioidbehandlung in Primärversorgung und psychischen Gesundheitssettings bei obdacherfahrenen Veterans erfolgreicher war als reguläre Versorgung.</w:t>
      </w:r>
    </w:p>
    <w:p>
      <w:r>
        <w:rPr>
          <w:b/>
        </w:rPr>
        <w:t xml:space="preserve">Ergebnis: </w:t>
      </w:r>
      <w:r>
        <w:t>Patienten in SCOUTT-Einrichtungen erhielten signifikant häufiger Medikamentöse Opioidbehandlung (6,16 Prozentpunkte mehr jegliche MOUD, 7,16 Punkte mehr Buprenorphin; beides 95%-KI statistisch signifikant). Die Differenz-in-Differenzen-Analyse bestätigte diese Ergebnisse (7,85 bzw. 9,31 Punkte Unterschied).</w:t>
      </w:r>
    </w:p>
    <w:p>
      <w:r>
        <w:rPr>
          <w:b/>
          <w:sz w:val="19"/>
        </w:rPr>
        <w:t xml:space="preserve">Übertragbarkeit: </w:t>
      </w:r>
      <w:r>
        <w:rPr>
          <w:sz w:val="19"/>
        </w:rPr>
        <w:t>US-Veteranen-System, eingeschränkte Übertragbarkeit auf deutsche Sozialversicherung</w:t>
      </w:r>
    </w:p>
    <w:p>
      <w:r>
        <w:rPr>
          <w:color w:val="5A7D3A"/>
          <w:sz w:val="18"/>
        </w:rPr>
        <w:t>https://pubmed.ncbi.nlm.nih.gov/42869778/</w:t>
      </w:r>
    </w:p>
    <w:p>
      <w:pPr>
        <w:pStyle w:val="Heading2"/>
      </w:pPr>
      <w:r>
        <w:t>Psychische Erkrankungen nach Klinikentlassung: Familien und Profis teilen Medikamenten-Verantwortung</w:t>
      </w:r>
    </w:p>
    <w:p>
      <w:r>
        <w:rPr>
          <w:i/>
          <w:color w:val="666666"/>
          <w:sz w:val="18"/>
        </w:rPr>
        <w:t>Jeffries M et al.  ·  Soc Sci Med  ·  08.10.2026  ·  PMID 42868728</w:t>
      </w:r>
    </w:p>
    <w:p>
      <w:r>
        <w:t>Eine britische Qualitativstudie mit 34 Interviews (Patienten, Angehörige, Gesundheitsfachleute) untersuchte, welche Unterstützungsnetzwerke für sichere Medikamentenadhärenz nach psychiatrischer Klinikentlassung notwendig sind.</w:t>
      </w:r>
    </w:p>
    <w:p>
      <w:r>
        <w:rPr>
          <w:b/>
        </w:rPr>
        <w:t xml:space="preserve">Ergebnis: </w:t>
      </w:r>
      <w:r>
        <w:t>Kernfinding: Medikamentensicherheit nach Entlassung beruht stark auf Unterstützungsnetzwerken und der Medikamenten-'Arbeit' von Patienten und Angehörigen. Professionelle Gesundheitsfachleute spielen eine zentrale, aber variable und kontextabhängige Rolle. Notwendigkeit erkannt: Stärkere Anerkennung von Sozialkontakten und 'situated medicines work' für bessere Sicherheit.</w:t>
      </w:r>
    </w:p>
    <w:p>
      <w:r>
        <w:rPr>
          <w:b/>
          <w:sz w:val="19"/>
        </w:rPr>
        <w:t xml:space="preserve">Übertragbarkeit: </w:t>
      </w:r>
      <w:r>
        <w:rPr>
          <w:sz w:val="19"/>
        </w:rPr>
        <w:t>Großbritannien, NHS-System; Erkenntnisse zu Netzwerken übertragbar auf deutsche Gemeindepsychiatrie</w:t>
      </w:r>
    </w:p>
    <w:p>
      <w:r>
        <w:rPr>
          <w:color w:val="5A7D3A"/>
          <w:sz w:val="18"/>
        </w:rPr>
        <w:t>https://pubmed.ncbi.nlm.nih.gov/42868728/</w:t>
      </w:r>
    </w:p>
    <w:p>
      <w:pPr>
        <w:pStyle w:val="Heading2"/>
      </w:pPr>
      <w:r>
        <w:t>Arbeit und Therapietreue: Sozialer Zusammenhalt im Beruf fördert Adherence</w:t>
      </w:r>
    </w:p>
    <w:p>
      <w:r>
        <w:rPr>
          <w:i/>
          <w:color w:val="666666"/>
          <w:sz w:val="18"/>
        </w:rPr>
        <w:t>Aalbers E et al.  ·  PLoS One  ·  13.10.2026  ·  PMID 42868134</w:t>
      </w:r>
    </w:p>
    <w:p>
      <w:r>
        <w:t>Eine niederländische Querschnittsstudie untersuchte bei 309 berufstätigen Personen mit chronischen Erkrankungen, wie Arbeitsmerkmale (Umfang, Anforderungen, Inklusion) mit der Einhaltung von Medikamenten- und Termintreue assoziiert sind.</w:t>
      </w:r>
    </w:p>
    <w:p>
      <w:r>
        <w:rPr>
          <w:b/>
        </w:rPr>
        <w:t xml:space="preserve">Ergebnis: </w:t>
      </w:r>
      <w:r>
        <w:t>Therapietreue-Rate betrug 56 Prozent. Soziale Inklusion am Arbeitsplatz erhöhte die Adhärenz signifikant (adjustierte OR 1,50, 95%-KI 1,00-2,25, p=0,049). Moderate physische Arbeitsanforderungen waren mit niedrigerer Adhärenz assoziiert (aOR 0,49, 95%-KI 0,26-0,92, p=0,026).</w:t>
      </w:r>
    </w:p>
    <w:p>
      <w:r>
        <w:rPr>
          <w:b/>
          <w:sz w:val="19"/>
        </w:rPr>
        <w:t xml:space="preserve">Übertragbarkeit: </w:t>
      </w:r>
      <w:r>
        <w:rPr>
          <w:sz w:val="19"/>
        </w:rPr>
        <w:t>Niederlande, vergleichbares Sozialversicherungssystem mit chronisch kranker Erwerbsbevölkerung</w:t>
      </w:r>
    </w:p>
    <w:p>
      <w:r>
        <w:rPr>
          <w:color w:val="5A7D3A"/>
          <w:sz w:val="18"/>
        </w:rPr>
        <w:t>https://pubmed.ncbi.nlm.nih.gov/42868134/</w:t>
      </w:r>
    </w:p>
    <w:p>
      <w:pPr>
        <w:pStyle w:val="Heading2"/>
      </w:pPr>
      <w:r>
        <w:t>Digitale Fragebögien vor Arztbesuch: Dokumentation wird vollständiger</w:t>
      </w:r>
    </w:p>
    <w:p>
      <w:r>
        <w:rPr>
          <w:i/>
          <w:color w:val="666666"/>
          <w:sz w:val="18"/>
        </w:rPr>
        <w:t>Roemer A et al.  ·  BMC Health Serv Res  ·  09.10.2026  ·  PMID 42864663</w:t>
      </w:r>
    </w:p>
    <w:p>
      <w:r>
        <w:t>Eine deutschsprachige Pilotstudie (n=43) aus Rheumatologie, Dermatologie und Orthopädie testete, ob computergenerierte Patientenfragebögien mit standardisierter Zusammenfassung vor dem Termin die Vollständigkeit der klinischen Dokumentation verbessert.</w:t>
      </w:r>
    </w:p>
    <w:p>
      <w:r>
        <w:rPr>
          <w:b/>
        </w:rPr>
        <w:t xml:space="preserve">Ergebnis: </w:t>
      </w:r>
      <w:r>
        <w:t>Dokumentationsvollständigkeit stieg von 46,9 Prozent (Kontrolle) auf 100 Prozent (Intervention) im Median (p&lt;0,001). Alle Interventions-Patienten hatten die generierte Zusammenfassung in der Krankenakte. 95,3 Prozent der Patienten und 100 Prozent der Ärzte befürworteten das System.</w:t>
      </w:r>
    </w:p>
    <w:p>
      <w:r>
        <w:rPr>
          <w:b/>
          <w:sz w:val="19"/>
        </w:rPr>
        <w:t xml:space="preserve">Übertragbarkeit: </w:t>
      </w:r>
      <w:r>
        <w:rPr>
          <w:sz w:val="19"/>
        </w:rPr>
        <w:t>Deutsche Studienzentren, direkt anwendbar auf deutsches Versorgungssystem</w:t>
      </w:r>
    </w:p>
    <w:p>
      <w:r>
        <w:rPr>
          <w:color w:val="5A7D3A"/>
          <w:sz w:val="18"/>
        </w:rPr>
        <w:t>https://pubmed.ncbi.nlm.nih.gov/42864663/</w:t>
      </w:r>
    </w:p>
    <w:p>
      <w:pPr>
        <w:pStyle w:val="Heading2"/>
      </w:pPr>
      <w:r>
        <w:t>Hausärzte-Ausbildung: Umgang mit Unsicherheit muss trainiert werden</w:t>
      </w:r>
    </w:p>
    <w:p>
      <w:r>
        <w:rPr>
          <w:i/>
          <w:color w:val="666666"/>
          <w:sz w:val="18"/>
        </w:rPr>
        <w:t>Dreher AC et al.  ·  BMC Med Educ  ·  12.10.2026  ·  PMID 42864649</w:t>
      </w:r>
    </w:p>
    <w:p>
      <w:r>
        <w:t>Eine qualitative Studie mit 22 deutschen Hausarzt-Weiterbildungsassistenten (Heidelberg) explorierte, wie Ärzte-in-Ausbildung Unsicherheit in der Primärversorgung erleben und bewältigen.</w:t>
      </w:r>
    </w:p>
    <w:p>
      <w:r>
        <w:rPr>
          <w:b/>
        </w:rPr>
        <w:t xml:space="preserve">Ergebnis: </w:t>
      </w:r>
      <w:r>
        <w:t>Trainees berichten von Unsicherheit auf drei Ebenen: Selbstzweifel (intrapersonal), Patientenfaktoren (interpersonal) und Kontext (systemisch). Bewältigungsstrategien waren Abwarten, Kollegenrat, externe Quellen und Intuition. Kernaussage: Gezieltes Training für Unsicherheitsmanagement fehlt und wäre nötig.</w:t>
      </w:r>
    </w:p>
    <w:p>
      <w:r>
        <w:rPr>
          <w:b/>
          <w:sz w:val="19"/>
        </w:rPr>
        <w:t xml:space="preserve">Übertragbarkeit: </w:t>
      </w:r>
      <w:r>
        <w:rPr>
          <w:sz w:val="19"/>
        </w:rPr>
        <w:t>Deutsche Hausarzt-Weiterbildung, direkt auf deutsche Versorgung anwendbar</w:t>
      </w:r>
    </w:p>
    <w:p>
      <w:r>
        <w:rPr>
          <w:color w:val="5A7D3A"/>
          <w:sz w:val="18"/>
        </w:rPr>
        <w:t>https://pubmed.ncbi.nlm.nih.gov/42864649/</w:t>
      </w:r>
    </w:p>
    <w:p>
      <w:pPr>
        <w:pStyle w:val="Heading2"/>
      </w:pPr>
      <w:r>
        <w:t>Lebensqualität bei chronischen Wunden: Spanische Cutoff-Werte für klinische Praxis</w:t>
      </w:r>
    </w:p>
    <w:p>
      <w:r>
        <w:rPr>
          <w:i/>
          <w:color w:val="666666"/>
          <w:sz w:val="18"/>
        </w:rPr>
        <w:t>Horcajada-Reales C et al.  ·  Int Wound J  ·  Okt. 2026  ·  PMID 42830425</w:t>
      </w:r>
    </w:p>
    <w:p>
      <w:r>
        <w:t>Eine spanische Validierungsstudie (n=323 Baseline, n=197 Retest) etablierte klinisch interpretierbare Schwellenwerte und Responsivitätsmaße für das Wound-QoL-14-Instrument zur Messung von Wundassoziierter Lebensqualität.</w:t>
      </w:r>
    </w:p>
    <w:p>
      <w:r>
        <w:rPr>
          <w:b/>
        </w:rPr>
        <w:t xml:space="preserve">Ergebnis: </w:t>
      </w:r>
      <w:r>
        <w:t>Einfache Schweregrad-Klassifizierung (0-0,25 / 0,26-1,00 / 1,01-2,00 / 2,01-3,00 / 3,01-4,00) korrelierte moderat mit globaler Verankerungsfrage (polychorische Korrelation 0,653), aber geringe Übereinstimmung (41,5 Prozent Konkordanz, Krippendorffs Alfa 0,609). Smallest detectable change 0,39 Punkte vs. minimale klinisch relevante Differenz 0,53 Punkte.</w:t>
      </w:r>
    </w:p>
    <w:p>
      <w:r>
        <w:rPr>
          <w:b/>
          <w:sz w:val="19"/>
        </w:rPr>
        <w:t xml:space="preserve">Übertragbarkeit: </w:t>
      </w:r>
      <w:r>
        <w:rPr>
          <w:sz w:val="19"/>
        </w:rPr>
        <w:t>Spanien, deutschsprachiger Wundbereich; kulturell angepasste Schwellenwerte hilfreich für deutschsprachige Praxis</w:t>
      </w:r>
    </w:p>
    <w:p>
      <w:r>
        <w:rPr>
          <w:color w:val="5A7D3A"/>
          <w:sz w:val="18"/>
        </w:rPr>
        <w:t>https://pubmed.ncbi.nlm.nih.gov/42830425/</w:t>
      </w:r>
    </w:p>
    <w:p>
      <w:pPr>
        <w:pStyle w:val="Heading1"/>
      </w:pPr>
      <w:r>
        <w:t>Aufgenommen am 13.10.2026</w:t>
      </w:r>
    </w:p>
    <w:p>
      <w:pPr>
        <w:pStyle w:val="Heading2"/>
      </w:pPr>
      <w:r>
        <w:t>Ambulante Versorgungspfade vor Sepsishospitalisierung</w:t>
      </w:r>
    </w:p>
    <w:p>
      <w:r>
        <w:rPr>
          <w:i/>
          <w:color w:val="666666"/>
          <w:sz w:val="18"/>
        </w:rPr>
        <w:t>Storch J et al.  ·  Infection  ·  12.10.2026  ·  PMID 42862469</w:t>
      </w:r>
    </w:p>
    <w:p>
      <w:r>
        <w:t>Bevölkerungsbasierte Analyse deutscher Versichertendaten zu ambulanten Kontakten vor stationärer Sepsisaufnahme: 61,8 % hatten nur ambulante Versorgung, 12,7 % Notfallversorgung, 25,5 % keine Kontakte in der Woche vor Hospitalisierung.</w:t>
      </w:r>
    </w:p>
    <w:p>
      <w:r>
        <w:rPr>
          <w:b/>
        </w:rPr>
        <w:t xml:space="preserve">Ergebnis: </w:t>
      </w:r>
      <w:r>
        <w:t>Bei ambulant versorgten Patienten: durchschnittlich 2,0 Tage (SD 2,3) zwischen letztem infektionsbezogenen Kontakt und Sepsishospitalisierung; 82,3 % hatten Kontakt mit Hausarzt; nur 11,4 % erhielten Antiinfektiva-Verschreibungen. Hinweis auf Chancen zur früheren Sepsis-Erkennung in ambulanten Settings.</w:t>
      </w:r>
    </w:p>
    <w:p>
      <w:r>
        <w:rPr>
          <w:b/>
          <w:sz w:val="19"/>
        </w:rPr>
        <w:t xml:space="preserve">Übertragbarkeit: </w:t>
      </w:r>
      <w:r>
        <w:rPr>
          <w:sz w:val="19"/>
        </w:rPr>
        <w:t>Deutsche Routinedaten (AOK) mit 238.247 Patienten, hohe Übertragbarkeit auf hiesiges Versorgungssystem</w:t>
      </w:r>
    </w:p>
    <w:p>
      <w:r>
        <w:rPr>
          <w:color w:val="5A7D3A"/>
          <w:sz w:val="18"/>
        </w:rPr>
        <w:t>https://pubmed.ncbi.nlm.nih.gov/42862469/</w:t>
      </w:r>
    </w:p>
    <w:p>
      <w:pPr>
        <w:pStyle w:val="Heading2"/>
      </w:pPr>
      <w:r>
        <w:t>Beteiligung älterer Menschen mit Sturztrauma in Forschung</w:t>
      </w:r>
    </w:p>
    <w:p>
      <w:r>
        <w:rPr>
          <w:i/>
          <w:color w:val="666666"/>
          <w:sz w:val="18"/>
        </w:rPr>
        <w:t>Reeck N et al.  ·  Health Expect  ·  Okt. 2026  ·  PMID 42861438</w:t>
      </w:r>
    </w:p>
    <w:p>
      <w:r>
        <w:t>Qualitative Evaluationsstudie zur Partizipation von 8 älteren Personen mit Sturzererfahrung über 3 Jahre; Bewertung mit Evaluationsinstrumenten und Prozessdokumentation.</w:t>
      </w:r>
    </w:p>
    <w:p>
      <w:r>
        <w:rPr>
          <w:b/>
        </w:rPr>
        <w:t xml:space="preserve">Ergebnis: </w:t>
      </w:r>
      <w:r>
        <w:t>Kern-Befunde: Positive Atmosphäre bei Treffen, anfängliche Unklarheit über Projektzweck; Partizipatives Forschungsteam beeinflusste verschiedene Projektphasen (z.B. Fokusgruppen-Design); gesundheitsbedingte Absenzen erforderten Aufnahme von 3 neuen Teilnehmern; Kontextfaktoren (Infrastruktur) unterstützend, aber verbesserte Informationsstrukturen nötig.</w:t>
      </w:r>
    </w:p>
    <w:p>
      <w:r>
        <w:rPr>
          <w:b/>
          <w:sz w:val="19"/>
        </w:rPr>
        <w:t xml:space="preserve">Übertragbarkeit: </w:t>
      </w:r>
      <w:r>
        <w:rPr>
          <w:sz w:val="19"/>
        </w:rPr>
        <w:t>Deutsche Universität (Oldenburg), geriatrisches Setting, Methoden der Patient Engagement-Evaluierung</w:t>
      </w:r>
    </w:p>
    <w:p>
      <w:r>
        <w:rPr>
          <w:color w:val="5A7D3A"/>
          <w:sz w:val="18"/>
        </w:rPr>
        <w:t>https://pubmed.ncbi.nlm.nih.gov/42861438/</w:t>
      </w:r>
    </w:p>
    <w:p>
      <w:pPr>
        <w:pStyle w:val="Heading2"/>
      </w:pPr>
      <w:r>
        <w:t>Repräsentativität von Brustkrebs-Befragten in England</w:t>
      </w:r>
    </w:p>
    <w:p>
      <w:r>
        <w:rPr>
          <w:i/>
          <w:color w:val="666666"/>
          <w:sz w:val="18"/>
        </w:rPr>
        <w:t>Blacker S et al.  ·  BMJ Open  ·  09.10.2026  ·  PMID 42855234</w:t>
      </w:r>
    </w:p>
    <w:p>
      <w:r>
        <w:t>Kohortenstudie mit Datenverknüpfung von nationaler Patientenerfahrungsbefragung mit Krebsregister zur Beurteilung der Selektionsbias bei Rücklaufquoten.</w:t>
      </w:r>
    </w:p>
    <w:p>
      <w:r>
        <w:rPr>
          <w:b/>
        </w:rPr>
        <w:t xml:space="preserve">Ergebnis: </w:t>
      </w:r>
      <w:r>
        <w:t>Linked Analyse von 71.640 Brustkrebs-Patientinnen zeigte, welche Charakteristika mit Rücklauf assoziiert waren; Identifikation systemischer Unterschiede zwischen Respondern und Nicht-Respondern für informierte Bias-Interpretation in zukünftigen Experience-Surveys.</w:t>
      </w:r>
    </w:p>
    <w:p>
      <w:r>
        <w:rPr>
          <w:b/>
          <w:sz w:val="19"/>
        </w:rPr>
        <w:t xml:space="preserve">Übertragbarkeit: </w:t>
      </w:r>
      <w:r>
        <w:rPr>
          <w:sz w:val="19"/>
        </w:rPr>
        <w:t>Methodische Versorgungsforschung, NHS-Daten, Sampling-Fragen auch in Deutschland relevant</w:t>
      </w:r>
    </w:p>
    <w:p>
      <w:r>
        <w:rPr>
          <w:color w:val="5A7D3A"/>
          <w:sz w:val="18"/>
        </w:rPr>
        <w:t>https://pubmed.ncbi.nlm.nih.gov/42855234/</w:t>
      </w:r>
    </w:p>
    <w:p>
      <w:pPr>
        <w:pStyle w:val="Heading2"/>
      </w:pPr>
      <w:r>
        <w:t>Labor-Phänotypen nach Reanimation und Mortalität</w:t>
      </w:r>
    </w:p>
    <w:p>
      <w:r>
        <w:rPr>
          <w:i/>
          <w:color w:val="666666"/>
          <w:sz w:val="18"/>
        </w:rPr>
        <w:t>Liu X et al.  ·  Resuscitation  ·  09.10.2026  ·  PMID 42855036</w:t>
      </w:r>
    </w:p>
    <w:p>
      <w:r>
        <w:t>Nationale 10-Jahres-Kohortenstudie aus Singapur (1514 reanimierte Patienten) mit Latent-Class-Analyse von 14 Laborvariablen innerhalb 6 Stunden nach ROSC zur Vorhersage neurologischer Outcomes.</w:t>
      </w:r>
    </w:p>
    <w:p>
      <w:r>
        <w:rPr>
          <w:b/>
        </w:rPr>
        <w:t xml:space="preserve">Ergebnis: </w:t>
      </w:r>
      <w:r>
        <w:t>Drei prognostisch distinkte Phänotypen identifiziert: Multi-Organ-Dysfunktion (MOD, N=286), Homeostase (HOM, N=967), Immun-Dysregulation (IMD, N=261). HOM und IMD hatten niedrigere Odds für schlechte neurologische Erholung vs. MOD (aOR 0,50 bzw. 0,46, p≤0,004). Unterschiede auch für 30-Tage- und 3-Jahres-Mortalität signifikant (aHR 0,71–0,78).</w:t>
      </w:r>
    </w:p>
    <w:p>
      <w:r>
        <w:rPr>
          <w:b/>
          <w:sz w:val="19"/>
        </w:rPr>
        <w:t xml:space="preserve">Übertragbarkeit: </w:t>
      </w:r>
      <w:r>
        <w:rPr>
          <w:sz w:val="19"/>
        </w:rPr>
        <w:t>Nationale Kohortendaten Singapur, externe Validierung erforderlich, Laborbiomarker systemunabhängig</w:t>
      </w:r>
    </w:p>
    <w:p>
      <w:r>
        <w:rPr>
          <w:color w:val="5A7D3A"/>
          <w:sz w:val="18"/>
        </w:rPr>
        <w:t>https://pubmed.ncbi.nlm.nih.gov/42855036/</w:t>
      </w:r>
    </w:p>
    <w:p>
      <w:pPr>
        <w:pStyle w:val="Heading2"/>
      </w:pPr>
      <w:r>
        <w:t>Infektionsrisiko unter Rituximab-Therapie bei MS</w:t>
      </w:r>
    </w:p>
    <w:p>
      <w:r>
        <w:rPr>
          <w:i/>
          <w:color w:val="666666"/>
          <w:sz w:val="18"/>
        </w:rPr>
        <w:t>Pihl-Jensen G et al.  ·  Neurol Clin Pract  ·  08.10.2026  ·  PMID 42854181</w:t>
      </w:r>
    </w:p>
    <w:p>
      <w:r>
        <w:t>Norwegische national-weite Beobachtungsstudie (Verknüpfung Gesundheitsregister mit MS-Registry 2010–Juni 2022) bei 3.410 MS-Patienten zu Infektionsrisiko unter Rituximab nach Dosierungsintervall und Alter.</w:t>
      </w:r>
    </w:p>
    <w:p>
      <w:r>
        <w:rPr>
          <w:b/>
        </w:rPr>
        <w:t xml:space="preserve">Ergebnis: </w:t>
      </w:r>
      <w:r>
        <w:t>13.774 Infektionen auf 13.811 Behandlungsepisoden. Verlängerte Dosierungsintervalle assoziiert mit niedrigerem Gesamtinfektionsrisiko: 2 vs. 4 Infusionen/2 Jahre HR 0,90 (95% CI 0,82–0,99); 1 Infusion HR 0,78 (0,69–0,88). Krankenhaus-Infektionen: nur HR 0,68 (0,59–0,79) für 1 vs. 4 Infusionen. Alter ≥60 Jahre HR 1,36 (1,07–1,71) für Klinik-Infektionen.</w:t>
      </w:r>
    </w:p>
    <w:p>
      <w:r>
        <w:rPr>
          <w:b/>
          <w:sz w:val="19"/>
        </w:rPr>
        <w:t xml:space="preserve">Übertragbarkeit: </w:t>
      </w:r>
      <w:r>
        <w:rPr>
          <w:sz w:val="19"/>
        </w:rPr>
        <w:t>Norwegen (skandinavisches Versorgungssystem), Behandlungs-Effektivität und Sicherheit grundsätzlich transferabel</w:t>
      </w:r>
    </w:p>
    <w:p>
      <w:r>
        <w:rPr>
          <w:color w:val="5A7D3A"/>
          <w:sz w:val="18"/>
        </w:rPr>
        <w:t>https://pubmed.ncbi.nlm.nih.gov/42854181/</w:t>
      </w:r>
    </w:p>
    <w:p>
      <w:pPr>
        <w:pStyle w:val="Heading2"/>
      </w:pPr>
      <w:r>
        <w:t>Postpartales Medicaid-Coverage und Mütter-Erfahrungen</w:t>
      </w:r>
    </w:p>
    <w:p>
      <w:r>
        <w:rPr>
          <w:i/>
          <w:color w:val="666666"/>
          <w:sz w:val="18"/>
        </w:rPr>
        <w:t>Raffa BJ et al.  ·  JAMA Netw Open  ·  01.10.2026  ·  PMID 42853565</w:t>
      </w:r>
    </w:p>
    <w:p>
      <w:r>
        <w:t>Qualitative Studie mit 16 Müttern (semistrukturierte Interviews, April–Oktober 2025) in Nordkarolina zur Erfahrung mit erweitertem postpartalen Medicaid-Coverage (60 Tage auf 12 Monate).</w:t>
      </w:r>
    </w:p>
    <w:p>
      <w:r>
        <w:rPr>
          <w:b/>
        </w:rPr>
        <w:t xml:space="preserve">Ergebnis: </w:t>
      </w:r>
      <w:r>
        <w:t>Fünf Hauptthemen: Verwirrung um Coverage, Medicaid ermöglicht Versorgungszugang, psychische Gesundheit kritisch im postpartalen Zeitfenster, reduzierter finanzischer Stress mit verbesserter Familiendynamik, Medicaid verhindert Versorgungsverzicht. Bewusstsein über Policy-Änderungen war Schlüssel für Nutzen.</w:t>
      </w:r>
    </w:p>
    <w:p>
      <w:r>
        <w:rPr>
          <w:b/>
          <w:sz w:val="19"/>
        </w:rPr>
        <w:t xml:space="preserve">Übertragbarkeit: </w:t>
      </w:r>
      <w:r>
        <w:rPr>
          <w:sz w:val="19"/>
        </w:rPr>
        <w:t>Nur bedingt: US-Medicaid-System, andere Finanzierungslogik als deutsche gesetzliche Versicherung</w:t>
      </w:r>
    </w:p>
    <w:p>
      <w:r>
        <w:rPr>
          <w:color w:val="5A7D3A"/>
          <w:sz w:val="18"/>
        </w:rPr>
        <w:t>https://pubmed.ncbi.nlm.nih.gov/42853565/</w:t>
      </w:r>
    </w:p>
    <w:p>
      <w:pPr>
        <w:pStyle w:val="Heading1"/>
      </w:pPr>
      <w:r>
        <w:t>Aufgenommen am 12.10.2026</w:t>
      </w:r>
    </w:p>
    <w:p>
      <w:pPr>
        <w:pStyle w:val="Heading2"/>
      </w:pPr>
      <w:r>
        <w:t>Operative Wartezeiten bei Nierenzellkarzinom in England</w:t>
      </w:r>
    </w:p>
    <w:p>
      <w:r>
        <w:rPr>
          <w:i/>
          <w:color w:val="666666"/>
          <w:sz w:val="18"/>
        </w:rPr>
        <w:t>Varma R et al.  ·  BJU Int  ·  11.10.2026  ·  PMID 42860314</w:t>
      </w:r>
    </w:p>
    <w:p>
      <w:r>
        <w:t>Studie zu Wartezeiten auf operative Behandlung bei Patienten mit hochrisiko- und niedrigrisiko-Nierenzellkarzinom in England, 2019–2023.</w:t>
      </w:r>
    </w:p>
    <w:p>
      <w:r>
        <w:rPr>
          <w:b/>
        </w:rPr>
        <w:t xml:space="preserve">Ergebnis: </w:t>
      </w:r>
      <w:r>
        <w:t>Anteil zeitnaher Operationen (≤31 Tage) sank bei hochrisiko-RCC von 83,7% (2019) auf 64,8% (2023), bei niedrigrisiko-RCC von 71,3% auf 47,6%. Verlängerte Verzögerungen (&gt;62 Tage) verdoppelten sich von 3,9% auf 9,4%. Hochrisiko-Patienten wurden bevorzugt (73,6% vs. 58,2%, adjustierte RR 1,26, KI 1,22–1,31).</w:t>
      </w:r>
    </w:p>
    <w:p>
      <w:r>
        <w:rPr>
          <w:b/>
          <w:sz w:val="19"/>
        </w:rPr>
        <w:t xml:space="preserve">Übertragbarkeit: </w:t>
      </w:r>
      <w:r>
        <w:rPr>
          <w:sz w:val="19"/>
        </w:rPr>
        <w:t>England, NHS-System mit anderen Zugangsstrukturen, aber versorgungsnahe Frage zur chirurgischen Kapazität</w:t>
      </w:r>
    </w:p>
    <w:p>
      <w:r>
        <w:rPr>
          <w:color w:val="5A7D3A"/>
          <w:sz w:val="18"/>
        </w:rPr>
        <w:t>https://pubmed.ncbi.nlm.nih.gov/42860314/</w:t>
      </w:r>
    </w:p>
    <w:p>
      <w:pPr>
        <w:pStyle w:val="Heading2"/>
      </w:pPr>
      <w:r>
        <w:t>Palliativbetreuung in der ambulanten Nephrologie: Wissen und Kommunikation</w:t>
      </w:r>
    </w:p>
    <w:p>
      <w:r>
        <w:rPr>
          <w:i/>
          <w:color w:val="666666"/>
          <w:sz w:val="18"/>
        </w:rPr>
        <w:t>Joshi M et al.  ·  BMC Nephrol  ·  09.10.2026  ·  PMID 42859148</w:t>
      </w:r>
    </w:p>
    <w:p>
      <w:r>
        <w:t>Qualitative und quantitative Studie zu Integration von Palliativbetreuung in deutschen Nephologie-Ambulanzen mittels Befragung und Interviews von 52 Fachkräften sowie 13 Tiefeninterviews.</w:t>
      </w:r>
    </w:p>
    <w:p>
      <w:r>
        <w:rPr>
          <w:b/>
        </w:rPr>
        <w:t xml:space="preserve">Ergebnis: </w:t>
      </w:r>
      <w:r>
        <w:t>Nur etwa die Hälfte der Fachkräfte äußerte Konfidenz in der Identifikation von Patienten mit Palliativbedarf. Gespräche über Behandlungspräferenzen und Vorausplanung fanden inkonsistent statt; Diskussionen über Sterbeort waren selten. Schulung erhöhte das Bewusstsein, strukturelle Barrieren (Zeitdruck, Behandlungsfokus) behinderten aber die Umsetzung.</w:t>
      </w:r>
    </w:p>
    <w:p>
      <w:r>
        <w:rPr>
          <w:b/>
          <w:sz w:val="19"/>
        </w:rPr>
        <w:t xml:space="preserve">Übertragbarkeit: </w:t>
      </w:r>
      <w:r>
        <w:rPr>
          <w:sz w:val="19"/>
        </w:rPr>
        <w:t>Deutsche Studie, ambulante Nephrologiepraxen und Krankenhausambulanzen</w:t>
      </w:r>
    </w:p>
    <w:p>
      <w:r>
        <w:rPr>
          <w:color w:val="5A7D3A"/>
          <w:sz w:val="18"/>
        </w:rPr>
        <w:t>https://pubmed.ncbi.nlm.nih.gov/42859148/</w:t>
      </w:r>
    </w:p>
    <w:p>
      <w:pPr>
        <w:pStyle w:val="Heading2"/>
      </w:pPr>
      <w:r>
        <w:t>Epidemiologie entzündlicher rheumatischer Erkrankungen in Deutschland</w:t>
      </w:r>
    </w:p>
    <w:p>
      <w:r>
        <w:rPr>
          <w:i/>
          <w:color w:val="666666"/>
          <w:sz w:val="18"/>
        </w:rPr>
        <w:t>Albrecht K et al.  ·  EULAR Rheumatol Open  ·  09.07.2026  ·  PMID 42857317</w:t>
      </w:r>
    </w:p>
    <w:p>
      <w:r>
        <w:t>Systematische Übersicht zur Prävalenz und Inzidenz von 11 entzündlichen rheumatischen Erkrankungen in Deutschland und Europa (2013–aktuell) für Personalbedarfsplanung.</w:t>
      </w:r>
    </w:p>
    <w:p>
      <w:r>
        <w:rPr>
          <w:b/>
        </w:rPr>
        <w:t xml:space="preserve">Ergebnis: </w:t>
      </w:r>
      <w:r>
        <w:t>Geschätzte Prävalenz pro 100.000: rheumatoide Arthritis 1.000, Polymyalgia rheumatica 600 (&gt;50 Jahre), axiale Spondylarthritis 300, psoriasis-Arthritis 300, Riesenzellarteriitis 146 (&gt;50 Jahre), primäres Sjögren 70, systemischer Lupus erythematodes 56, systemische Sklerose 35, idiopathische entzündliche Myopathien 17, ANCA-assoziierte Vaskulitiden 26, Behçet 4,7. Gesamtprävalenz entzündlicher rheumatischer Erkrankungen in Deutschland: 2,6% (1,8 Mio. Erwachsene), jährliche Inzidenz 0,2% (130.000 Erwachsene).</w:t>
      </w:r>
    </w:p>
    <w:p>
      <w:r>
        <w:rPr>
          <w:b/>
          <w:sz w:val="19"/>
        </w:rPr>
        <w:t xml:space="preserve">Übertragbarkeit: </w:t>
      </w:r>
      <w:r>
        <w:rPr>
          <w:sz w:val="19"/>
        </w:rPr>
        <w:t>Deutsche Studie mit deutschen Daten und Schätzungen, direkt anwendbar für Versorgungsplanung</w:t>
      </w:r>
    </w:p>
    <w:p>
      <w:r>
        <w:rPr>
          <w:color w:val="5A7D3A"/>
          <w:sz w:val="18"/>
        </w:rPr>
        <w:t>https://pubmed.ncbi.nlm.nih.gov/42857317/</w:t>
      </w:r>
    </w:p>
    <w:p>
      <w:pPr>
        <w:pStyle w:val="Heading2"/>
      </w:pPr>
      <w:r>
        <w:t>Rolle von Ernährungsfachkräften in Langzeitpflegeeinrichtungen</w:t>
      </w:r>
    </w:p>
    <w:p>
      <w:r>
        <w:rPr>
          <w:i/>
          <w:color w:val="666666"/>
          <w:sz w:val="18"/>
        </w:rPr>
        <w:t>Bartrim K et al.  ·  Health Policy  ·  20.09.2026  ·  PMID 42849156</w:t>
      </w:r>
    </w:p>
    <w:p>
      <w:r>
        <w:t>Dokumentenanalyse der Rolle von Ernährungsfachkräften in Langzeitpflegeangeboten in 68 Ländern basierend auf Regelwerke, Standards und Leitlinien.</w:t>
      </w:r>
    </w:p>
    <w:p>
      <w:r>
        <w:rPr>
          <w:b/>
        </w:rPr>
        <w:t xml:space="preserve">Ergebnis: </w:t>
      </w:r>
      <w:r>
        <w:t>Von 68 Ländern hatten 37 (54%) mindestens ein Dokument zu Ernährungsfachkräften in Langzeitpflege. Japan war einziges Land mit allen vier Dokumenttypen; Australien, Türkiye und Nordirland hatten je drei. 14 Themenbereiche identifiziert, u.a. Ernährungsscreening, Speiseplanung, multiprofessionelle Zusammenarbeit. Große globale Unterschiede in Regelungen und anerkannten Rollen.</w:t>
      </w:r>
    </w:p>
    <w:p>
      <w:r>
        <w:rPr>
          <w:b/>
          <w:sz w:val="19"/>
        </w:rPr>
        <w:t xml:space="preserve">Übertragbarkeit: </w:t>
      </w:r>
      <w:r>
        <w:rPr>
          <w:sz w:val="19"/>
        </w:rPr>
        <w:t>Vergleichende Analyse, auf Deutschland begrenzt übertragbar, aufgrund von Unterschieden in Regulierung und Systemstruktur</w:t>
      </w:r>
    </w:p>
    <w:p>
      <w:r>
        <w:rPr>
          <w:color w:val="5A7D3A"/>
          <w:sz w:val="18"/>
        </w:rPr>
        <w:t>https://pubmed.ncbi.nlm.nih.gov/42849156/</w:t>
      </w:r>
    </w:p>
    <w:p>
      <w:pPr>
        <w:pStyle w:val="Heading2"/>
      </w:pPr>
      <w:r>
        <w:t>Kardio-metabole Ergebnisse eines Wellness-Programms auf dem Land</w:t>
      </w:r>
    </w:p>
    <w:p>
      <w:r>
        <w:rPr>
          <w:i/>
          <w:color w:val="666666"/>
          <w:sz w:val="18"/>
        </w:rPr>
        <w:t>Baus A et al.  ·  J Prim Care Community Health  ·  08.10.2026  ·  PMID 42849056</w:t>
      </w:r>
    </w:p>
    <w:p>
      <w:r>
        <w:t>Retrospektive Evaluation eines krankenhausgestützten Wellness-Programms in West Virginia mit 585 aktiven Teilnehmern zur Kardio-metabolischen Gesundheit.</w:t>
      </w:r>
    </w:p>
    <w:p>
      <w:r>
        <w:rPr>
          <w:b/>
        </w:rPr>
        <w:t xml:space="preserve">Ergebnis: </w:t>
      </w:r>
      <w:r>
        <w:t>Bei gepaarten Analysen: Taillenumfang reduziert um 0,19 Inch (KI −0,34 bis −0,03; p=0,0174), diastolischer Blutdruck um 3,38 mmHg (KI −4,54 bis −2,21; p&lt;0,0001). Bei 56 Diabetespatienten mit HbA1c-Messungen: Reduktion um 0,25 Prozentpunkte (KI −0,44 bis −0,06; p=0,0106), bei initial HbA1c ≥7,0% (n=23) um 0,65 Punkte (KI −1,00 bis −0,29; p=0,0010).</w:t>
      </w:r>
    </w:p>
    <w:p>
      <w:r>
        <w:rPr>
          <w:b/>
          <w:sz w:val="19"/>
        </w:rPr>
        <w:t xml:space="preserve">Übertragbarkeit: </w:t>
      </w:r>
      <w:r>
        <w:rPr>
          <w:sz w:val="19"/>
        </w:rPr>
        <w:t>USA, ländliches Setting, aber Fragestellung zu lokalen Wellness-Modellen systemunabhängig relevant</w:t>
      </w:r>
    </w:p>
    <w:p>
      <w:r>
        <w:rPr>
          <w:color w:val="5A7D3A"/>
          <w:sz w:val="18"/>
        </w:rPr>
        <w:t>https://pubmed.ncbi.nlm.nih.gov/42849056/</w:t>
      </w:r>
    </w:p>
    <w:p>
      <w:pPr>
        <w:pStyle w:val="Heading2"/>
      </w:pPr>
      <w:r>
        <w:t>Einzelitemmessungen zu Nebenwirkungsbelastung bei Krebspatienten</w:t>
      </w:r>
    </w:p>
    <w:p>
      <w:r>
        <w:rPr>
          <w:i/>
          <w:color w:val="666666"/>
          <w:sz w:val="18"/>
        </w:rPr>
        <w:t>Jones T et al.  ·  Eur J Cancer  ·  04.10.2026  ·  PMID 42843209</w:t>
      </w:r>
    </w:p>
    <w:p>
      <w:r>
        <w:t>Systematische Übersichtsarbeit zu Einsatz, psychometrischen Eigenschaften und klinischer Validität von Einzelitemmessungen der wahrgenommenen Nebenwirkungsbelastung in Krebsstudien (67 Publikationen, 74 Studienregistrierungen).</w:t>
      </w:r>
    </w:p>
    <w:p>
      <w:r>
        <w:rPr>
          <w:b/>
        </w:rPr>
        <w:t xml:space="preserve">Ergebnis: </w:t>
      </w:r>
      <w:r>
        <w:t>EORTC Q168 konzentriert auf Pankreas- und Gallenwegskrebs; FACIT GP5 breiter eingesetzt. Für FACIT GP5 lagen 27 Publikationen vor mit Befunden zu Inhalts-, Konstrukt- und Diskriminanzvalidität; für Q168 nur 2 Publikationen. Inhaltliche Limitationen bleiben, besonders beim Attributieren von Symptomen zur Behandlung versus Erkrankung oder andere Faktoren.</w:t>
      </w:r>
    </w:p>
    <w:p>
      <w:r>
        <w:rPr>
          <w:b/>
          <w:sz w:val="19"/>
        </w:rPr>
        <w:t xml:space="preserve">Übertragbarkeit: </w:t>
      </w:r>
      <w:r>
        <w:rPr>
          <w:sz w:val="19"/>
        </w:rPr>
        <w:t>Übersichtsarbeit über klinische Krebsforschung, international übertragbar für Instrumentenanwendung</w:t>
      </w:r>
    </w:p>
    <w:p>
      <w:r>
        <w:rPr>
          <w:color w:val="5A7D3A"/>
          <w:sz w:val="18"/>
        </w:rPr>
        <w:t>https://pubmed.ncbi.nlm.nih.gov/42843209/</w:t>
      </w:r>
    </w:p>
    <w:p>
      <w:pPr>
        <w:pStyle w:val="Heading1"/>
      </w:pPr>
      <w:r>
        <w:t>Aufgenommen am 11.10.2026</w:t>
      </w:r>
    </w:p>
    <w:p>
      <w:pPr>
        <w:pStyle w:val="Heading2"/>
      </w:pPr>
      <w:r>
        <w:t>Transitional Care-Erfahrungen ruraler Patientinnen: Qualitativ</w:t>
      </w:r>
    </w:p>
    <w:p>
      <w:r>
        <w:rPr>
          <w:i/>
          <w:color w:val="666666"/>
          <w:sz w:val="18"/>
        </w:rPr>
        <w:t>Randolph SB et al.  ·  J Rural Health  ·  Sept. 2026  ·  PMID 42855931</w:t>
      </w:r>
    </w:p>
    <w:p>
      <w:r>
        <w:t>Qualitative Analyse von Krankenakten von 200 Veteranen (100 rural, 100 urban), die innerhalb 30 Tagen nach Krankenhausentlassung starben.</w:t>
      </w:r>
    </w:p>
    <w:p>
      <w:r>
        <w:rPr>
          <w:b/>
        </w:rPr>
        <w:t xml:space="preserve">Ergebnis: </w:t>
      </w:r>
      <w:r>
        <w:t>Drei zentrale Themen für rurale Patienten: geografische Entfernungen (längere Fahrtzeiten), Ablehnung von Homecare-Services und hohe Belastung der Betreuer. Diese Faktoren führten zu Diskordanz und Unsicherheit zwischen Patient, Team und Angehörigen.</w:t>
      </w:r>
    </w:p>
    <w:p>
      <w:r>
        <w:rPr>
          <w:b/>
          <w:sz w:val="19"/>
        </w:rPr>
        <w:t xml:space="preserve">Übertragbarkeit: </w:t>
      </w:r>
      <w:r>
        <w:rPr>
          <w:sz w:val="19"/>
        </w:rPr>
        <w:t>USA-Veteranensystem; Erkenntnisse zu Übergangsversorgung aber systemübergreifend relevant</w:t>
      </w:r>
    </w:p>
    <w:p>
      <w:r>
        <w:rPr>
          <w:color w:val="5A7D3A"/>
          <w:sz w:val="18"/>
        </w:rPr>
        <w:t>https://pubmed.ncbi.nlm.nih.gov/42855931/</w:t>
      </w:r>
    </w:p>
    <w:p>
      <w:pPr>
        <w:pStyle w:val="Heading2"/>
      </w:pPr>
      <w:r>
        <w:t>Employment instability und katastrophale Gesundheitsausgaben in Südkorea</w:t>
      </w:r>
    </w:p>
    <w:p>
      <w:r>
        <w:rPr>
          <w:i/>
          <w:color w:val="666666"/>
          <w:sz w:val="18"/>
        </w:rPr>
        <w:t>Yang JM et al.  ·  BMC Health Serv Res  ·  19.08.2026  ·  PMID 42855683</w:t>
      </w:r>
    </w:p>
    <w:p>
      <w:r>
        <w:t>Längsschnittstudie zur Assoziation zwischen Beschäftigungsstabilität und katastrophalen Gesundheitsausgaben bei koreanischen Erwachsenen ab 50 Jahren.</w:t>
      </w:r>
    </w:p>
    <w:p>
      <w:r>
        <w:rPr>
          <w:b/>
        </w:rPr>
        <w:t xml:space="preserve">Ergebnis: </w:t>
      </w:r>
      <w:r>
        <w:t>Persistierende Arbeitslosigkeit erhöhte die Odds für katastrophale Ausgaben um das 1,26-1,34-Fache (p&lt;0,05). Berufliche Übergänge in Arbeitslosigkeit zeigten ähnliche Effekte. Effekt nur in der Altersgruppe ≥50 Jahre signifikant.</w:t>
      </w:r>
    </w:p>
    <w:p>
      <w:r>
        <w:rPr>
          <w:b/>
          <w:sz w:val="19"/>
        </w:rPr>
        <w:t xml:space="preserve">Übertragbarkeit: </w:t>
      </w:r>
      <w:r>
        <w:rPr>
          <w:sz w:val="19"/>
        </w:rPr>
        <w:t>Südkorea, gesetzliche Krankenversicherung, direkter Vergleich möglich</w:t>
      </w:r>
    </w:p>
    <w:p>
      <w:r>
        <w:rPr>
          <w:color w:val="5A7D3A"/>
          <w:sz w:val="18"/>
        </w:rPr>
        <w:t>https://pubmed.ncbi.nlm.nih.gov/42855683/</w:t>
      </w:r>
    </w:p>
    <w:p>
      <w:pPr>
        <w:pStyle w:val="Heading2"/>
      </w:pPr>
      <w:r>
        <w:t>Klimabewusstsein und Öko-Angst bei Gesundheitspersonal</w:t>
      </w:r>
    </w:p>
    <w:p>
      <w:r>
        <w:rPr>
          <w:i/>
          <w:color w:val="666666"/>
          <w:sz w:val="18"/>
        </w:rPr>
        <w:t>Özdemir T et al.  ·  BMC Health Serv Res  ·  01.10.2026  ·  PMID 42850626</w:t>
      </w:r>
    </w:p>
    <w:p>
      <w:r>
        <w:t>Querschnittsstudie bei 460 Fachkräften im Gesundheitswesen zu Zusammenhängen zwischen Klimabewusstsein, Öko-Angst und Umweltsensibilität.</w:t>
      </w:r>
    </w:p>
    <w:p>
      <w:r>
        <w:rPr>
          <w:b/>
        </w:rPr>
        <w:t xml:space="preserve">Ergebnis: </w:t>
      </w:r>
      <w:r>
        <w:t>Moderate Ausprägung bei Klimabewusstsein und Umweltsensibilität; moderate Öko-Angst. Klimabewusstsein, Pflegefachkräfte-Status, Alter ≥45 Jahre und Mitgliedschaft in Umweltorganisationen waren signifikante Prädiktoren (p&lt;0,05). Ruminations-Subdimension marginal nicht-signifikant (p=0,064).</w:t>
      </w:r>
    </w:p>
    <w:p>
      <w:r>
        <w:rPr>
          <w:b/>
          <w:sz w:val="19"/>
        </w:rPr>
        <w:t xml:space="preserve">Übertragbarkeit: </w:t>
      </w:r>
      <w:r>
        <w:rPr>
          <w:sz w:val="19"/>
        </w:rPr>
        <w:t>Türkei, Gesundheitssystem mit Versorger-fokussiertem Ansatz, Health Services Research</w:t>
      </w:r>
    </w:p>
    <w:p>
      <w:r>
        <w:rPr>
          <w:color w:val="5A7D3A"/>
          <w:sz w:val="18"/>
        </w:rPr>
        <w:t>https://pubmed.ncbi.nlm.nih.gov/42850626/</w:t>
      </w:r>
    </w:p>
    <w:p>
      <w:pPr>
        <w:pStyle w:val="Heading2"/>
      </w:pPr>
      <w:r>
        <w:t>Wearable-Sensoren zur Bewegungskontrolle in geriatrischer Rehabilitation</w:t>
      </w:r>
    </w:p>
    <w:p>
      <w:r>
        <w:rPr>
          <w:i/>
          <w:color w:val="666666"/>
          <w:sz w:val="18"/>
        </w:rPr>
        <w:t>Debeij SM et al.  ·  Eur Geriatr Med  ·  06.10.2026  ·  PMID 42839204</w:t>
      </w:r>
    </w:p>
    <w:p>
      <w:r>
        <w:t>Mixed-Methods-Studie zur Nutzerfreundlichkeit und Machbarkeit eines Sensorsystems mit Rückmeldung zur Sedentarität bei geriatrischen Patienten (stationär und ambulant).</w:t>
      </w:r>
    </w:p>
    <w:p>
      <w:r>
        <w:rPr>
          <w:b/>
        </w:rPr>
        <w:t xml:space="preserve">Ergebnis: </w:t>
      </w:r>
      <w:r>
        <w:t>Machbarkeit ausreichend (hohe Adhärenz), Nutzerfreundlichkeit begrenzt. Technische Probleme (Messergenauigkeit) und Implementierungshürden (fehlende Individualisierung, unklarer Mehrwert). Teilnehmer: 26 Patienten, 9 Fachkräfte; 22 Interviews durchgeführt.</w:t>
      </w:r>
    </w:p>
    <w:p>
      <w:r>
        <w:rPr>
          <w:b/>
          <w:sz w:val="19"/>
        </w:rPr>
        <w:t xml:space="preserve">Übertragbarkeit: </w:t>
      </w:r>
      <w:r>
        <w:rPr>
          <w:sz w:val="19"/>
        </w:rPr>
        <w:t>Niederlande, Sozialversicherung, gute Übertragbarkeit auf deutsches Gesundheitswesen</w:t>
      </w:r>
    </w:p>
    <w:p>
      <w:r>
        <w:rPr>
          <w:color w:val="5A7D3A"/>
          <w:sz w:val="18"/>
        </w:rPr>
        <w:t>https://pubmed.ncbi.nlm.nih.gov/42839204/</w:t>
      </w:r>
    </w:p>
    <w:p>
      <w:pPr>
        <w:pStyle w:val="Heading2"/>
      </w:pPr>
      <w:r>
        <w:t>Rotavirus-Impfung in Vietnam: Effektivität und Kosteneffektivität</w:t>
      </w:r>
    </w:p>
    <w:p>
      <w:r>
        <w:rPr>
          <w:i/>
          <w:color w:val="666666"/>
          <w:sz w:val="18"/>
        </w:rPr>
        <w:t>Dang HTT et al.  ·  Vaccine  ·  06.10.2026  ·  PMID 42837896</w:t>
      </w:r>
    </w:p>
    <w:p>
      <w:r>
        <w:t>Modellierungsstudie zur Auswirkung und Kosteneffektivität der Rotavirus-Impfung (ROTAVIN) bei Kindern unter fünf Jahren in Vietnam.</w:t>
      </w:r>
    </w:p>
    <w:p>
      <w:r>
        <w:rPr>
          <w:b/>
        </w:rPr>
        <w:t xml:space="preserve">Ergebnis: </w:t>
      </w:r>
      <w:r>
        <w:t>Über 10 Jahre würde Impfung 97.776 Hospitalisierungen (KI 72.722–342.311) und 433 Todesfälle (KI 330–1300) verhindern. Kosten von 39,5 Mio. USD für zehn Kohorten. ICER von 982 USD pro vermiedenem DALY (Staatsperspektive); kostensparen aus Gesellschaftsperspektive mit 99% Wahrscheinlichkeit.</w:t>
      </w:r>
    </w:p>
    <w:p>
      <w:r>
        <w:rPr>
          <w:b/>
          <w:sz w:val="19"/>
        </w:rPr>
        <w:t xml:space="preserve">Übertragbarkeit: </w:t>
      </w:r>
      <w:r>
        <w:rPr>
          <w:sz w:val="19"/>
        </w:rPr>
        <w:t>Vietnams Gesundheitssystem, Sozialversicherung, hohe Übertragbarkeit auf ähnliche Kontexte</w:t>
      </w:r>
    </w:p>
    <w:p>
      <w:r>
        <w:rPr>
          <w:color w:val="5A7D3A"/>
          <w:sz w:val="18"/>
        </w:rPr>
        <w:t>https://pubmed.ncbi.nlm.nih.gov/42837896/</w:t>
      </w:r>
    </w:p>
    <w:p>
      <w:pPr>
        <w:pStyle w:val="Heading1"/>
      </w:pPr>
      <w:r>
        <w:t>Aufgenommen am 10.10.2026</w:t>
      </w:r>
    </w:p>
    <w:p>
      <w:pPr>
        <w:pStyle w:val="Heading2"/>
      </w:pPr>
      <w:r>
        <w:t>Transition in rheumatology: Versorgungslücken beim Übergang ins Erwachsenenalter</w:t>
      </w:r>
    </w:p>
    <w:p>
      <w:r>
        <w:rPr>
          <w:i/>
          <w:color w:val="666666"/>
          <w:sz w:val="18"/>
        </w:rPr>
        <w:t>Milatz F et al.  ·  Z Rheumatol  ·  09.10.2026  ·  PMID 42853413</w:t>
      </w:r>
    </w:p>
    <w:p>
      <w:r>
        <w:t>Querschnittsbefragung von 269 jungen Erwachsenen mit juveniler idiopathischer Arthritis zur Versorgungskontinuität beim Übergang von der Kinder- in die internistische Rheumatologie.</w:t>
      </w:r>
    </w:p>
    <w:p>
      <w:r>
        <w:rPr>
          <w:b/>
        </w:rPr>
        <w:t xml:space="preserve">Ergebnis: </w:t>
      </w:r>
      <w:r>
        <w:t>45% der jungen Erwachsenen erhielten fachspezifische rheumatologische Betreuung; Transitionskompetenz bei Versorgten höher (22,7 vs. 19,0; p&lt;0,001); 35% erhielten keinen zusammenfassenden Arztbericht; durchschnittlich 9,9 Monate zwischen letzter Kinder- und erster Erwachsenenvorstellung; Nicht-Versorgte erhielten seltener Basistherapie (18% vs. 63%); ~20% berichteten relevante depressive Symptome.</w:t>
      </w:r>
    </w:p>
    <w:p>
      <w:r>
        <w:rPr>
          <w:b/>
          <w:sz w:val="19"/>
        </w:rPr>
        <w:t xml:space="preserve">Übertragbarkeit: </w:t>
      </w:r>
      <w:r>
        <w:rPr>
          <w:sz w:val="19"/>
        </w:rPr>
        <w:t>Deutsche Routinedaten, gesetzlich Versicherte (Barmer)</w:t>
      </w:r>
    </w:p>
    <w:p>
      <w:r>
        <w:rPr>
          <w:color w:val="5A7D3A"/>
          <w:sz w:val="18"/>
        </w:rPr>
        <w:t>https://pubmed.ncbi.nlm.nih.gov/42853413/</w:t>
      </w:r>
    </w:p>
    <w:p>
      <w:pPr>
        <w:pStyle w:val="Heading2"/>
      </w:pPr>
      <w:r>
        <w:t>Finanzielle Anreize erhöhen Screening-Quote bei Darmkrebs</w:t>
      </w:r>
    </w:p>
    <w:p>
      <w:r>
        <w:rPr>
          <w:i/>
          <w:color w:val="666666"/>
          <w:sz w:val="18"/>
        </w:rPr>
        <w:t>Perry LM et al.  ·  Health Serv Res  ·  22.07.2025  ·  PMID 42853034</w:t>
      </w:r>
    </w:p>
    <w:p>
      <w:r>
        <w:t>Pilotversuch zur Effektivität von finanziellen Anreizen für Darmkrebsvorsorge-Screening in ländlicher US-Primärversorgung.</w:t>
      </w:r>
    </w:p>
    <w:p>
      <w:r>
        <w:rPr>
          <w:b/>
        </w:rPr>
        <w:t xml:space="preserve">Ergebnis: </w:t>
      </w:r>
      <w:r>
        <w:t>68% der Interventionsgruppe vs. 32% der Kontrollgruppe absolvierten CRC-Screening (p=0,02); 57% der interessierten Personen waren berechtigt; 94% der Berechtigten nahmen teil; durchschnittliche Teilnehmerin 52,4 Jahre alt, 70% weiblich, 42% schwarz, 24% unversichert.</w:t>
      </w:r>
    </w:p>
    <w:p>
      <w:r>
        <w:rPr>
          <w:b/>
          <w:sz w:val="19"/>
        </w:rPr>
        <w:t xml:space="preserve">Übertragbarkeit: </w:t>
      </w:r>
      <w:r>
        <w:rPr>
          <w:sz w:val="19"/>
        </w:rPr>
        <w:t>Nur bedingt: US-fragmentiertes Versicherungssystem, anderer Zugangskontext</w:t>
      </w:r>
    </w:p>
    <w:p>
      <w:r>
        <w:rPr>
          <w:color w:val="5A7D3A"/>
          <w:sz w:val="18"/>
        </w:rPr>
        <w:t>https://pubmed.ncbi.nlm.nih.gov/42853034/</w:t>
      </w:r>
    </w:p>
    <w:p>
      <w:pPr>
        <w:pStyle w:val="Heading2"/>
      </w:pPr>
      <w:r>
        <w:t>Wespenart beeinflusst Erfolg von Wespengiftimmuntherapie-Provokationen</w:t>
      </w:r>
    </w:p>
    <w:p>
      <w:r>
        <w:rPr>
          <w:i/>
          <w:color w:val="666666"/>
          <w:sz w:val="18"/>
        </w:rPr>
        <w:t>Oppel E et al.  ·  Allergol Select  ·  25.09.2026  ·  PMID 42852156</w:t>
      </w:r>
    </w:p>
    <w:p>
      <w:r>
        <w:t>Retrospektive Analyse von 1.163 Patienten unter Wespengiftimmuntherapie hinsichtlich Einflussfaktoren auf Toleranz gegenüber künstlichen Stichproben.</w:t>
      </w:r>
    </w:p>
    <w:p>
      <w:r>
        <w:rPr>
          <w:b/>
        </w:rPr>
        <w:t xml:space="preserve">Ergebnis: </w:t>
      </w:r>
      <w:r>
        <w:t>Stichproben wurden von 1.141 Patienten (98,1%) toleriert; Vespula-Arten zeigten signifikant höhere Toleranzrate als Dolichovespula-Arten (OR 7,69, 95% CI 2,66–20,43); Hauttest-Konversion (positiv→negativ bei 10 µg/mL) zeigte Trend zu verbesserter Toleranz (OR 2,26, 95% CI 0,68–11,53); in 53,2±38,5 Monaten Follow-up: 6 Systemreaktionen nach Feldstichen, keine aus Dolichovespula-Gruppe.</w:t>
      </w:r>
    </w:p>
    <w:p>
      <w:r>
        <w:rPr>
          <w:b/>
          <w:sz w:val="19"/>
        </w:rPr>
        <w:t xml:space="preserve">Übertragbarkeit: </w:t>
      </w:r>
      <w:r>
        <w:rPr>
          <w:sz w:val="19"/>
        </w:rPr>
        <w:t>Deutschland, vergleichbare allergologische Standardversorgung</w:t>
      </w:r>
    </w:p>
    <w:p>
      <w:r>
        <w:rPr>
          <w:color w:val="5A7D3A"/>
          <w:sz w:val="18"/>
        </w:rPr>
        <w:t>https://pubmed.ncbi.nlm.nih.gov/42852156/</w:t>
      </w:r>
    </w:p>
    <w:p>
      <w:pPr>
        <w:pStyle w:val="Heading2"/>
      </w:pPr>
      <w:r>
        <w:t>Patientenbeteiligung bei Leitlinienentwicklung: Erfahrungen in Deutschland</w:t>
      </w:r>
    </w:p>
    <w:p>
      <w:r>
        <w:rPr>
          <w:i/>
          <w:color w:val="666666"/>
          <w:sz w:val="18"/>
        </w:rPr>
        <w:t>Orduhan C et al.  ·  Clin Public Health Guidel  ·  10.08.2026  ·  PMID 42808020</w:t>
      </w:r>
    </w:p>
    <w:p>
      <w:r>
        <w:t>Qualitative Interviewstudie mit 23 Patientenvertretern, die an deutscher Leitlinienentwicklung partizipierten, zu Erfahrungen und Herausforderungen.</w:t>
      </w:r>
    </w:p>
    <w:p>
      <w:r>
        <w:rPr>
          <w:b/>
        </w:rPr>
        <w:t xml:space="preserve">Ergebnis: </w:t>
      </w:r>
      <w:r>
        <w:t>Aktive Mitgliedschaft in Leitliniengruppen war dominante Beteiligungsstrategie; positive Einflussfaktoren: Vorbereitungstraining, andere Patientenvertreter, Wertschätzung (häufig benannt); Herausforderungen: Rekrutierung, Mangel an Inklusion und Diversität; Mehrheit war mit Beteiligungsform zufrieden, identifizierte aber ungedeckte Bedarfe; Vorbereitungsaktivitäten als essentiell für effektive Partizipation.</w:t>
      </w:r>
    </w:p>
    <w:p>
      <w:r>
        <w:rPr>
          <w:b/>
          <w:sz w:val="19"/>
        </w:rPr>
        <w:t xml:space="preserve">Übertragbarkeit: </w:t>
      </w:r>
      <w:r>
        <w:rPr>
          <w:sz w:val="19"/>
        </w:rPr>
        <w:t>Deutsche Kontextdaten zur Leitlinienmitgestaltung</w:t>
      </w:r>
    </w:p>
    <w:p>
      <w:r>
        <w:rPr>
          <w:color w:val="5A7D3A"/>
          <w:sz w:val="18"/>
        </w:rPr>
        <w:t>https://pubmed.ncbi.nlm.nih.gov/42808020/</w:t>
      </w:r>
    </w:p>
    <w:p>
      <w:pPr>
        <w:pStyle w:val="Heading2"/>
      </w:pPr>
      <w:r>
        <w:t>Geschlechtsspezifische Unterschiede in Selbsteinschätzung dermatologischer Kompetenzen</w:t>
      </w:r>
    </w:p>
    <w:p>
      <w:r>
        <w:rPr>
          <w:i/>
          <w:color w:val="666666"/>
          <w:sz w:val="18"/>
        </w:rPr>
        <w:t>Heinen I et al.  ·  GMS J Med Educ  ·  15.09.2026  ·  PMID 42807627</w:t>
      </w:r>
    </w:p>
    <w:p>
      <w:r>
        <w:t>Quasi-experimentelle Prä-Post-Befragung von 142 Medizinstudierenden zur Selbsteinschätzung dermatologischer Kenntnisse vor und nach Seminar zu Hauterkrankungen bei Skin of Color.</w:t>
      </w:r>
    </w:p>
    <w:p>
      <w:r>
        <w:rPr>
          <w:b/>
        </w:rPr>
        <w:t xml:space="preserve">Ergebnis: </w:t>
      </w:r>
      <w:r>
        <w:t>Studentinnen schätzten anfangs Kenntnisse zu anatomischen/physiologischen Unterschieden (p&lt;0,001, η²=0,078) und Hauttyp-Skalen (p&lt;0,001, η²=0,085) sowie diagnostische Fähigkeiten signifikant schlechter ein als Studenten (p&lt;0,001, η²=0,075), obwohl objektive MC-Testergebnisse nicht differierten (p=0,905); nach Seminar keine geschlechtsspezifischen Unterschiede mehr vorhanden.</w:t>
      </w:r>
    </w:p>
    <w:p>
      <w:r>
        <w:rPr>
          <w:b/>
          <w:sz w:val="19"/>
        </w:rPr>
        <w:t xml:space="preserve">Übertragbarkeit: </w:t>
      </w:r>
      <w:r>
        <w:rPr>
          <w:sz w:val="19"/>
        </w:rPr>
        <w:t>Deutschland, medizinische Hochschulausbildung vergleichbar</w:t>
      </w:r>
    </w:p>
    <w:p>
      <w:r>
        <w:rPr>
          <w:color w:val="5A7D3A"/>
          <w:sz w:val="18"/>
        </w:rPr>
        <w:t>https://pubmed.ncbi.nlm.nih.gov/42807627/</w:t>
      </w:r>
    </w:p>
    <w:p>
      <w:pPr>
        <w:pStyle w:val="Heading1"/>
      </w:pPr>
      <w:r>
        <w:t>Aufgenommen am 09.10.2026</w:t>
      </w:r>
    </w:p>
    <w:p>
      <w:pPr>
        <w:pStyle w:val="Heading2"/>
      </w:pPr>
      <w:r>
        <w:t>Telemedicine-Nutzung in Japan 2020–2024: Persistierende Ungleichheiten</w:t>
      </w:r>
    </w:p>
    <w:p>
      <w:r>
        <w:rPr>
          <w:i/>
          <w:color w:val="666666"/>
          <w:sz w:val="18"/>
        </w:rPr>
        <w:t>Ito H et al.  ·  J Med Internet Res  ·  08.10.2026  ·  PMID 42849039</w:t>
      </w:r>
    </w:p>
    <w:p>
      <w:r>
        <w:t>Longitudinale Panelstudie zur Entwicklung von Chancenungleichheiten bei der Telemedizin-Adoption in Japan über vier Jahre mit 10.818 Teilnehmern.</w:t>
      </w:r>
    </w:p>
    <w:p>
      <w:r>
        <w:rPr>
          <w:b/>
        </w:rPr>
        <w:t xml:space="preserve">Ergebnis: </w:t>
      </w:r>
      <w:r>
        <w:t>Telemedizin-Adoption stieg von 2,6% (2020) auf 7,0% (2024). Altersbedingte Ungleichheiten verschärften sich: Bei 70–75-Jährigen +1,0 Prozentpunkte vs. 18–29-Jährigen +13,1 Prozentpunkte (DID –12,1 PP, 95% KI –18,2 bis –5,9). Arbeitslose zeigten kleinere Zunahmen (+2,8 vs. +5,7 PP bei höheren Angestellten; DID –2,9 PP).</w:t>
      </w:r>
    </w:p>
    <w:p>
      <w:r>
        <w:rPr>
          <w:b/>
          <w:sz w:val="19"/>
        </w:rPr>
        <w:t xml:space="preserve">Übertragbarkeit: </w:t>
      </w:r>
      <w:r>
        <w:rPr>
          <w:sz w:val="19"/>
        </w:rPr>
        <w:t>Japan, nationale Kohorte mit berichteten Adoptionsdaten, digitale Gerechtigkeit systemübergreifend relevant</w:t>
      </w:r>
    </w:p>
    <w:p>
      <w:r>
        <w:rPr>
          <w:color w:val="5A7D3A"/>
          <w:sz w:val="18"/>
        </w:rPr>
        <w:t>https://pubmed.ncbi.nlm.nih.gov/42849039/</w:t>
      </w:r>
    </w:p>
    <w:p>
      <w:pPr>
        <w:pStyle w:val="Heading2"/>
      </w:pPr>
      <w:r>
        <w:t>Retinoid-Umstellung in vier europäischen Ländern nach Schwangerschaftsprävention 2018</w:t>
      </w:r>
    </w:p>
    <w:p>
      <w:r>
        <w:rPr>
          <w:i/>
          <w:color w:val="666666"/>
          <w:sz w:val="18"/>
        </w:rPr>
        <w:t>Riera-Arnau J et al.  ·  Drug Saf  ·  08.10.2026  ·  PMID 42848129</w:t>
      </w:r>
    </w:p>
    <w:p>
      <w:r>
        <w:t>Unterbrochene Zeitreihenanalyse zum Effekt der EU-Schwangerschaftspräventionsprogramm-Aktualisierung 2018 auf Wechsel von oralen Retinoiden zu Alternativmedikamenten bei Frauen im gebärfähigen Alter in vier europäischen Ländern mit 88.992 Frauen.</w:t>
      </w:r>
    </w:p>
    <w:p>
      <w:r>
        <w:rPr>
          <w:b/>
        </w:rPr>
        <w:t xml:space="preserve">Ergebnis: </w:t>
      </w:r>
      <w:r>
        <w:t>32,0% (28.446/88.992) wechselten zu Alternativmedikamenten über den Studienzeitraum. Mediane Wechselraten: 1,8–6,5% monatlich präimplementiert, 1,2–2,3% postimplementiert. Kleine aber statistisch signifikante Abnahme der Wechselrate nach Intervention in Italien (–0,035%, p&lt;0,01), Spanien VID (–0,04%, p&lt;0,01) und BIFAP (–0,03%, p=0,02); Effekte verschwanden bei Ausschluss COVID-19-Lockdown-Periode.</w:t>
      </w:r>
    </w:p>
    <w:p>
      <w:r>
        <w:rPr>
          <w:b/>
          <w:sz w:val="19"/>
        </w:rPr>
        <w:t xml:space="preserve">Übertragbarkeit: </w:t>
      </w:r>
      <w:r>
        <w:rPr>
          <w:sz w:val="19"/>
        </w:rPr>
        <w:t>Niederlande, Spanien, Italien, Dänemark – europäische Sozialversicherungssysteme, Pharmacoepidemiology-Daten</w:t>
      </w:r>
    </w:p>
    <w:p>
      <w:r>
        <w:rPr>
          <w:color w:val="5A7D3A"/>
          <w:sz w:val="18"/>
        </w:rPr>
        <w:t>https://pubmed.ncbi.nlm.nih.gov/42848129/</w:t>
      </w:r>
    </w:p>
    <w:p>
      <w:pPr>
        <w:pStyle w:val="Heading2"/>
      </w:pPr>
      <w:r>
        <w:t>Prähabilitationsakzeptanz bei Hüft- und Kniegelenkersatz: Qualitative Stakeholder-Perspektiven</w:t>
      </w:r>
    </w:p>
    <w:p>
      <w:r>
        <w:rPr>
          <w:i/>
          <w:color w:val="666666"/>
          <w:sz w:val="18"/>
        </w:rPr>
        <w:t>Burgess N et al.  ·  Musculoskeletal Care  ·  Dez. 2026  ·  PMID 42847740</w:t>
      </w:r>
    </w:p>
    <w:p>
      <w:r>
        <w:t>Qualitative Studie mit 30 Interviews (15 Patienten, 15 Fachpersonen) zu Akzeptanz, Barrieren und Lösungen bei Prähabilitationsprogrammen vor Hüft- und Kniegelenksersatz in Australien.</w:t>
      </w:r>
    </w:p>
    <w:p>
      <w:r>
        <w:rPr>
          <w:b/>
        </w:rPr>
        <w:t xml:space="preserve">Ergebnis: </w:t>
      </w:r>
      <w:r>
        <w:t>Prähabilitationsmaßnahme wurde allgemein als akzeptabel und vorteilhaft bewertet. Drei Hauptkonzepte: (1) Verständnis variierte, aber positive Bewertung überwiegend; (2) Barrieren/Förderfaktoren auf Patienten-, Fachpersonen- und Systemebene identifiziert (lange Wartelisten, mangelndes Vertrauen, Gesprächssicherheit); (3) Beide Gruppen betonten individuelle Anpassung, multimodale Intervention und kontinuierliche Unterstützung im OP-Verlauf als erfolgskritisch.</w:t>
      </w:r>
    </w:p>
    <w:p>
      <w:r>
        <w:rPr>
          <w:b/>
          <w:sz w:val="19"/>
        </w:rPr>
        <w:t xml:space="preserve">Übertragbarkeit: </w:t>
      </w:r>
      <w:r>
        <w:rPr>
          <w:sz w:val="19"/>
        </w:rPr>
        <w:t>Australien, öffentliches Versorgungssystem – Prozessqualität und Patientenperspektive gut übertragbar</w:t>
      </w:r>
    </w:p>
    <w:p>
      <w:r>
        <w:rPr>
          <w:color w:val="5A7D3A"/>
          <w:sz w:val="18"/>
        </w:rPr>
        <w:t>https://pubmed.ncbi.nlm.nih.gov/42847740/</w:t>
      </w:r>
    </w:p>
    <w:p>
      <w:pPr>
        <w:pStyle w:val="Heading2"/>
      </w:pPr>
      <w:r>
        <w:t>ADHS-Medikation in Norwegen: Anhaltende Anstiege nach COVID-19</w:t>
      </w:r>
    </w:p>
    <w:p>
      <w:r>
        <w:rPr>
          <w:i/>
          <w:color w:val="666666"/>
          <w:sz w:val="18"/>
        </w:rPr>
        <w:t>Reme BA et al.  ·  Scand J Public Health  ·  08.10.2026  ·  PMID 42847285</w:t>
      </w:r>
    </w:p>
    <w:p>
      <w:r>
        <w:t>Register-basierte Zeitreihenanalyse der ADHS-Arzneimittelverordnungen in Norwegen 2009–2024 mit 63,7 Millionen Personenjahren.</w:t>
      </w:r>
    </w:p>
    <w:p>
      <w:r>
        <w:rPr>
          <w:b/>
        </w:rPr>
        <w:t xml:space="preserve">Ergebnis: </w:t>
      </w:r>
      <w:r>
        <w:t>ADHS-Medikation vor 2020 stabil, danach deutlicher Anstieg. Größte Anstiege bei weiblichen Adoleszenten (15–24 Jahre): +19 Prozentpunkte (von 5,2% auf 24,4% jährlich). Männliche Jugendliche (15–24 Jahre): +9,0 Prozentpunkte (von 2,7% auf 11,7%). Der Anstieg blieb auch nach 2020 dauerhaft.</w:t>
      </w:r>
    </w:p>
    <w:p>
      <w:r>
        <w:rPr>
          <w:b/>
          <w:sz w:val="19"/>
        </w:rPr>
        <w:t xml:space="preserve">Übertragbarkeit: </w:t>
      </w:r>
      <w:r>
        <w:rPr>
          <w:sz w:val="19"/>
        </w:rPr>
        <w:t>Norwegen, nationale Verordnungsdatenbank, Fragestellung zur Versorgungspraxis systemübergreifend</w:t>
      </w:r>
    </w:p>
    <w:p>
      <w:r>
        <w:rPr>
          <w:color w:val="5A7D3A"/>
          <w:sz w:val="18"/>
        </w:rPr>
        <w:t>https://pubmed.ncbi.nlm.nih.gov/42847285/</w:t>
      </w:r>
    </w:p>
    <w:p>
      <w:pPr>
        <w:pStyle w:val="Heading2"/>
      </w:pPr>
      <w:r>
        <w:t>Agent-basiertes Modell der Demenzbetreuung in der Gemeinde: Validierte Baseline-Szenarien</w:t>
      </w:r>
    </w:p>
    <w:p>
      <w:r>
        <w:rPr>
          <w:i/>
          <w:color w:val="666666"/>
          <w:sz w:val="18"/>
        </w:rPr>
        <w:t>Zhu C et al.  ·  Front Public Health  ·  23.09.2026  ·  PMID 42846501</w:t>
      </w:r>
    </w:p>
    <w:p>
      <w:r>
        <w:t>Entwicklung und Validierung eines regelgestützten agentengestützten Modells (ABM) zur Simulation der Langzeitdynamiken in der gemeindlichen Demenzbetreuung mit evidenzgestützten Parametern.</w:t>
      </w:r>
    </w:p>
    <w:p>
      <w:r>
        <w:rPr>
          <w:b/>
        </w:rPr>
        <w:t xml:space="preserve">Ergebnis: </w:t>
      </w:r>
      <w:r>
        <w:t>BPSD-Prävalenz stieg von 75,6% (Start) auf 96,4% (Monat 60; Monte-Carlo 95% KI 96,3–96,5%). Durchschnittliche Betreuungslast erhöhte sich von 0,505 auf 0,782. Im Monat 60 befanden sich durchschnittlich 161 Betreuungseinheiten in institutioneller Betreuung. Lokale Sensitivitätsanalysen zeigten begrenzte Variabilität in Primäroutcomes über getestete Bereiche.</w:t>
      </w:r>
    </w:p>
    <w:p>
      <w:r>
        <w:rPr>
          <w:b/>
          <w:sz w:val="19"/>
        </w:rPr>
        <w:t xml:space="preserve">Übertragbarkeit: </w:t>
      </w:r>
      <w:r>
        <w:rPr>
          <w:sz w:val="19"/>
        </w:rPr>
        <w:t>China, strukturiertes Health Services Research-Modell für spezialisierte Versorgungsforschung</w:t>
      </w:r>
    </w:p>
    <w:p>
      <w:r>
        <w:rPr>
          <w:color w:val="5A7D3A"/>
          <w:sz w:val="18"/>
        </w:rPr>
        <w:t>https://pubmed.ncbi.nlm.nih.gov/42846501/</w:t>
      </w:r>
    </w:p>
    <w:p>
      <w:pPr>
        <w:pStyle w:val="Heading2"/>
      </w:pPr>
      <w:r>
        <w:t>Psychosoziales Wohlbefinden bei Long COVID: Patientenzentrierte Interventionsstrategien</w:t>
      </w:r>
    </w:p>
    <w:p>
      <w:r>
        <w:rPr>
          <w:i/>
          <w:color w:val="666666"/>
          <w:sz w:val="18"/>
        </w:rPr>
        <w:t>Martinez BD et al.  ·  Front Psychiatry  ·  23.09.2026  ·  PMID 42846347</w:t>
      </w:r>
    </w:p>
    <w:p>
      <w:r>
        <w:t>Qualitative Studie mit 19 semi-strukturierten Interviews und Community Advisory Team-Fokusgruppen zu Faktoren und patientengenerierten Strategien für psychosoziales Wohlbefinden bei Long COVID.</w:t>
      </w:r>
    </w:p>
    <w:p>
      <w:r>
        <w:rPr>
          <w:b/>
        </w:rPr>
        <w:t xml:space="preserve">Ergebnis: </w:t>
      </w:r>
      <w:r>
        <w:t>Drei Primärfaktoren beeinflussen negativ psychosoziales Wohlbefinden: Identitätsstörung (Verlust von Fähigkeiten, Selbstständigkeit), Isolation (reduzierte soziale Partizipation, Stigmatisierung), Unsicherheit (Krankheits-/Behandlungspfade, Invaliditätssysteme). Patienten identifizierten: Case-Management, strukturierte Peersupport, Public-Awareness-Kampagnen und persönliche Adaptationspraktiken als förderlich.</w:t>
      </w:r>
    </w:p>
    <w:p>
      <w:r>
        <w:rPr>
          <w:b/>
          <w:sz w:val="19"/>
        </w:rPr>
        <w:t xml:space="preserve">Übertragbarkeit: </w:t>
      </w:r>
      <w:r>
        <w:rPr>
          <w:sz w:val="19"/>
        </w:rPr>
        <w:t>USA, systemunabhängig – psychosoziale Versorgungsfragen krankheitsübergreifend relevant</w:t>
      </w:r>
    </w:p>
    <w:p>
      <w:r>
        <w:rPr>
          <w:color w:val="5A7D3A"/>
          <w:sz w:val="18"/>
        </w:rPr>
        <w:t>https://pubmed.ncbi.nlm.nih.gov/42846347/</w:t>
      </w:r>
    </w:p>
    <w:p>
      <w:pPr>
        <w:pStyle w:val="Heading1"/>
      </w:pPr>
      <w:r>
        <w:t>Aufgenommen am 08.10.2026</w:t>
      </w:r>
    </w:p>
    <w:p>
      <w:pPr>
        <w:pStyle w:val="Heading2"/>
      </w:pPr>
      <w:r>
        <w:t>Ärztevariabilität dominiert Schicht-Effekte in der ED</w:t>
      </w:r>
    </w:p>
    <w:p>
      <w:r>
        <w:rPr>
          <w:i/>
          <w:color w:val="666666"/>
          <w:sz w:val="18"/>
        </w:rPr>
        <w:t>Büyükkaya MŞ et al.  ·  Postgrad Med J  ·  07.10.2026  ·  PMID 42842596</w:t>
      </w:r>
    </w:p>
    <w:p>
      <w:r>
        <w:t>Retrospektive Beobachtungsstudie zu diagnostischer Ressourcentechnik (Labor, Bildgebung, Konsile) bei 11.032 niedrig-akuten ED-Besuchen in der Türkei nach Schichtzeit und Arzt.</w:t>
      </w:r>
    </w:p>
    <w:p>
      <w:r>
        <w:rPr>
          <w:b/>
        </w:rPr>
        <w:t xml:space="preserve">Ergebnis: </w:t>
      </w:r>
      <w:r>
        <w:t>Laborquoten 9,5% (p=0,997), Bildgebung 12,6–13,5% (p=0,485) zeigen keine signifikante Schicht-Variation. Arzt-Level-Variation deutlich größer: Labor 3,5–21,5%, Bildgebung 6,3–28,7%. Ärztliche Spezialisierung dominiert.</w:t>
      </w:r>
    </w:p>
    <w:p>
      <w:r>
        <w:rPr>
          <w:b/>
          <w:sz w:val="19"/>
        </w:rPr>
        <w:t xml:space="preserve">Übertragbarkeit: </w:t>
      </w:r>
      <w:r>
        <w:rPr>
          <w:sz w:val="19"/>
        </w:rPr>
        <w:t>Türkei, aber Frage zur Ärzte-Variabilität und Ressourcennutzung systemunabhängig</w:t>
      </w:r>
    </w:p>
    <w:p>
      <w:r>
        <w:rPr>
          <w:color w:val="5A7D3A"/>
          <w:sz w:val="18"/>
        </w:rPr>
        <w:t>https://pubmed.ncbi.nlm.nih.gov/42842596/</w:t>
      </w:r>
    </w:p>
    <w:p>
      <w:pPr>
        <w:pStyle w:val="Heading2"/>
      </w:pPr>
      <w:r>
        <w:t>Durst bei Herzinsuffizienz-Patienten auf Transplantwarteliste</w:t>
      </w:r>
    </w:p>
    <w:p>
      <w:r>
        <w:rPr>
          <w:i/>
          <w:color w:val="666666"/>
          <w:sz w:val="18"/>
        </w:rPr>
        <w:t>Wefer F et al.  ·  Nurs Crit Care  ·  Nov. 2026  ·  PMID 42841439</w:t>
      </w:r>
    </w:p>
    <w:p>
      <w:r>
        <w:t>Qualitative Mischmethod-Studie mit 10 Patienteninterviews und 2 Fokusgruppen (5 Pflegekräfte) sowie 59 Pflegekräfte-Befragung zur Erfahrung mit Durst bei hochgradig Herzkranken.</w:t>
      </w:r>
    </w:p>
    <w:p>
      <w:r>
        <w:rPr>
          <w:b/>
        </w:rPr>
        <w:t xml:space="preserve">Ergebnis: </w:t>
      </w:r>
      <w:r>
        <w:t>Patienten berichten heterogenes Durstserleben (mild bis schwer). Pflege hält es für relevant, nutzt aber sehr unterschiedliche Assessmentstrategien; &lt;50% bewerten Durst regelmäßig. Patienten und Pflegekräfte wünschen standardisierte Beratung.</w:t>
      </w:r>
    </w:p>
    <w:p>
      <w:r>
        <w:rPr>
          <w:b/>
          <w:sz w:val="19"/>
        </w:rPr>
        <w:t xml:space="preserve">Übertragbarkeit: </w:t>
      </w:r>
      <w:r>
        <w:rPr>
          <w:sz w:val="19"/>
        </w:rPr>
        <w:t>Deutschland (Ruhr-Universität Bochum, Bad Oeynhausen), direkt übertragbar</w:t>
      </w:r>
    </w:p>
    <w:p>
      <w:r>
        <w:rPr>
          <w:color w:val="5A7D3A"/>
          <w:sz w:val="18"/>
        </w:rPr>
        <w:t>https://pubmed.ncbi.nlm.nih.gov/42841439/</w:t>
      </w:r>
    </w:p>
    <w:p>
      <w:pPr>
        <w:pStyle w:val="Heading2"/>
      </w:pPr>
      <w:r>
        <w:t>Primary care accessibility reduces inappropriate ED attendance</w:t>
      </w:r>
    </w:p>
    <w:p>
      <w:r>
        <w:rPr>
          <w:i/>
          <w:color w:val="666666"/>
          <w:sz w:val="18"/>
        </w:rPr>
        <w:t>Koh JJE et al.  ·  Singapore Med J  ·  05.10.2026  ·  PMID 42839708</w:t>
      </w:r>
    </w:p>
    <w:p>
      <w:r>
        <w:t>Retrospektive Kohortenstudie untersuchte, wie Erreichbarkeit und Verfügbarkeit von Hausarztpraxen die unangemessene Notfallaufnahmebesuche (12,5% von 135.838 Besuchen) beeinflussen.</w:t>
      </w:r>
    </w:p>
    <w:p>
      <w:r>
        <w:rPr>
          <w:b/>
        </w:rPr>
        <w:t xml:space="preserve">Ergebnis: </w:t>
      </w:r>
      <w:r>
        <w:t>Reisezeit &gt;5 Min zu nächster Praxis erhöhte unangemessene ED-Besuche um 13–24%, Reisedistanz &gt;1 km um 10–33%. Mehr als 3 Praxen im 1-km-Radius reduzierten unangemessene Besuche um ≥12%.</w:t>
      </w:r>
    </w:p>
    <w:p>
      <w:r>
        <w:rPr>
          <w:b/>
          <w:sz w:val="19"/>
        </w:rPr>
        <w:t xml:space="preserve">Übertragbarkeit: </w:t>
      </w:r>
      <w:r>
        <w:rPr>
          <w:sz w:val="19"/>
        </w:rPr>
        <w:t>Singapur, aber Fragestellung systemunabhängig zur Primärversorgung</w:t>
      </w:r>
    </w:p>
    <w:p>
      <w:r>
        <w:rPr>
          <w:color w:val="5A7D3A"/>
          <w:sz w:val="18"/>
        </w:rPr>
        <w:t>https://pubmed.ncbi.nlm.nih.gov/42839708/</w:t>
      </w:r>
    </w:p>
    <w:p>
      <w:pPr>
        <w:pStyle w:val="Heading2"/>
      </w:pPr>
      <w:r>
        <w:t>Ärzt- und Praxis-Level-Variation in Studienteilnahme bei Krebs</w:t>
      </w:r>
    </w:p>
    <w:p>
      <w:r>
        <w:rPr>
          <w:i/>
          <w:color w:val="666666"/>
          <w:sz w:val="18"/>
        </w:rPr>
        <w:t>Jiang C et al.  ·  JAMA Netw Open  ·  01.10.2026  ·  PMID 42837155</w:t>
      </w:r>
    </w:p>
    <w:p>
      <w:r>
        <w:t>Kohortenstudie von 205.743 Patienten mit fortgeschrittenem Krebs (2011–2024) zur Klinische-Studien-Teilnahme in 1.664 Arzt-Praxen, 107 Zentren (Flatiron-Daten).</w:t>
      </w:r>
    </w:p>
    <w:p>
      <w:r>
        <w:rPr>
          <w:b/>
        </w:rPr>
        <w:t xml:space="preserve">Ergebnis: </w:t>
      </w:r>
      <w:r>
        <w:t>Studienteilnahme 5,2% (2011: 3,9%, 2024: 6,8%). 23,4% Ärzte mit 83,6% Einschlüssen; 19,6% Praxen mit 80,5% der Patienten. Arzt- (12,3%) und Praxis-Level (15,1%) erklären mehr Variation als beobachtbare Patientenfaktoren (11,4%).</w:t>
      </w:r>
    </w:p>
    <w:p>
      <w:r>
        <w:rPr>
          <w:b/>
          <w:sz w:val="19"/>
        </w:rPr>
        <w:t xml:space="preserve">Übertragbarkeit: </w:t>
      </w:r>
      <w:r>
        <w:rPr>
          <w:sz w:val="19"/>
        </w:rPr>
        <w:t>USA, aber Fragestellung zu System- und Anbieter-Barrieren in der Forschung systemunabhängig</w:t>
      </w:r>
    </w:p>
    <w:p>
      <w:r>
        <w:rPr>
          <w:color w:val="5A7D3A"/>
          <w:sz w:val="18"/>
        </w:rPr>
        <w:t>https://pubmed.ncbi.nlm.nih.gov/42837155/</w:t>
      </w:r>
    </w:p>
    <w:p>
      <w:pPr>
        <w:pStyle w:val="Heading2"/>
      </w:pPr>
      <w:r>
        <w:t>Person-zentrierte Demenzpflege durch Coaching umsetzen</w:t>
      </w:r>
    </w:p>
    <w:p>
      <w:r>
        <w:rPr>
          <w:i/>
          <w:color w:val="666666"/>
          <w:sz w:val="18"/>
        </w:rPr>
        <w:t>Moczygemba W et al.  ·  Gerontologist  ·  03.10.2026  ·  PMID 42830447</w:t>
      </w:r>
    </w:p>
    <w:p>
      <w:r>
        <w:t>Pre-post-Studie zur Implementierung des Care Community Coaching Program (CCCP) in 38 Langzeitpflegeeinrichtungen Ohios zur Umsetzung von Dementia Care Practice Recommendations.</w:t>
      </w:r>
    </w:p>
    <w:p>
      <w:r>
        <w:rPr>
          <w:b/>
        </w:rPr>
        <w:t xml:space="preserve">Ergebnis: </w:t>
      </w:r>
      <w:r>
        <w:t>Signifikante Verbesserungen in 8 von 9 Leitlinien-Bereichen für personenzentrierte Versorgung; Baseline-Implementationsrate 61,8%, Arbeitskräfte-Praktiken 78,3%. Barriers und Facilitators dokumentiert.</w:t>
      </w:r>
    </w:p>
    <w:p>
      <w:r>
        <w:rPr>
          <w:b/>
          <w:sz w:val="19"/>
        </w:rPr>
        <w:t xml:space="preserve">Übertragbarkeit: </w:t>
      </w:r>
      <w:r>
        <w:rPr>
          <w:sz w:val="19"/>
        </w:rPr>
        <w:t>USA, aber Fragestellung zur Implementierungsforschung systemübergreifend relevant</w:t>
      </w:r>
    </w:p>
    <w:p>
      <w:r>
        <w:rPr>
          <w:color w:val="5A7D3A"/>
          <w:sz w:val="18"/>
        </w:rPr>
        <w:t>https://pubmed.ncbi.nlm.nih.gov/42830447/</w:t>
      </w:r>
    </w:p>
    <w:p>
      <w:pPr>
        <w:pStyle w:val="Heading2"/>
      </w:pPr>
      <w:r>
        <w:t>Stressabbau senkt Blutdruck bei Normotensiven</w:t>
      </w:r>
    </w:p>
    <w:p>
      <w:r>
        <w:rPr>
          <w:i/>
          <w:color w:val="666666"/>
          <w:sz w:val="18"/>
        </w:rPr>
        <w:t>Kamijima J et al.  ·  J Hum Hypertens  ·  03.10.2026  ·  PMID 42829395</w:t>
      </w:r>
    </w:p>
    <w:p>
      <w:r>
        <w:t>Systematisches Review und Metaanalyse von 22 RCTs (n=3.089) zu Stressmanagement-Interventionen und Blutdruckveränderungen bei gesunden Erwachsenen ohne Hypertonie.</w:t>
      </w:r>
    </w:p>
    <w:p>
      <w:r>
        <w:rPr>
          <w:b/>
        </w:rPr>
        <w:t xml:space="preserve">Ergebnis: </w:t>
      </w:r>
      <w:r>
        <w:t>Mind-Body-Übung: −2,17 mmHg systolisch (95% KI −3,29 bis −1,05), −1,69 mmHg diastolisch; Meditation: −1,49/−1,00 mmHg; Relaxation: −4,76/−1,71 mmHg. Primärprävention möglich.</w:t>
      </w:r>
    </w:p>
    <w:p>
      <w:r>
        <w:rPr>
          <w:b/>
          <w:sz w:val="19"/>
        </w:rPr>
        <w:t xml:space="preserve">Übertragbarkeit: </w:t>
      </w:r>
      <w:r>
        <w:rPr>
          <w:sz w:val="19"/>
        </w:rPr>
        <w:t>Internationale Datenbasis, systemunabhängige Fragestellung zu Prävention</w:t>
      </w:r>
    </w:p>
    <w:p>
      <w:r>
        <w:rPr>
          <w:color w:val="5A7D3A"/>
          <w:sz w:val="18"/>
        </w:rPr>
        <w:t>https://pubmed.ncbi.nlm.nih.gov/42829395/</w:t>
      </w:r>
    </w:p>
    <w:p>
      <w:pPr>
        <w:pStyle w:val="Heading2"/>
      </w:pPr>
      <w:r>
        <w:t>Verweildauer bei Mundkrebs in Deutschland</w:t>
      </w:r>
    </w:p>
    <w:p>
      <w:r>
        <w:rPr>
          <w:i/>
          <w:color w:val="666666"/>
          <w:sz w:val="18"/>
        </w:rPr>
        <w:t>Cirkel LL et al.  ·  Reports (MDPI)  ·  02.09.2026  ·  PMID 42784021</w:t>
      </w:r>
    </w:p>
    <w:p>
      <w:r>
        <w:t>Retrospektive Multizenter-Analyse von 3.957 Krebshospitalisierungen (2019–2024) aus 34 deutschen Krankenhäusern zu Verweildauer und Einflussfaktoren.</w:t>
      </w:r>
    </w:p>
    <w:p>
      <w:r>
        <w:rPr>
          <w:b/>
        </w:rPr>
        <w:t xml:space="preserve">Ergebnis: </w:t>
      </w:r>
      <w:r>
        <w:t>Mediane Verweildauer 6 Tage (IQR 3–13), Mittel 10,2 Tage. 49,4% ≥7 Tage, 23,5% ≥14 Tage. Alter &gt;80 Jahre: Rate Ratio 1,17 (95% KI 1,13–1,21); hohe Komorbiditätslast: RR 1,58 (1,54–1,63); Bluttransfusion RR 1,80, komplexe Intensivbehandlung RR 1,70.</w:t>
      </w:r>
    </w:p>
    <w:p>
      <w:r>
        <w:rPr>
          <w:b/>
          <w:sz w:val="19"/>
        </w:rPr>
        <w:t xml:space="preserve">Übertragbarkeit: </w:t>
      </w:r>
      <w:r>
        <w:rPr>
          <w:sz w:val="19"/>
        </w:rPr>
        <w:t>Deutsche Routinedaten, 49 Krankenhäuser, direkt übertragbar</w:t>
      </w:r>
    </w:p>
    <w:p>
      <w:r>
        <w:rPr>
          <w:color w:val="5A7D3A"/>
          <w:sz w:val="18"/>
        </w:rPr>
        <w:t>https://pubmed.ncbi.nlm.nih.gov/42784021/</w:t>
      </w:r>
    </w:p>
    <w:p>
      <w:pPr>
        <w:pStyle w:val="Heading1"/>
      </w:pPr>
      <w:r>
        <w:t>Aufgenommen am 07.10.2026</w:t>
      </w:r>
    </w:p>
    <w:p>
      <w:pPr>
        <w:pStyle w:val="Heading2"/>
      </w:pPr>
      <w:r>
        <w:t>Reisebelastungen bei Methadon-Ambulanzbesuchen</w:t>
      </w:r>
    </w:p>
    <w:p>
      <w:r>
        <w:rPr>
          <w:i/>
          <w:color w:val="666666"/>
          <w:sz w:val="18"/>
        </w:rPr>
        <w:t>Austin EJ et al.  ·  JAMA Netw Open  ·  01.10.2026  ·  PMID 42837152</w:t>
      </w:r>
    </w:p>
    <w:p>
      <w:r>
        <w:t>Mixed-Methods-Studie (Befragung + qualitative Interviews) zu Reiseerfahrungen von 98 Patienten an Opioid-Behandlungsprogrammen in Washington State.</w:t>
      </w:r>
    </w:p>
    <w:p>
      <w:r>
        <w:rPr>
          <w:b/>
        </w:rPr>
        <w:t xml:space="preserve">Ergebnis: </w:t>
      </w:r>
      <w:r>
        <w:t>Mittlere Reisedauer 82,5 Min (Spannweite 10–330 Min) und durchschnittliche Kosten 15,80 USD pro Besuch. 55,1% fuhren selbst, 21,4% wurden gefahren, 12,3% nutzten ÖPNV. Kernproblem: Unpredictable Wartezeiten und Konflikte mit Beruf/Familie beeinträchtigen Adhärenz.</w:t>
      </w:r>
    </w:p>
    <w:p>
      <w:r>
        <w:rPr>
          <w:b/>
          <w:sz w:val="19"/>
        </w:rPr>
        <w:t xml:space="preserve">Übertragbarkeit: </w:t>
      </w:r>
      <w:r>
        <w:rPr>
          <w:sz w:val="19"/>
        </w:rPr>
        <w:t>USA-Kontext, aber Problematik der Behandlungszugang für marginalisierte Gruppen systemübergreifend</w:t>
      </w:r>
    </w:p>
    <w:p>
      <w:r>
        <w:rPr>
          <w:color w:val="5A7D3A"/>
          <w:sz w:val="18"/>
        </w:rPr>
        <w:t>https://pubmed.ncbi.nlm.nih.gov/42837152/</w:t>
      </w:r>
    </w:p>
    <w:p>
      <w:pPr>
        <w:pStyle w:val="Heading2"/>
      </w:pPr>
      <w:r>
        <w:t>Palliative care in chronic heart failure in the Netherlands</w:t>
      </w:r>
    </w:p>
    <w:p>
      <w:r>
        <w:rPr>
          <w:i/>
          <w:color w:val="666666"/>
          <w:sz w:val="18"/>
        </w:rPr>
        <w:t>Aertsen-van der Kuip MSA et al.  ·  Neth Heart J  ·  06.10.2026  ·  PMID 42837105</w:t>
      </w:r>
    </w:p>
    <w:p>
      <w:r>
        <w:t>Befragung von 120 niederländischen Fachleuten zur Implementierung von Palliativversorgung und Advance Care Planning bei chronischer Herzinsuffizienz.</w:t>
      </w:r>
    </w:p>
    <w:p>
      <w:r>
        <w:rPr>
          <w:b/>
        </w:rPr>
        <w:t xml:space="preserve">Ergebnis: </w:t>
      </w:r>
      <w:r>
        <w:t>97% der Fachleute bewerteten Palliativversorgung als (sehr) wichtig, aber nur etwa ein Drittel bot diese regelmäßig an. 78% konnten Palliativbedarf erkennen, nur 23% fühlten sich ausreichend qualifiziert. Hauptprobleme: fehlende Fähigkeiten und Zeitmangel.</w:t>
      </w:r>
    </w:p>
    <w:p>
      <w:r>
        <w:rPr>
          <w:b/>
          <w:sz w:val="19"/>
        </w:rPr>
        <w:t xml:space="preserve">Übertragbarkeit: </w:t>
      </w:r>
      <w:r>
        <w:rPr>
          <w:sz w:val="19"/>
        </w:rPr>
        <w:t>Niederlande, Sozialversicherungssystem, direkt übertragbar auf Deutschland</w:t>
      </w:r>
    </w:p>
    <w:p>
      <w:r>
        <w:rPr>
          <w:color w:val="5A7D3A"/>
          <w:sz w:val="18"/>
        </w:rPr>
        <w:t>https://pubmed.ncbi.nlm.nih.gov/42837105/</w:t>
      </w:r>
    </w:p>
    <w:p>
      <w:pPr>
        <w:pStyle w:val="Heading2"/>
      </w:pPr>
      <w:r>
        <w:t>Unterversorgung mit Kompressionstherapie bei Ulcus cruris venosum</w:t>
      </w:r>
    </w:p>
    <w:p>
      <w:r>
        <w:rPr>
          <w:i/>
          <w:color w:val="666666"/>
          <w:sz w:val="18"/>
        </w:rPr>
        <w:t>Stücker M et al.  ·  Int Wound J  ·  Okt. 2026  ·  PMID 42834577</w:t>
      </w:r>
    </w:p>
    <w:p>
      <w:r>
        <w:t>Retrospektive Kohortenanalyse von Routinedaten von 3,35 Millionen Versicherten zu Häufigkeit und Determinanten der Kompressionstherapie bei venösen Beindoloren und Ulzera.</w:t>
      </w:r>
    </w:p>
    <w:p>
      <w:r>
        <w:rPr>
          <w:b/>
        </w:rPr>
        <w:t xml:space="preserve">Ergebnis: </w:t>
      </w:r>
      <w:r>
        <w:t>Prävalenz: 0,50% für Ulcus cruris venosum (n=16.615), 7,27% für chronische Venenerkrankung (n=243.681). Über 5 Jahre: 75,85% mit Ulcus erhielten Kompression, aber 24,15% nicht – obwohl Kompression leitliniengerecht ist. Multimorbidität war höher bei Behandelten.</w:t>
      </w:r>
    </w:p>
    <w:p>
      <w:r>
        <w:rPr>
          <w:b/>
          <w:sz w:val="19"/>
        </w:rPr>
        <w:t xml:space="preserve">Übertragbarkeit: </w:t>
      </w:r>
      <w:r>
        <w:rPr>
          <w:sz w:val="19"/>
        </w:rPr>
        <w:t>Deutsche Routinedaten aus der gesetzlichen Krankenversicherung</w:t>
      </w:r>
    </w:p>
    <w:p>
      <w:r>
        <w:rPr>
          <w:color w:val="5A7D3A"/>
          <w:sz w:val="18"/>
        </w:rPr>
        <w:t>https://pubmed.ncbi.nlm.nih.gov/42834577/</w:t>
      </w:r>
    </w:p>
    <w:p>
      <w:pPr>
        <w:pStyle w:val="Heading2"/>
      </w:pPr>
      <w:r>
        <w:t>Qualität der Pflegeheimversorgung für Veteranen nach Hospitalisierung</w:t>
      </w:r>
    </w:p>
    <w:p>
      <w:r>
        <w:rPr>
          <w:i/>
          <w:color w:val="666666"/>
          <w:sz w:val="18"/>
        </w:rPr>
        <w:t>Burke RE et al.  ·  J Gen Intern Med  ·  30.09.2026  ·  PMID 42816723</w:t>
      </w:r>
    </w:p>
    <w:p>
      <w:r>
        <w:t>Retrospektive Kohortenstudie zur Verfügbarkeit und Nutzung hochqualitativer Pflegeheime (SNF) durch ältere Veteranen nach stationärer Aufnahme.</w:t>
      </w:r>
    </w:p>
    <w:p>
      <w:r>
        <w:rPr>
          <w:b/>
        </w:rPr>
        <w:t xml:space="preserve">Ergebnis: </w:t>
      </w:r>
      <w:r>
        <w:t>Von 926.860 Veteranen ≥66 Jahre nutzten &gt;92% private Medicare-Pflegeheime. Nur 34,4% wählten das bestbewertete SNF in der Nähe, 15,4% wählten das schlechteste. 64,5% hätten Zugang zu höher bewerteten Einrichtungen gehabt; 43,7% zu 5+ besseren Alternativen.</w:t>
      </w:r>
    </w:p>
    <w:p>
      <w:r>
        <w:rPr>
          <w:b/>
          <w:sz w:val="19"/>
        </w:rPr>
        <w:t xml:space="preserve">Übertragbarkeit: </w:t>
      </w:r>
      <w:r>
        <w:rPr>
          <w:sz w:val="19"/>
        </w:rPr>
        <w:t>USA-System, aber Frage der Qualitätssteuerung und Patientenwahl systemübergreifend relevant</w:t>
      </w:r>
    </w:p>
    <w:p>
      <w:r>
        <w:rPr>
          <w:color w:val="5A7D3A"/>
          <w:sz w:val="18"/>
        </w:rPr>
        <w:t>https://pubmed.ncbi.nlm.nih.gov/42816723/</w:t>
      </w:r>
    </w:p>
    <w:p>
      <w:pPr>
        <w:pStyle w:val="Heading2"/>
      </w:pPr>
      <w:r>
        <w:t>Partizipation nach Schlaganfall im jungen Erwachsenenalter</w:t>
      </w:r>
    </w:p>
    <w:p>
      <w:r>
        <w:rPr>
          <w:i/>
          <w:color w:val="666666"/>
          <w:sz w:val="18"/>
        </w:rPr>
        <w:t>Donnelly MR et al.  ·  Am J Occup Ther  ·  30.09.2026  ·  PMID 42813599</w:t>
      </w:r>
    </w:p>
    <w:p>
      <w:r>
        <w:t>Scoping Review von 15 Studien zur Partizipation junger Erwachsener (18–45 Jahre) nach Schlaganfall in Rollen und Aktivitäten des Erwachsenenlebens.</w:t>
      </w:r>
    </w:p>
    <w:p>
      <w:r>
        <w:rPr>
          <w:b/>
        </w:rPr>
        <w:t xml:space="preserve">Ergebnis: </w:t>
      </w:r>
      <w:r>
        <w:t>Schlaganfall führt zu Unterbrechung der beruflichen und sozialen Laufbahn; multi-dimensionale Effekte auf Rollen (Partner, Eltern), Bildung und Karriere. Rehabilitation fokussiert typischerweise auf motorische Funktionen, adressiert aber nicht die entwicklungsspezifischen Bedürfnisse junger Erwachsener.</w:t>
      </w:r>
    </w:p>
    <w:p>
      <w:r>
        <w:rPr>
          <w:b/>
          <w:sz w:val="19"/>
        </w:rPr>
        <w:t xml:space="preserve">Übertragbarkeit: </w:t>
      </w:r>
      <w:r>
        <w:rPr>
          <w:sz w:val="19"/>
        </w:rPr>
        <w:t>Qualitative HSR-Synthese, Erkenntnisse zur Versorgungsplanung systemunabhängig</w:t>
      </w:r>
    </w:p>
    <w:p>
      <w:r>
        <w:rPr>
          <w:color w:val="5A7D3A"/>
          <w:sz w:val="18"/>
        </w:rPr>
        <w:t>https://pubmed.ncbi.nlm.nih.gov/42813599/</w:t>
      </w:r>
    </w:p>
    <w:p>
      <w:pPr>
        <w:pStyle w:val="Heading2"/>
      </w:pPr>
      <w:r>
        <w:t>Atriale Kardiomyopathie und klinische Langzeitfolgen</w:t>
      </w:r>
    </w:p>
    <w:p>
      <w:r>
        <w:rPr>
          <w:i/>
          <w:color w:val="666666"/>
          <w:sz w:val="18"/>
        </w:rPr>
        <w:t>Kazi K et al.  ·  Europace  ·  02.09.2026  ·  PMID 42809232</w:t>
      </w:r>
    </w:p>
    <w:p>
      <w:r>
        <w:t>Kohortenstudie zu Assoziationen zwischen echokardiographischen Merkmalen atrialerKardiomyopathie und Inzidenz von Vorhofflimmern, Herzinsuffizienz und Schlaganfall. (Abstract ohne konkrete Ergebnisse verfügbar)</w:t>
      </w:r>
    </w:p>
    <w:p>
      <w:r>
        <w:rPr>
          <w:b/>
        </w:rPr>
        <w:t xml:space="preserve">Ergebnis: </w:t>
      </w:r>
      <w:r>
        <w:t>Abstract enthält keine benennbaren Zahlen oder Ergebnisse; nur Studiendesign beschrieben. Ausschluss.</w:t>
      </w:r>
    </w:p>
    <w:p>
      <w:r>
        <w:rPr>
          <w:b/>
          <w:sz w:val="19"/>
        </w:rPr>
        <w:t xml:space="preserve">Übertragbarkeit: </w:t>
      </w:r>
      <w:r>
        <w:rPr>
          <w:sz w:val="19"/>
        </w:rPr>
        <w:t>Ausgeschlossen</w:t>
      </w:r>
    </w:p>
    <w:p>
      <w:r>
        <w:rPr>
          <w:color w:val="5A7D3A"/>
          <w:sz w:val="18"/>
        </w:rPr>
        <w:t>https://pubmed.ncbi.nlm.nih.gov/42809232/</w:t>
      </w:r>
    </w:p>
    <w:p>
      <w:pPr>
        <w:pStyle w:val="Heading1"/>
      </w:pPr>
      <w:r>
        <w:t>Aufgenommen am 06.10.2026</w:t>
      </w:r>
    </w:p>
    <w:p>
      <w:pPr>
        <w:pStyle w:val="Heading2"/>
      </w:pPr>
      <w:r>
        <w:t>Zugang zu sexueller und reproduktiver Gesundheit bei Jugendlichen in Mogadischu: Qualitative Studie</w:t>
      </w:r>
    </w:p>
    <w:p>
      <w:r>
        <w:rPr>
          <w:i/>
          <w:color w:val="666666"/>
          <w:sz w:val="18"/>
        </w:rPr>
        <w:t>Asowe HA et al.  ·  Sex Health  ·  20.10.2026  ·  PMID 42833641</w:t>
      </w:r>
    </w:p>
    <w:p>
      <w:r>
        <w:t>Qualitative Mixed-Methods-Studie zu Zugang und Inanspruchnahme von Sexual- und Reproduktionsgesundheits-Dienstleistungen bei Jugendlichen in Mogadischu, Somalia.</w:t>
      </w:r>
    </w:p>
    <w:p>
      <w:r>
        <w:rPr>
          <w:b/>
        </w:rPr>
        <w:t xml:space="preserve">Ergebnis: </w:t>
      </w:r>
      <w:r>
        <w:t>21 Gesundheitseinrichtungen identifiziert, aber Dienste nicht auf Jugendliche zugeschnitten. Hauptbarrieren: Stigma, soziale Normen, Geschlechterdynamiken (männliche Zustimmung erforderlich), finanzielle und logistische Hindernisse. Dringend Bedarf für jugendfreundliche, geschlechtssensible Dienste und Norm-Veränderungsaktivitäten.</w:t>
      </w:r>
    </w:p>
    <w:p>
      <w:r>
        <w:rPr>
          <w:b/>
          <w:sz w:val="19"/>
        </w:rPr>
        <w:t xml:space="preserve">Übertragbarkeit: </w:t>
      </w:r>
      <w:r>
        <w:rPr>
          <w:sz w:val="19"/>
        </w:rPr>
        <w:t>Humanitarian-setting, Systemkontext sehr unterschiedlich, Befunde zu Zugangsbarrieren aber international relevant</w:t>
      </w:r>
    </w:p>
    <w:p>
      <w:r>
        <w:rPr>
          <w:color w:val="5A7D3A"/>
          <w:sz w:val="18"/>
        </w:rPr>
        <w:t>https://pubmed.ncbi.nlm.nih.gov/42833641/</w:t>
      </w:r>
    </w:p>
    <w:p>
      <w:pPr>
        <w:pStyle w:val="Heading2"/>
      </w:pPr>
      <w:r>
        <w:t>Expert Agreement on Palliative Reasoning and Monitoring in Heart Failure: International Delphi Study</w:t>
      </w:r>
    </w:p>
    <w:p>
      <w:r>
        <w:rPr>
          <w:i/>
          <w:color w:val="666666"/>
          <w:sz w:val="18"/>
        </w:rPr>
        <w:t>De Leeuw JCB et al.  ·  J Pain Symptom Manage  ·  05.10.2026  ·  PMID 42833597</w:t>
      </w:r>
    </w:p>
    <w:p>
      <w:r>
        <w:t>Internationale Delphi-Studie zur Etablierung von Expertenkonsens über palliative Versorgung bei Herzinsuffizienz aus neun europäischen Ländern.</w:t>
      </w:r>
    </w:p>
    <w:p>
      <w:r>
        <w:rPr>
          <w:b/>
        </w:rPr>
        <w:t xml:space="preserve">Ergebnis: </w:t>
      </w:r>
      <w:r>
        <w:t>156 Experten (Runde 1) und 121 (Runde 2, 78,1% Retention) erreichten Konsens über alle Schritte der palliativen Versorgung (I-CVI 0,82–0,95). Von 33 Symptomen erreichtenÂ 76% Übereinstimmung zu Relevanz und Formulierung. Monitoring-Instrument für Symptome, Wünsche und Bedarf entwickelt.</w:t>
      </w:r>
    </w:p>
    <w:p>
      <w:r>
        <w:rPr>
          <w:b/>
          <w:sz w:val="19"/>
        </w:rPr>
        <w:t xml:space="preserve">Übertragbarkeit: </w:t>
      </w:r>
      <w:r>
        <w:rPr>
          <w:sz w:val="19"/>
        </w:rPr>
        <w:t>Niederländische/europäische Leitung, neun europäische Länder, systemvergleichbar</w:t>
      </w:r>
    </w:p>
    <w:p>
      <w:r>
        <w:rPr>
          <w:color w:val="5A7D3A"/>
          <w:sz w:val="18"/>
        </w:rPr>
        <w:t>https://pubmed.ncbi.nlm.nih.gov/42833597/</w:t>
      </w:r>
    </w:p>
    <w:p>
      <w:pPr>
        <w:pStyle w:val="Heading2"/>
      </w:pPr>
      <w:r>
        <w:t>FOCUS-Tool zur Priorisierung von Guideline-Empfehlungen für Shared Decision Making</w:t>
      </w:r>
    </w:p>
    <w:p>
      <w:r>
        <w:rPr>
          <w:i/>
          <w:color w:val="666666"/>
          <w:sz w:val="18"/>
        </w:rPr>
        <w:t>Orduhan C et al.  ·  J Clin Epidemiol  ·  05.10.2026  ·  PMID 42833371</w:t>
      </w:r>
    </w:p>
    <w:p>
      <w:r>
        <w:t>Entwicklung und Test des FOCUS-Tools zur systematischen Identifikation von Guideline-Empfehlungen, die sich für Shared Decision Making eignen.</w:t>
      </w:r>
    </w:p>
    <w:p>
      <w:r>
        <w:rPr>
          <w:b/>
        </w:rPr>
        <w:t xml:space="preserve">Ergebnis: </w:t>
      </w:r>
      <w:r>
        <w:t>Fünf Items definiert: (1) multiple Optionen mit unterschiedlichen Nutzen-Schaden-Profilen, (2) Entscheidung mit Auswirkungen, (3) potenzielle Diskrepanz in Werten/Vorlieben, (4) Behandlungslast und finanzielle Aspekte, (5) Unsicherheit der Evidenz. Mittelwerte ≥3,38 auf 5-Punkt-Skala für Verständlichkeit, Anwendbarkeit und Nützlichkeit. 12 Teilnehmer aus acht Ländern, gute Akzeptanz.</w:t>
      </w:r>
    </w:p>
    <w:p>
      <w:r>
        <w:rPr>
          <w:b/>
          <w:sz w:val="19"/>
        </w:rPr>
        <w:t xml:space="preserve">Übertragbarkeit: </w:t>
      </w:r>
      <w:r>
        <w:rPr>
          <w:sz w:val="19"/>
        </w:rPr>
        <w:t>Deutsche Beteiligung, internationale Guideline-Entwicklung, systemunabhängige Methode</w:t>
      </w:r>
    </w:p>
    <w:p>
      <w:r>
        <w:rPr>
          <w:color w:val="5A7D3A"/>
          <w:sz w:val="18"/>
        </w:rPr>
        <w:t>https://pubmed.ncbi.nlm.nih.gov/42833371/</w:t>
      </w:r>
    </w:p>
    <w:p>
      <w:pPr>
        <w:pStyle w:val="Heading2"/>
      </w:pPr>
      <w:r>
        <w:t>National Ovarian Cancer Audit (NOCA) 2026: Qualitätsverbesserung der Ovarialkarzinom-Versorgung</w:t>
      </w:r>
    </w:p>
    <w:p>
      <w:r>
        <w:rPr>
          <w:i/>
          <w:color w:val="666666"/>
          <w:sz w:val="18"/>
        </w:rPr>
        <w:t>Zachou G et al.  ·  Clin Oncol (R Coll Radiol)  ·  10.09.2026  ·  PMID 42828886</w:t>
      </w:r>
    </w:p>
    <w:p>
      <w:r>
        <w:t>Nationale englisch-walisische Auditberichte zu Struktur-, Prozess- und Outcome-Qualität in der Ovarialkarzinom-Behandlung mit Quality-Improvement-Empfehlungen.</w:t>
      </w:r>
    </w:p>
    <w:p>
      <w:r>
        <w:rPr>
          <w:b/>
        </w:rPr>
        <w:t xml:space="preserve">Ergebnis: </w:t>
      </w:r>
      <w:r>
        <w:t>Daten nicht im Abstract verfügbar, aber Audit mit anschließenden Qualitätsverbesserungs-Interventionen durchgeführt. Fokus auf Standardisierung der Versorgung und Reduktion von Variabilität.</w:t>
      </w:r>
    </w:p>
    <w:p>
      <w:r>
        <w:rPr>
          <w:b/>
          <w:sz w:val="19"/>
        </w:rPr>
        <w:t xml:space="preserve">Übertragbarkeit: </w:t>
      </w:r>
      <w:r>
        <w:rPr>
          <w:sz w:val="19"/>
        </w:rPr>
        <w:t>Englisch-walisisches System, aber Audit-Methodologie und Qualitätsziele auf deutsches System übertragbar</w:t>
      </w:r>
    </w:p>
    <w:p>
      <w:r>
        <w:rPr>
          <w:color w:val="5A7D3A"/>
          <w:sz w:val="18"/>
        </w:rPr>
        <w:t>https://pubmed.ncbi.nlm.nih.gov/42828886/</w:t>
      </w:r>
    </w:p>
    <w:p>
      <w:pPr>
        <w:pStyle w:val="Heading2"/>
      </w:pPr>
      <w:r>
        <w:t>Langfristiges Rezidivrisiko nach Hysterektomie zur Prolaps-Behandlung</w:t>
      </w:r>
    </w:p>
    <w:p>
      <w:r>
        <w:rPr>
          <w:i/>
          <w:color w:val="666666"/>
          <w:sz w:val="18"/>
        </w:rPr>
        <w:t>Latack KR et al.  ·  Int Urogynecol J  ·  01.10.2026  ·  PMID 42821111</w:t>
      </w:r>
    </w:p>
    <w:p>
      <w:r>
        <w:t>Retrospektive Versicherungsanspruchsanalyse zu Prolaps-Retreatment nach Hysterektomie bei Prolaps-Diagnose, stratifiziert nach chirurgischem Zugang und Begleitverfahren.</w:t>
      </w:r>
    </w:p>
    <w:p>
      <w:r>
        <w:rPr>
          <w:b/>
        </w:rPr>
        <w:t xml:space="preserve">Ergebnis: </w:t>
      </w:r>
      <w:r>
        <w:t>7017 Patienten (Durchschnittsalter 51,3 Jahre). Concurrent Prolaps-Verfahren in 82%. Nach 24.129 Personenjahren: 399 Patienten (5,7%) retreated. Inzidenzrate 16,5 pro 1000 Personenjahre (95% CI 14,9–18,2). Vaginal vs. laparoskopisch: kein signifikanter Unterschied nach Adjustierung (aHR 1,39). Mit Colpopexy: abdominaler Zugang deutlich höheres Risiko.</w:t>
      </w:r>
    </w:p>
    <w:p>
      <w:r>
        <w:rPr>
          <w:b/>
          <w:sz w:val="19"/>
        </w:rPr>
        <w:t xml:space="preserve">Übertragbarkeit: </w:t>
      </w:r>
      <w:r>
        <w:rPr>
          <w:sz w:val="19"/>
        </w:rPr>
        <w:t>US-Versicherungsdaten, aber gynäkologische Fragestellung zur Prozessoptimierung systemunabhängig übertragbar</w:t>
      </w:r>
    </w:p>
    <w:p>
      <w:r>
        <w:rPr>
          <w:color w:val="5A7D3A"/>
          <w:sz w:val="18"/>
        </w:rPr>
        <w:t>https://pubmed.ncbi.nlm.nih.gov/42821111/</w:t>
      </w:r>
    </w:p>
    <w:p>
      <w:pPr>
        <w:pStyle w:val="Heading2"/>
      </w:pPr>
      <w:r>
        <w:t>Nachbarschafts-Umgebung und Präeklampsie-Risiko: Machine-Learning-Analyse</w:t>
      </w:r>
    </w:p>
    <w:p>
      <w:r>
        <w:rPr>
          <w:i/>
          <w:color w:val="666666"/>
          <w:sz w:val="18"/>
        </w:rPr>
        <w:t>Paris CF et al.  ·  Pregnancy (Hoboken)  ·  29.09.2026  ·  PMID 42819622</w:t>
      </w:r>
    </w:p>
    <w:p>
      <w:r>
        <w:t>Matched-Case-Control-Studie mit Machine Learning zur Bestimmung der relativen Bedeutung von Nachbarschaftsfaktoren (soziale Vulnerabilität, gebaute Umgebung) für Präeklampsie-Risiko in Philadelphia.</w:t>
      </w:r>
    </w:p>
    <w:p>
      <w:r>
        <w:rPr>
          <w:b/>
        </w:rPr>
        <w:t xml:space="preserve">Ergebnis: </w:t>
      </w:r>
      <w:r>
        <w:t>18.754 Teilnehmer (4.689 Präeklampsie-Fälle, 14.065 Kontrollen). Drei Nachbarschafts-Gesundheits-Vulnerabilitätsfaktoren am wichtigsten: Prävalenz von Adipositas, hohem Blutdruck und kurzer Schlafdauer bei Erwachsenen. Assoziationen mit Nachbarschafts-Hypertonie-Prävalenz besonders relevant für Präeklampsie-Prävention.</w:t>
      </w:r>
    </w:p>
    <w:p>
      <w:r>
        <w:rPr>
          <w:b/>
          <w:sz w:val="19"/>
        </w:rPr>
        <w:t xml:space="preserve">Übertragbarkeit: </w:t>
      </w:r>
      <w:r>
        <w:rPr>
          <w:sz w:val="19"/>
        </w:rPr>
        <w:t>US-Daten aus Philadelphia, aber sozialstrukturelle Fragestellung und Risiko-Identifikation systemunabhängig relevant</w:t>
      </w:r>
    </w:p>
    <w:p>
      <w:r>
        <w:rPr>
          <w:color w:val="5A7D3A"/>
          <w:sz w:val="18"/>
        </w:rPr>
        <w:t>https://pubmed.ncbi.nlm.nih.gov/42819622/</w:t>
      </w:r>
    </w:p>
    <w:p>
      <w:pPr>
        <w:pStyle w:val="Heading1"/>
      </w:pPr>
      <w:r>
        <w:t>Aufgenommen am 05.10.2026</w:t>
      </w:r>
    </w:p>
    <w:p>
      <w:pPr>
        <w:pStyle w:val="Heading2"/>
      </w:pPr>
      <w:r>
        <w:t>TALK-Debriefing-Methode verbessert Interprofessionalität und Patientensicherheit</w:t>
      </w:r>
    </w:p>
    <w:p>
      <w:r>
        <w:rPr>
          <w:i/>
          <w:color w:val="666666"/>
          <w:sz w:val="18"/>
        </w:rPr>
        <w:t>Targino JSO et al.  ·  J Eval Clin Pract  ·  Okt. 2026  ·  PMID 42829905</w:t>
      </w:r>
    </w:p>
    <w:p>
      <w:r>
        <w:t>Qualitative Aktionsforschung mit 12 Gesundheitsfachpersonen untersuchte Auswirkungen der TALK-Debriefing-Methode auf interprofessionelle Kommunikation und Patientensicherheit in brasilianischer Sekundärversorgung.</w:t>
      </w:r>
    </w:p>
    <w:p>
      <w:r>
        <w:rPr>
          <w:b/>
        </w:rPr>
        <w:t xml:space="preserve">Ergebnis: </w:t>
      </w:r>
      <w:r>
        <w:t>TALK-Methode funktionierte als strukturierendes Instrument für reflektive Praxis und reorganisierte interprofessionelle Interaktionen. Teilnehmer berichteten Verbesserungen in Kommunikation, Teamintegration und Versorgungsplanung sowie psychologisch sichere, nicht-punitives Umfeld. Barrieren: Zeitknappheit, Arbeitsbelastung, variable Engagement, begrenzte institutionelle Unterstützung.</w:t>
      </w:r>
    </w:p>
    <w:p>
      <w:r>
        <w:rPr>
          <w:b/>
          <w:sz w:val="19"/>
        </w:rPr>
        <w:t xml:space="preserve">Übertragbarkeit: </w:t>
      </w:r>
      <w:r>
        <w:rPr>
          <w:sz w:val="19"/>
        </w:rPr>
        <w:t>Qualitatives Design, systemunabhängige Fragestellung zu Kommunikation und Teamentwicklung</w:t>
      </w:r>
    </w:p>
    <w:p>
      <w:r>
        <w:rPr>
          <w:color w:val="5A7D3A"/>
          <w:sz w:val="18"/>
        </w:rPr>
        <w:t>https://pubmed.ncbi.nlm.nih.gov/42829905/</w:t>
      </w:r>
    </w:p>
    <w:p>
      <w:pPr>
        <w:pStyle w:val="Heading2"/>
      </w:pPr>
      <w:r>
        <w:t>Ernährungsberatung reduziert Alkoholkonsum bei mild kognitiver Beeinträchtigung</w:t>
      </w:r>
    </w:p>
    <w:p>
      <w:r>
        <w:rPr>
          <w:i/>
          <w:color w:val="666666"/>
          <w:sz w:val="18"/>
        </w:rPr>
        <w:t>Scheuermann JS et al.  ·  BMC Public Health  ·  03.10.2026  ·  PMID 42829430</w:t>
      </w:r>
    </w:p>
    <w:p>
      <w:r>
        <w:t>Sekundäranalyse eines RCT untersuchte, ob Ernährungsberatung (WFPB oder DGE-Richtlinien) den Alkoholkonsum bei 189 Personen mit milder kognitiver Beeinträchtigung über 12 Monate reduziert.</w:t>
      </w:r>
    </w:p>
    <w:p>
      <w:r>
        <w:rPr>
          <w:b/>
        </w:rPr>
        <w:t xml:space="preserve">Ergebnis: </w:t>
      </w:r>
      <w:r>
        <w:t>Beide Interventionen führten zu signifikanter Reduktion des Alkoholkonsums (Cohens d = 0,30 für WFPB; d = 0,39 für DGE). Frauen profitierten substanziell nur von DGE-Beratung (d = 0,33). Höherer Baseline-Alkoholkonsum, höheres Alter und bessere Adhärenz waren Prädiktoren für stärkere Reduktion.</w:t>
      </w:r>
    </w:p>
    <w:p>
      <w:r>
        <w:rPr>
          <w:b/>
          <w:sz w:val="19"/>
        </w:rPr>
        <w:t xml:space="preserve">Übertragbarkeit: </w:t>
      </w:r>
      <w:r>
        <w:rPr>
          <w:sz w:val="19"/>
        </w:rPr>
        <w:t>Deutsche RCT mit deutschen Interventionen (DGE-Richtlinien), Routine-Datenerfassung übertragbar</w:t>
      </w:r>
    </w:p>
    <w:p>
      <w:r>
        <w:rPr>
          <w:color w:val="5A7D3A"/>
          <w:sz w:val="18"/>
        </w:rPr>
        <w:t>https://pubmed.ncbi.nlm.nih.gov/42829430/</w:t>
      </w:r>
    </w:p>
    <w:p>
      <w:pPr>
        <w:pStyle w:val="Heading2"/>
      </w:pPr>
      <w:r>
        <w:t>Telehealth-Coaching für periphere arterielle Verschlusskrankheit kosteneffektiv unter günstigen Bedingungen</w:t>
      </w:r>
    </w:p>
    <w:p>
      <w:r>
        <w:rPr>
          <w:i/>
          <w:color w:val="666666"/>
          <w:sz w:val="18"/>
        </w:rPr>
        <w:t>Heider D et al.  ·  Am J Prev Cardiol  ·  14.07.2026  ·  PMID 42828241</w:t>
      </w:r>
    </w:p>
    <w:p>
      <w:r>
        <w:t>Kosteneffektivitätsanalyse eines 12-Monatigen Telehealth-Coaching- und Remote-Monitoring-Programms (TeGeCoach) für 394 PAD-Patienten basierend auf Krankenkassendaten und Fragebögen.</w:t>
      </w:r>
    </w:p>
    <w:p>
      <w:r>
        <w:rPr>
          <w:b/>
        </w:rPr>
        <w:t xml:space="preserve">Ergebnis: </w:t>
      </w:r>
      <w:r>
        <w:t>Bei WTP-Schwellenwert von 50.000 Euro: ITT 30% Wahrscheinlichkeit kosteneffektiv; mITT 79%; PP 95%. Interventionskosten 672 Euro. Unter PP-Analyse kosteneffektiv, aber ITT-Szenario nicht. Anpassung der Implementierung notwendig.</w:t>
      </w:r>
    </w:p>
    <w:p>
      <w:r>
        <w:rPr>
          <w:b/>
          <w:sz w:val="19"/>
        </w:rPr>
        <w:t xml:space="preserve">Übertragbarkeit: </w:t>
      </w:r>
      <w:r>
        <w:rPr>
          <w:sz w:val="19"/>
        </w:rPr>
        <w:t>Deutsche Krankenversicherungsdaten, praktische Implementierungsfrage für deutsche Versorgung</w:t>
      </w:r>
    </w:p>
    <w:p>
      <w:r>
        <w:rPr>
          <w:color w:val="5A7D3A"/>
          <w:sz w:val="18"/>
        </w:rPr>
        <w:t>https://pubmed.ncbi.nlm.nih.gov/42828241/</w:t>
      </w:r>
    </w:p>
    <w:p>
      <w:pPr>
        <w:pStyle w:val="Heading2"/>
      </w:pPr>
      <w:r>
        <w:t>Wiederholte pulmonale Rehabilitation bei COPD bleibt wirksam trotz kleinerer Gewinne</w:t>
      </w:r>
    </w:p>
    <w:p>
      <w:r>
        <w:rPr>
          <w:i/>
          <w:color w:val="666666"/>
          <w:sz w:val="18"/>
        </w:rPr>
        <w:t>Mohammed J et al.  ·  Can J Respir Ther  ·  30.09.2026  ·  PMID 42828082</w:t>
      </w:r>
    </w:p>
    <w:p>
      <w:r>
        <w:t>Retrospektive Analyse von 429 COPD-Patienten, die zwei Rehabilitationsprogramme (PR1 und PR2) an Ciro (Niederlande) zwischen 2005 und 2022 absolvierten.</w:t>
      </w:r>
    </w:p>
    <w:p>
      <w:r>
        <w:rPr>
          <w:b/>
        </w:rPr>
        <w:t xml:space="preserve">Ergebnis: </w:t>
      </w:r>
      <w:r>
        <w:t>Nach PR1 und PR2 signifikante Verbesserungen: 6MWD (PR1: 37,0 m [29,2–44,8]; PR2: 27,0 m [19,2–34,8]), Quadrizeps-Kraft (PR1: 10,4 Nm; PR2: 8,6 Nm), CAT, SGRQ, HADS und COPM. Gewinne nach PR2 kleiner, aber klinisch bedeutsam. Alle Outcomes zwischen PR1 und PR2 signifikant rückläufig.</w:t>
      </w:r>
    </w:p>
    <w:p>
      <w:r>
        <w:rPr>
          <w:b/>
          <w:sz w:val="19"/>
        </w:rPr>
        <w:t xml:space="preserve">Übertragbarkeit: </w:t>
      </w:r>
      <w:r>
        <w:rPr>
          <w:sz w:val="19"/>
        </w:rPr>
        <w:t>Niederländisches spezialisiertes Rehabilitationszentrum, vergleichbares System, Ergebnisse übertragbar</w:t>
      </w:r>
    </w:p>
    <w:p>
      <w:r>
        <w:rPr>
          <w:color w:val="5A7D3A"/>
          <w:sz w:val="18"/>
        </w:rPr>
        <w:t>https://pubmed.ncbi.nlm.nih.gov/42828082/</w:t>
      </w:r>
    </w:p>
    <w:p>
      <w:pPr>
        <w:pStyle w:val="Heading2"/>
      </w:pPr>
      <w:r>
        <w:t>Theory of Mind: kognitives Endophänotyp bei juveniler myoklonischer Epilepsie?</w:t>
      </w:r>
    </w:p>
    <w:p>
      <w:r>
        <w:rPr>
          <w:i/>
          <w:color w:val="666666"/>
          <w:sz w:val="18"/>
        </w:rPr>
        <w:t>Crespo-Pimentel B et al.  ·  Epilepsia  ·  01.10.2026  ·  PMID 42821310</w:t>
      </w:r>
    </w:p>
    <w:p>
      <w:r>
        <w:t>Prospektive Querschnittsstudie mit 52 Patienten mit juveniler myoklonischer Epilepsie (JME), 13 nicht-betroffenen Geschwistern und 64 gesunden Kontrollen untersuchte soziale Kognition als mögliches Endophänotyp.</w:t>
      </w:r>
    </w:p>
    <w:p>
      <w:r>
        <w:rPr>
          <w:b/>
        </w:rPr>
        <w:t xml:space="preserve">Ergebnis: </w:t>
      </w:r>
      <w:r>
        <w:t>JME-Patienten zeigten reduzierte Leistung bei Aufgaben zu Mentalisieren über Überzeugungen (Faux Pas Test, Reading Mind in the Eyes). Geschwister unterschieden sich nicht signifikant von JME-Patienten oder Kontrollen. Selektive Beeinträchtigung des Mentalisierens über Überzeugungen in JME, aber keine Evidenz für Endophänotyp-Rolle in dieser Stichprobe.</w:t>
      </w:r>
    </w:p>
    <w:p>
      <w:r>
        <w:rPr>
          <w:b/>
          <w:sz w:val="19"/>
        </w:rPr>
        <w:t xml:space="preserve">Übertragbarkeit: </w:t>
      </w:r>
      <w:r>
        <w:rPr>
          <w:sz w:val="19"/>
        </w:rPr>
        <w:t>Österreich-basierte Studie, systemunabhängige neuropsychologische Fragestellung</w:t>
      </w:r>
    </w:p>
    <w:p>
      <w:r>
        <w:rPr>
          <w:color w:val="5A7D3A"/>
          <w:sz w:val="18"/>
        </w:rPr>
        <w:t>https://pubmed.ncbi.nlm.nih.gov/42821310/</w:t>
      </w:r>
    </w:p>
    <w:p>
      <w:pPr>
        <w:pStyle w:val="Heading2"/>
      </w:pPr>
      <w:r>
        <w:t>Schlechte Adhärenz zu evidenzbasierter kardiovaskulärer Prävention bei schweren psychischen Erkrankungen in Norwegen</w:t>
      </w:r>
    </w:p>
    <w:p>
      <w:r>
        <w:rPr>
          <w:i/>
          <w:color w:val="666666"/>
          <w:sz w:val="18"/>
        </w:rPr>
        <w:t>Larsen S et al.  ·  Nord J Psychiatry  ·  30.09.2026  ·  PMID 42813764</w:t>
      </w:r>
    </w:p>
    <w:p>
      <w:r>
        <w:t>Multizenter-Studie mit 230 Patienten (Schizophrenie/bipolare Störung oder Antipsychotika-Nutzer) untersuchte Adhärenz zu evidenzbasierter kardiovaskulärer Prävention mittels Fidelity Scale.</w:t>
      </w:r>
    </w:p>
    <w:p>
      <w:r>
        <w:rPr>
          <w:b/>
        </w:rPr>
        <w:t xml:space="preserve">Ergebnis: </w:t>
      </w:r>
      <w:r>
        <w:t>Seiten zeigten geringe Fidelity-Scores (höher bei Richtlinien als bei Praktiken). Alle Risikofaktoren hochprevalent: tägliches Rauchen/Schnuff 58,1%. Zwischen Fidelity und Patientenergebnissen keine signifikanten Assoziationen nach Adjustierung. Spezialistische Versorgungsanbieter zeigten niedrige Adhärenz zu evidenzbasierter kardiovaskulärer Risikomanagement-Praxis.</w:t>
      </w:r>
    </w:p>
    <w:p>
      <w:r>
        <w:rPr>
          <w:b/>
          <w:sz w:val="19"/>
        </w:rPr>
        <w:t xml:space="preserve">Übertragbarkeit: </w:t>
      </w:r>
      <w:r>
        <w:rPr>
          <w:sz w:val="19"/>
        </w:rPr>
        <w:t>Norwegische spezialisierte psychische Gesundheitsversorgung, vergleichbar mit deutschem System</w:t>
      </w:r>
    </w:p>
    <w:p>
      <w:r>
        <w:rPr>
          <w:color w:val="5A7D3A"/>
          <w:sz w:val="18"/>
        </w:rPr>
        <w:t>https://pubmed.ncbi.nlm.nih.gov/42813764/</w:t>
      </w:r>
    </w:p>
    <w:p>
      <w:pPr>
        <w:pStyle w:val="Heading1"/>
      </w:pPr>
      <w:r>
        <w:t>Aufgenommen am 04.10.2026</w:t>
      </w:r>
    </w:p>
    <w:p>
      <w:pPr>
        <w:pStyle w:val="Heading2"/>
      </w:pPr>
      <w:r>
        <w:t>Längere MOUD-Dauer senkt postpartales Überdosis- und Sterblichkeitsrisiko</w:t>
      </w:r>
    </w:p>
    <w:p>
      <w:r>
        <w:rPr>
          <w:i/>
          <w:color w:val="666666"/>
          <w:sz w:val="18"/>
        </w:rPr>
        <w:t>Kim A et al.  ·  JAMA Netw Open  ·  01.10.2026  ·  PMID 42826020</w:t>
      </w:r>
    </w:p>
    <w:p>
      <w:r>
        <w:t>Retrospektive Kohorte mit Tennessee-Medicaid-Daten zu Schwangerschaften mit Medikamentöser Opioid-Abhängigkeitsbehandlung (MOUD) und postpartalem Überdosis-/Mortalitätsrisiko.</w:t>
      </w:r>
    </w:p>
    <w:p>
      <w:r>
        <w:rPr>
          <w:b/>
        </w:rPr>
        <w:t xml:space="preserve">Ergebnis: </w:t>
      </w:r>
      <w:r>
        <w:t>Unter 9.360 Schwangerschaften betrug die 1-Jahres-Postpartum-Mortalität/-Überdosisrate 1,58% (148 Fälle). Längere MOUD-Dauer während Schwangerschaft assoziiert mit niedrigerem Risiko: adjustierte Hazard Ratio für 132 vs. 1 Tag MOUD-Versorgung 0,52 (95%-KI 0,31–0,88).</w:t>
      </w:r>
    </w:p>
    <w:p>
      <w:r>
        <w:rPr>
          <w:b/>
          <w:sz w:val="19"/>
        </w:rPr>
        <w:t xml:space="preserve">Übertragbarkeit: </w:t>
      </w:r>
      <w:r>
        <w:rPr>
          <w:sz w:val="19"/>
        </w:rPr>
        <w:t>US-Medicaid-Daten; Fragestellung zur kontinuierlichen Opioid-Substitutionsbehandlung systemunabhängig relevant.</w:t>
      </w:r>
    </w:p>
    <w:p>
      <w:r>
        <w:rPr>
          <w:color w:val="5A7D3A"/>
          <w:sz w:val="18"/>
        </w:rPr>
        <w:t>https://pubmed.ncbi.nlm.nih.gov/42826020/</w:t>
      </w:r>
    </w:p>
    <w:p>
      <w:pPr>
        <w:pStyle w:val="Heading2"/>
      </w:pPr>
      <w:r>
        <w:t>Regionale Disparitäten beim direkten Rettungsdienst-Transport zu geriatrischen Notfallstationen</w:t>
      </w:r>
    </w:p>
    <w:p>
      <w:r>
        <w:rPr>
          <w:i/>
          <w:color w:val="666666"/>
          <w:sz w:val="18"/>
        </w:rPr>
        <w:t>Varg S et al.  ·  BMC Geriatr  ·  02.10.2026  ·  PMID 42823763</w:t>
      </w:r>
    </w:p>
    <w:p>
      <w:r>
        <w:t>Schwedische Register-Studie zu geografischen Unterschieden bei direkter Rettungsdienst-Zuweisung älterer Patienten (≥65J.) zu Notaufnahmen versus geriatrischen Spezialstationen.</w:t>
      </w:r>
    </w:p>
    <w:p>
      <w:r>
        <w:rPr>
          <w:b/>
        </w:rPr>
        <w:t xml:space="preserve">Ergebnis: </w:t>
      </w:r>
      <w:r>
        <w:t>Von 8.208 älteren Patienten wurden 7% (603) direkt zu geriatrischen Stationen transportiert. Zwischen Krankenhauseinzugsgebieten stark variierend (4–21%). Nach Adjustierung reduzierte sich Varianz um 41%, aber erhebliche regionale Unterschiede blieben (MOR=1,54).</w:t>
      </w:r>
    </w:p>
    <w:p>
      <w:r>
        <w:rPr>
          <w:b/>
          <w:sz w:val="19"/>
        </w:rPr>
        <w:t xml:space="preserve">Übertragbarkeit: </w:t>
      </w:r>
      <w:r>
        <w:rPr>
          <w:sz w:val="19"/>
        </w:rPr>
        <w:t>Schweden (Steuerfinanzierung); Prozessqualität und Zugangssteuerung in Primärversorgung auf deutsche Kontexte nur eingeschränkt übertragbar.</w:t>
      </w:r>
    </w:p>
    <w:p>
      <w:r>
        <w:rPr>
          <w:color w:val="5A7D3A"/>
          <w:sz w:val="18"/>
        </w:rPr>
        <w:t>https://pubmed.ncbi.nlm.nih.gov/42823763/</w:t>
      </w:r>
    </w:p>
    <w:p>
      <w:pPr>
        <w:pStyle w:val="Heading2"/>
      </w:pPr>
      <w:r>
        <w:t>Aktualisiertes WHO-STEPS-Modul zur Mundhygiene-Surveillance in der Bevölkerung</w:t>
      </w:r>
    </w:p>
    <w:p>
      <w:r>
        <w:rPr>
          <w:i/>
          <w:color w:val="666666"/>
          <w:sz w:val="18"/>
        </w:rPr>
        <w:t>Rendell N et al.  ·  Bull World Health Organ  ·  01.10.2026  ·  PMID 42820175</w:t>
      </w:r>
    </w:p>
    <w:p>
      <w:r>
        <w:t>WHO-Entwicklung eines aktualisierten Moduls zur Routine-Überwachung von Mundhygieneproblemen in Bevölkerungsumfragen zu nichtübertragbaren Erkrankungen.</w:t>
      </w:r>
    </w:p>
    <w:p>
      <w:r>
        <w:rPr>
          <w:b/>
        </w:rPr>
        <w:t xml:space="preserve">Ergebnis: </w:t>
      </w:r>
      <w:r>
        <w:t>Neues STEPS-Modul ergänzt bisherige Selbstangaben durch klinische Bewertungskomponente. Kann von Zahn- und Nicht-Zahnfachpersonal nach kurzer Schulung durchgeführt werden. Praktisch skalierbar zur Schließung persistierender Überwachungslücken.</w:t>
      </w:r>
    </w:p>
    <w:p>
      <w:r>
        <w:rPr>
          <w:b/>
          <w:sz w:val="19"/>
        </w:rPr>
        <w:t xml:space="preserve">Übertragbarkeit: </w:t>
      </w:r>
      <w:r>
        <w:rPr>
          <w:sz w:val="19"/>
        </w:rPr>
        <w:t>WHO-Empfehlung für globale Anwendbarkeit; für deutsche Public-Health-Surveillance relevant.</w:t>
      </w:r>
    </w:p>
    <w:p>
      <w:r>
        <w:rPr>
          <w:color w:val="5A7D3A"/>
          <w:sz w:val="18"/>
        </w:rPr>
        <w:t>https://pubmed.ncbi.nlm.nih.gov/42820175/</w:t>
      </w:r>
    </w:p>
    <w:p>
      <w:pPr>
        <w:pStyle w:val="Heading2"/>
      </w:pPr>
      <w:r>
        <w:t>Standardisierte Entlassungskriterien von Intensivstationen: Pilotimplementierung</w:t>
      </w:r>
    </w:p>
    <w:p>
      <w:r>
        <w:rPr>
          <w:i/>
          <w:color w:val="666666"/>
          <w:sz w:val="18"/>
        </w:rPr>
        <w:t>Hiller M et al.  ·  BMC Health Serv Res  ·  28.09.2026  ·  PMID 42811355</w:t>
      </w:r>
    </w:p>
    <w:p>
      <w:r>
        <w:t>Deutsche prospektive Pilotstudie zur Implementierbarkeit und klinischen Nutzbarkeit eines standardisierten Satzes von ICU-Entlassungskriterien in zwei Kliniken.</w:t>
      </w:r>
    </w:p>
    <w:p>
      <w:r>
        <w:rPr>
          <w:b/>
        </w:rPr>
        <w:t xml:space="preserve">Ergebnis: </w:t>
      </w:r>
      <w:r>
        <w:t>Elf patientenspezifische und organisationsspezifische Kriterien zeigten &gt;80% Completion bei Entlassungsentscheidungen und wurden als Kern-Set definiert. Organisationsspezifische Kriterien sollten je Klinik, Patientengruppen und Empfängerabteilungen angepasst werden.</w:t>
      </w:r>
    </w:p>
    <w:p>
      <w:r>
        <w:rPr>
          <w:b/>
          <w:sz w:val="19"/>
        </w:rPr>
        <w:t xml:space="preserve">Übertragbarkeit: </w:t>
      </w:r>
      <w:r>
        <w:rPr>
          <w:sz w:val="19"/>
        </w:rPr>
        <w:t>Deutsche Routinedaten aus zwei ICU-Stationen; direkt auf deutsches Versorgungssystem übertragbar.</w:t>
      </w:r>
    </w:p>
    <w:p>
      <w:r>
        <w:rPr>
          <w:color w:val="5A7D3A"/>
          <w:sz w:val="18"/>
        </w:rPr>
        <w:t>https://pubmed.ncbi.nlm.nih.gov/42811355/</w:t>
      </w:r>
    </w:p>
    <w:p>
      <w:pPr>
        <w:pStyle w:val="Heading2"/>
      </w:pPr>
      <w:r>
        <w:t>Arbeitgeberperspektiven auf Arbeitsplatzinklusion bei psychischen Erkrankungen</w:t>
      </w:r>
    </w:p>
    <w:p>
      <w:r>
        <w:rPr>
          <w:i/>
          <w:color w:val="666666"/>
          <w:sz w:val="18"/>
        </w:rPr>
        <w:t>Krumm S et al.  ·  BMC Health Serv Res  ·  28.09.2026  ·  PMID 42811348</w:t>
      </w:r>
    </w:p>
    <w:p>
      <w:r>
        <w:t>Qualitative Interview-Studie mit 29 deutschen Arbeitgebern zu Sichtweisen auf Inklusion von Arbeitnehmern mit psychischen Problemen.</w:t>
      </w:r>
    </w:p>
    <w:p>
      <w:r>
        <w:rPr>
          <w:b/>
        </w:rPr>
        <w:t xml:space="preserve">Ergebnis: </w:t>
      </w:r>
      <w:r>
        <w:t>Arbeitgeber beschrieben ambivalente Orientierungen: Normalisierungstrends einerseits, aber Verunsicherung bei Arbeitsorganisation, Teamdynamiken und Vorhersehbarkeit andererseits. Offenbarung, Eigenverantwortung und gegenseitiges Vertrauen wurden als zentral für Unterstützung betont.</w:t>
      </w:r>
    </w:p>
    <w:p>
      <w:r>
        <w:rPr>
          <w:b/>
          <w:sz w:val="19"/>
        </w:rPr>
        <w:t xml:space="preserve">Übertragbarkeit: </w:t>
      </w:r>
      <w:r>
        <w:rPr>
          <w:sz w:val="19"/>
        </w:rPr>
        <w:t>Deutsche Qualitätsstudie; direkt für deutsche Arbeitsmarkt- und Versorgungspolitik relevant.</w:t>
      </w:r>
    </w:p>
    <w:p>
      <w:r>
        <w:rPr>
          <w:color w:val="5A7D3A"/>
          <w:sz w:val="18"/>
        </w:rPr>
        <w:t>https://pubmed.ncbi.nlm.nih.gov/42811348/</w:t>
      </w:r>
    </w:p>
    <w:p>
      <w:pPr>
        <w:pStyle w:val="Heading2"/>
      </w:pPr>
      <w:r>
        <w:t>Radiotherapie-Personalnotstand UK: Reforming der Zertifizierung zur Schließung der Lücke</w:t>
      </w:r>
    </w:p>
    <w:p>
      <w:r>
        <w:rPr>
          <w:i/>
          <w:color w:val="666666"/>
          <w:sz w:val="18"/>
        </w:rPr>
        <w:t>Vulpe H et al.  ·  Eur J Cancer  ·  16.09.2026  ·  PMID 42810149</w:t>
      </w:r>
    </w:p>
    <w:p>
      <w:r>
        <w:t>Politische Analyse zur Personalknappheit in der klinischen Onkologie/Strahlentherapie im UK und Vorschlag für Regulierungsreform zur internationalen Rekrutierung.</w:t>
      </w:r>
    </w:p>
    <w:p>
      <w:r>
        <w:rPr>
          <w:b/>
        </w:rPr>
        <w:t xml:space="preserve">Ergebnis: </w:t>
      </w:r>
      <w:r>
        <w:t>17% Unterbesetzung in klinischer Onkologie heute, 26% prognostiziert bis 2030. UK-Dualausbildung (Radiotherapie + Systemtherapie) behindert Rekrutierung international trainierter Radiation Oncologists aus Systemen mit separaten Fachrichtungen.</w:t>
      </w:r>
    </w:p>
    <w:p>
      <w:r>
        <w:rPr>
          <w:b/>
          <w:sz w:val="19"/>
        </w:rPr>
        <w:t xml:space="preserve">Übertragbarkeit: </w:t>
      </w:r>
      <w:r>
        <w:rPr>
          <w:sz w:val="19"/>
        </w:rPr>
        <w:t>UK-Healthcare-System mit NHS; Regulierungsfragen systemabhängig, aber Workforceplanung grundsätzlich relevant.</w:t>
      </w:r>
    </w:p>
    <w:p>
      <w:r>
        <w:rPr>
          <w:color w:val="5A7D3A"/>
          <w:sz w:val="18"/>
        </w:rPr>
        <w:t>https://pubmed.ncbi.nlm.nih.gov/42810149/</w:t>
      </w:r>
    </w:p>
    <w:p>
      <w:pPr>
        <w:pStyle w:val="Heading2"/>
      </w:pPr>
      <w:r>
        <w:t>Geschlechter- und Diversitätsfaktoren in psychiatrischer Krankenhausbehandlung: Studienprotokoll PSY-DIVER</w:t>
      </w:r>
    </w:p>
    <w:p>
      <w:r>
        <w:rPr>
          <w:i/>
          <w:color w:val="666666"/>
          <w:sz w:val="18"/>
        </w:rPr>
        <w:t>Peters SJ et al.  ·  BMC Psychiatry  ·  24.09.2026  ·  PMID 42806324</w:t>
      </w:r>
    </w:p>
    <w:p>
      <w:r>
        <w:t>Deutsches Studienprotokoll zur Untersuchung von Geschlechts- und Diversitätsfaktoren (Alter, Migration, sexuelle Orientierung, Religion, SES) in der stationären psychiatrischen Versorgung.</w:t>
      </w:r>
    </w:p>
    <w:p>
      <w:r>
        <w:rPr>
          <w:b/>
        </w:rPr>
        <w:t xml:space="preserve">Ergebnis: </w:t>
      </w:r>
      <w:r>
        <w:t>Geplantes Mixed-Methods-Design mit Routinedaten-Analyse (500.000 stationäre Fälle 2015–2024), 31 Interviews und Online-Befragungen, Delphi-Prozess. NLP-gestützte Extraktion von Diversitätsvariablen aus klinischen Texten.</w:t>
      </w:r>
    </w:p>
    <w:p>
      <w:r>
        <w:rPr>
          <w:b/>
          <w:sz w:val="19"/>
        </w:rPr>
        <w:t xml:space="preserve">Übertragbarkeit: </w:t>
      </w:r>
      <w:r>
        <w:rPr>
          <w:sz w:val="19"/>
        </w:rPr>
        <w:t>Deutsche Studienplanung, neun psychiatrische LVR-Kliniken; hochgradig auf deutsches System übertragbar.</w:t>
      </w:r>
    </w:p>
    <w:p>
      <w:r>
        <w:rPr>
          <w:color w:val="5A7D3A"/>
          <w:sz w:val="18"/>
        </w:rPr>
        <w:t>https://pubmed.ncbi.nlm.nih.gov/42806324/</w:t>
      </w:r>
    </w:p>
    <w:p>
      <w:pPr>
        <w:pStyle w:val="Heading1"/>
      </w:pPr>
      <w:r>
        <w:t>Aufgenommen am 03.10.2026</w:t>
      </w:r>
    </w:p>
    <w:p>
      <w:pPr>
        <w:pStyle w:val="Heading2"/>
      </w:pPr>
      <w:r>
        <w:t>Rural medical students in China: nur 23% planen längerfristiges Bleiben im Landdienst</w:t>
      </w:r>
    </w:p>
    <w:p>
      <w:r>
        <w:rPr>
          <w:i/>
          <w:color w:val="666666"/>
          <w:sz w:val="18"/>
        </w:rPr>
        <w:t>Zhang X et al.  ·  BMC Health Serv Res  ·  21.09.2026  ·  PMID 42823771</w:t>
      </w:r>
    </w:p>
    <w:p>
      <w:r>
        <w:t>Qualitative Studie zu Bleibechancen ländlich ausgebildeter Medizinstudierender in chinesischen Stadtgesundheitszentren nach Pflichtdienst.</w:t>
      </w:r>
    </w:p>
    <w:p>
      <w:r>
        <w:rPr>
          <w:b/>
        </w:rPr>
        <w:t xml:space="preserve">Ergebnis: </w:t>
      </w:r>
      <w:r>
        <w:t>Von 26 befragten Studierenden wollten nur 23,1% (6/26) über die vorgeschriebene Dienstzeit hinaus bleiben. Führungsunterstützung erwies sich als prominentester Faktor für Unterschiede zwischen Bleibern und Weggehern. Work-Family-Balance war Erleichterungsfaktor. Karrieremobilitätsmechanismen wurden als unterentwickelt wahrgenommen.</w:t>
      </w:r>
    </w:p>
    <w:p>
      <w:r>
        <w:rPr>
          <w:b/>
          <w:sz w:val="19"/>
        </w:rPr>
        <w:t xml:space="preserve">Übertragbarkeit: </w:t>
      </w:r>
      <w:r>
        <w:rPr>
          <w:sz w:val="19"/>
        </w:rPr>
        <w:t>Nur bedingt: ländliche Kontexte in China; Fachkräftemangel aber global relevant.</w:t>
      </w:r>
    </w:p>
    <w:p>
      <w:r>
        <w:rPr>
          <w:color w:val="5A7D3A"/>
          <w:sz w:val="18"/>
        </w:rPr>
        <w:t>https://pubmed.ncbi.nlm.nih.gov/42823771/</w:t>
      </w:r>
    </w:p>
    <w:p>
      <w:pPr>
        <w:pStyle w:val="Heading2"/>
      </w:pPr>
      <w:r>
        <w:t>Specialist-led interprofessional weaning program reduces failed weaning in high-risk ICU patients</w:t>
      </w:r>
    </w:p>
    <w:p>
      <w:r>
        <w:rPr>
          <w:i/>
          <w:color w:val="666666"/>
          <w:sz w:val="18"/>
        </w:rPr>
        <w:t>Trudzinski FC et al.  ·  Crit Care  ·  30.09.2026  ·  PMID 42823746</w:t>
      </w:r>
    </w:p>
    <w:p>
      <w:r>
        <w:t>Deutsche Studie zur Wirksamkeit eines spezialisierten, interprofessionellen Beatmungsentwöhnungsprogramms bei intensivpflichtigen Patienten mit hohemRisiko.</w:t>
      </w:r>
    </w:p>
    <w:p>
      <w:r>
        <w:rPr>
          <w:b/>
        </w:rPr>
        <w:t xml:space="preserve">Ergebnis: </w:t>
      </w:r>
      <w:r>
        <w:t>In der propensity-score-matched Analyse wiesen Interventionspatienten höhere Quoten erfolgreicher Beatmungsentwöhnung auf (58,3% vs. 46,4%, OR 2,90; 95%-KI 1,61–5,24; p&lt;0,001). Im unadjustierten primären Analyseplan erreichte der Unterschied keine statistische Signifikanz (OR 1,46; p=0,057). Die Machbarkeit wurde demonstriert, mit 16,3% der Patienten in spezialisierte Weaning-Zentren verlegt.</w:t>
      </w:r>
    </w:p>
    <w:p>
      <w:r>
        <w:rPr>
          <w:b/>
          <w:sz w:val="19"/>
        </w:rPr>
        <w:t xml:space="preserve">Übertragbarkeit: </w:t>
      </w:r>
      <w:r>
        <w:rPr>
          <w:sz w:val="19"/>
        </w:rPr>
        <w:t>Deutsche Daten, ICU-Verweildauer und Beatmungsdauer sind zentrale Versorgungsergebnisse.</w:t>
      </w:r>
    </w:p>
    <w:p>
      <w:r>
        <w:rPr>
          <w:color w:val="5A7D3A"/>
          <w:sz w:val="18"/>
        </w:rPr>
        <w:t>https://pubmed.ncbi.nlm.nih.gov/42823746/</w:t>
      </w:r>
    </w:p>
    <w:p>
      <w:pPr>
        <w:pStyle w:val="Heading2"/>
      </w:pPr>
      <w:r>
        <w:t>Globale ökonomische Last der Schizophrenie: 243 Milliarden USD im Jahr 2019</w:t>
      </w:r>
    </w:p>
    <w:p>
      <w:r>
        <w:rPr>
          <w:i/>
          <w:color w:val="666666"/>
          <w:sz w:val="18"/>
        </w:rPr>
        <w:t>Welter LS et al.  ·  Int J Ment Health Syst  ·  29.09.2026  ·  PMID 42823740</w:t>
      </w:r>
    </w:p>
    <w:p>
      <w:r>
        <w:t>Health-Economic-Modeling-Studie zur globalen sozioökonomischen Last der Schizophrenie 2019 über 204 Länder (direkte, indirekte und informale Pflegekosten).</w:t>
      </w:r>
    </w:p>
    <w:p>
      <w:r>
        <w:rPr>
          <w:b/>
        </w:rPr>
        <w:t xml:space="preserve">Ergebnis: </w:t>
      </w:r>
      <w:r>
        <w:t>22,1 Millionen Erwachsene (0,39% Prävalenz) lebten mit Schizophrenie 2019. Gesamtkosten: 243,2 Milliarden USD (Kaufkraftparität): 47% direkte Kosten, 29% indirekt (Produktivitätsverluste), 24% informale Pflege. Obere-Mittel-Länder trugen proportional zu BIP am meisten, Hocheinkommensländer in absoluten und Pro-Kopf-Kosten am meisten. Regionale Heterogenität erheblich.</w:t>
      </w:r>
    </w:p>
    <w:p>
      <w:r>
        <w:rPr>
          <w:b/>
          <w:sz w:val="19"/>
        </w:rPr>
        <w:t xml:space="preserve">Übertragbarkeit: </w:t>
      </w:r>
      <w:r>
        <w:rPr>
          <w:sz w:val="19"/>
        </w:rPr>
        <w:t>Globale Modellierung; für Versorgungsforschung Deutschland relevant zur Kostenlast-Abschätzung.</w:t>
      </w:r>
    </w:p>
    <w:p>
      <w:r>
        <w:rPr>
          <w:color w:val="5A7D3A"/>
          <w:sz w:val="18"/>
        </w:rPr>
        <w:t>https://pubmed.ncbi.nlm.nih.gov/42823740/</w:t>
      </w:r>
    </w:p>
    <w:p>
      <w:pPr>
        <w:pStyle w:val="Heading2"/>
      </w:pPr>
      <w:r>
        <w:t>Muskel-Selbstmanagement und virtuelle Physiotherapie in Saudi-Arabien: Kulturelle Anpassungen erforderlich</w:t>
      </w:r>
    </w:p>
    <w:p>
      <w:r>
        <w:rPr>
          <w:i/>
          <w:color w:val="666666"/>
          <w:sz w:val="18"/>
        </w:rPr>
        <w:t>AlMuhana N et al.  ·  BMC Health Serv Res  ·  28.09.2026  ·  PMID 42823682</w:t>
      </w:r>
    </w:p>
    <w:p>
      <w:r>
        <w:t>Qualitative Studie (8 Fokusgruppen, n=36) zu Muskel-Selbstmanagement und Akzeptanz virtueller Physiotherapie in Saudi-Arabien.</w:t>
      </w:r>
    </w:p>
    <w:p>
      <w:r>
        <w:rPr>
          <w:b/>
        </w:rPr>
        <w:t xml:space="preserve">Ergebnis: </w:t>
      </w:r>
      <w:r>
        <w:t>Patienten praktizieren selbstgesteuertes Management wegen verzögerter professioneller Versorgung. Barrieren: strukturelle, psychologische, relationale Faktoren. Neu: Kulturelle Lücke – Patienten brauchten Anleitung zum Anpassen von Salah (islamisches Gebet) bei Muskelschmerzen. Hybrida Versorgung wurde bevorzugt (virtuelle Nachsorge nach In-Person-Assessment), nicht virtuell von Anfang an.</w:t>
      </w:r>
    </w:p>
    <w:p>
      <w:r>
        <w:rPr>
          <w:b/>
          <w:sz w:val="19"/>
        </w:rPr>
        <w:t xml:space="preserve">Übertragbarkeit: </w:t>
      </w:r>
      <w:r>
        <w:rPr>
          <w:sz w:val="19"/>
        </w:rPr>
        <w:t>Saudi-Arabien; systemische Übertragbarkeit limitiert, aber Befunde zu Selbstmanagement und virtueller Versorgung aussagekräftig.</w:t>
      </w:r>
    </w:p>
    <w:p>
      <w:r>
        <w:rPr>
          <w:color w:val="5A7D3A"/>
          <w:sz w:val="18"/>
        </w:rPr>
        <w:t>https://pubmed.ncbi.nlm.nih.gov/42823682/</w:t>
      </w:r>
    </w:p>
    <w:p>
      <w:pPr>
        <w:pStyle w:val="Heading2"/>
      </w:pPr>
      <w:r>
        <w:t>mHealth-gestützte Integrated Care für ältere Vorhofflimmernpatienten: Kein Vorteil bei optimaler Baseline</w:t>
      </w:r>
    </w:p>
    <w:p>
      <w:r>
        <w:rPr>
          <w:i/>
          <w:color w:val="666666"/>
          <w:sz w:val="18"/>
        </w:rPr>
        <w:t>Lip GYH et al.  ·  Lancet Reg Health Eur  ·  30.08.2026  ·  PMID 42819749</w:t>
      </w:r>
    </w:p>
    <w:p>
      <w:r>
        <w:t>AFFIRMO cluster-RCT in 6 europäischen Ländern zu iABC-System (Integrated Care mit CGA) vs. usual care bei älteren multimorbiden Vorhofflimmernpatienten.</w:t>
      </w:r>
    </w:p>
    <w:p>
      <w:r>
        <w:rPr>
          <w:b/>
        </w:rPr>
        <w:t xml:space="preserve">Ergebnis: </w:t>
      </w:r>
      <w:r>
        <w:t>1.260 Patienten (Alter 74 Jahre, CHA₂DS₂-VASc 4). Primärer Endpunkt ungeplante Hospitalisierung: 17,1% (Intervention) vs. 18,2% (usual care), OR 0,95 (95%-KI 0,61–1,49; p=0,84). App-Nutzung suboptimal (68,5% nur 1/3 der Beobachtungszeit). Günstige Baseline-Compliance (97,3% Antikoagulation).</w:t>
      </w:r>
    </w:p>
    <w:p>
      <w:r>
        <w:rPr>
          <w:b/>
          <w:sz w:val="19"/>
        </w:rPr>
        <w:t xml:space="preserve">Übertragbarkeit: </w:t>
      </w:r>
      <w:r>
        <w:rPr>
          <w:sz w:val="19"/>
        </w:rPr>
        <w:t>Mehrländer-Studie mit europäischem Kontext, aber System steuerfinanziert; begrenzte Übertragbarkeit auf deutsches Sozialversicherungssystem.</w:t>
      </w:r>
    </w:p>
    <w:p>
      <w:r>
        <w:rPr>
          <w:color w:val="5A7D3A"/>
          <w:sz w:val="18"/>
        </w:rPr>
        <w:t>https://pubmed.ncbi.nlm.nih.gov/42819749/</w:t>
      </w:r>
    </w:p>
    <w:p>
      <w:pPr>
        <w:pStyle w:val="Heading2"/>
      </w:pPr>
      <w:r>
        <w:t>Blutbasierte Screening-Programme am Arbeitsplatz: Ökonomische Ergebnisse inkonsistent</w:t>
      </w:r>
    </w:p>
    <w:p>
      <w:r>
        <w:rPr>
          <w:i/>
          <w:color w:val="666666"/>
          <w:sz w:val="18"/>
        </w:rPr>
        <w:t>Swadźba D et al.  ·  BMC Health Serv Res  ·  29.09.2026  ·  PMID 42816856</w:t>
      </w:r>
    </w:p>
    <w:p>
      <w:r>
        <w:t>Systematischer Review (56 Studien, überwiegend US-Beobachtungsdaten) zu wirtschaftlichen und Produktivitätsergebnissen von Workplace-Health-Programmen mit Blutscreening.</w:t>
      </w:r>
    </w:p>
    <w:p>
      <w:r>
        <w:rPr>
          <w:b/>
        </w:rPr>
        <w:t xml:space="preserve">Ergebnis: </w:t>
      </w:r>
      <w:r>
        <w:t>Gesundheitskosten: 21 von 29 Studien zeigten günstige Ergebnisse. Return-on-Investment: einheitlich positiv (20 Studien), ohne Abschwächung mit Studienqualität. Absenteeismus: 23 Studien, inkonsistent. Präsentismus/Fluktuation: selten gemessen. Günstiger Effekt nur bei strukturiert begleiteten Programmen, nicht Screening allein.</w:t>
      </w:r>
    </w:p>
    <w:p>
      <w:r>
        <w:rPr>
          <w:b/>
          <w:sz w:val="19"/>
        </w:rPr>
        <w:t xml:space="preserve">Übertragbarkeit: </w:t>
      </w:r>
      <w:r>
        <w:rPr>
          <w:sz w:val="19"/>
        </w:rPr>
        <w:t>Überwiegend US-Daten; Fragestellung aber systemunabhängig relevant für Betriebliche Gesundheitsförderung.</w:t>
      </w:r>
    </w:p>
    <w:p>
      <w:r>
        <w:rPr>
          <w:color w:val="5A7D3A"/>
          <w:sz w:val="18"/>
        </w:rPr>
        <w:t>https://pubmed.ncbi.nlm.nih.gov/42816856/</w:t>
      </w:r>
    </w:p>
    <w:p>
      <w:pPr>
        <w:pStyle w:val="Heading2"/>
      </w:pPr>
      <w:r>
        <w:t>Palliativmedizin bei fortgeschrittenem Krebs: MA-Versicherte nutzen mehr, aber bekommen weniger Chemotherapie</w:t>
      </w:r>
    </w:p>
    <w:p>
      <w:r>
        <w:rPr>
          <w:i/>
          <w:color w:val="666666"/>
          <w:sz w:val="18"/>
        </w:rPr>
        <w:t>Hu X et al.  ·  JAMA Netw Open  ·  01.09.2026  ·  PMID 42814462</w:t>
      </w:r>
    </w:p>
    <w:p>
      <w:r>
        <w:t>Kohortenstudie mit SEER/Medicare-Daten zu Palliativmedizin-, Systemtherapie- und Hospiz-Nutzung bei fortgeschrittenem Krebs (Mammakarzinom, CRC, Lungenkarzinom, Pankreaskarzinom, Prostatakarzinom) in Medicare Advantage (MA) vs. Traditional Medicare (TM), 2016–2021.</w:t>
      </w:r>
    </w:p>
    <w:p>
      <w:r>
        <w:rPr>
          <w:b/>
        </w:rPr>
        <w:t xml:space="preserve">Ergebnis: </w:t>
      </w:r>
      <w:r>
        <w:t>135.402 Patienten (32,3% MA, 67,7% TM). MA-Patienten: höhere 6-Monats-Kumulativ-Inzidenz Palliativmedizin (13,3% vs. 9,3%; aHR 1,39 [95%-KI 1,35–1,44]; p&lt;0,001), vor allem HMO-Pläne (aHR 1,66). Nach Oncologist-Matching: PA-Unterschied aufgelöst (aHR 1,05; p=0,19), aber MA-Patienten hatten weniger Systemtherapie (−5,4 Prozentpunkte) und mehr Hospiz (+3,4 Prozentpunkte), persistent nach Matching.</w:t>
      </w:r>
    </w:p>
    <w:p>
      <w:r>
        <w:rPr>
          <w:b/>
          <w:sz w:val="19"/>
        </w:rPr>
        <w:t xml:space="preserve">Übertragbarkeit: </w:t>
      </w:r>
      <w:r>
        <w:rPr>
          <w:sz w:val="19"/>
        </w:rPr>
        <w:t>US-Daten; Frage zur Versorgungssteuerung systemabhängig, aber Palliativmedizin-Integration relevant.</w:t>
      </w:r>
    </w:p>
    <w:p>
      <w:r>
        <w:rPr>
          <w:color w:val="5A7D3A"/>
          <w:sz w:val="18"/>
        </w:rPr>
        <w:t>https://pubmed.ncbi.nlm.nih.gov/42814462/</w:t>
      </w:r>
    </w:p>
    <w:p>
      <w:pPr>
        <w:pStyle w:val="Heading1"/>
      </w:pPr>
      <w:r>
        <w:t>Aufgenommen am 02.10.2026</w:t>
      </w:r>
    </w:p>
    <w:p>
      <w:pPr>
        <w:pStyle w:val="Heading2"/>
      </w:pPr>
      <w:r>
        <w:t>Kosteffektivität konservativer Sauerstofftherapie bei beatmeten Intensivpatienten</w:t>
      </w:r>
    </w:p>
    <w:p>
      <w:r>
        <w:rPr>
          <w:i/>
          <w:color w:val="666666"/>
          <w:sz w:val="18"/>
        </w:rPr>
        <w:t>Zhu Z et al.  ·  Value Health  ·  01.10.2026  ·  PMID 42822832</w:t>
      </w:r>
    </w:p>
    <w:p>
      <w:r>
        <w:t>Eine ökonomische Evaluation der UK-ROX-Studie verglich konservative versus übliche Sauerstofftherapie bei invasiv beatmeten Patienten hinsichtlich Kosten, Lebensqualität und QALY-Gewinne über 90 Tage.</w:t>
      </w:r>
    </w:p>
    <w:p>
      <w:r>
        <w:rPr>
          <w:b/>
        </w:rPr>
        <w:t xml:space="preserve">Ergebnis: </w:t>
      </w:r>
      <w:r>
        <w:t>Konservative Sauerstofftherapie war kostensparend (inkrementelle Kosten −968 £, 95% KI −2279–342 £) mit ähnlichen QALY-Gewinnen (inkrementell 0,001, 95% KI −0,002–0,003); das inkrementelle Nettomonetäre Benefit betrug 979 £, beide Schätzungen aber mit erheblicher Unsicherheit.</w:t>
      </w:r>
    </w:p>
    <w:p>
      <w:r>
        <w:rPr>
          <w:b/>
          <w:sz w:val="19"/>
        </w:rPr>
        <w:t xml:space="preserve">Übertragbarkeit: </w:t>
      </w:r>
      <w:r>
        <w:rPr>
          <w:sz w:val="19"/>
        </w:rPr>
        <w:t>UK-Daten; Fragestellung zu ICU-Managementprozessen und Kosteneffektivität systemunabhängig bedeutsam</w:t>
      </w:r>
    </w:p>
    <w:p>
      <w:r>
        <w:rPr>
          <w:color w:val="5A7D3A"/>
          <w:sz w:val="18"/>
        </w:rPr>
        <w:t>https://pubmed.ncbi.nlm.nih.gov/42822832/</w:t>
      </w:r>
    </w:p>
    <w:p>
      <w:pPr>
        <w:pStyle w:val="Heading2"/>
      </w:pPr>
      <w:r>
        <w:t>Sonelokimab bei moderater bis schwerer Hidradenitis suppurativa</w:t>
      </w:r>
    </w:p>
    <w:p>
      <w:r>
        <w:rPr>
          <w:i/>
          <w:color w:val="666666"/>
          <w:sz w:val="18"/>
        </w:rPr>
        <w:t>Kimball AB et al.  ·  J Am Acad Dermatol  ·  01.10.2026  ·  PMID 42822776</w:t>
      </w:r>
    </w:p>
    <w:p>
      <w:r>
        <w:t>Phase-2-Studie (MIRA) zur Wirksamkeit und Sicherheit des IL-17A/F-inhibierenden Nanobody Sonelokimab versus Placebo bei 234 Patienten mit Hidradenitis suppurativa.</w:t>
      </w:r>
    </w:p>
    <w:p>
      <w:r>
        <w:rPr>
          <w:b/>
        </w:rPr>
        <w:t xml:space="preserve">Ergebnis: </w:t>
      </w:r>
      <w:r>
        <w:t>Sonelokimab 120 mg erreichte HiSCR75 bei 43% (p&lt;0,001) und 240 mg bei 35% (p=0,007) versus Placebo 15%; Placebo-adjustierte Response bei Woche 12 und Erhalt oder Verbesserung bis Woche 24; keine neuen Sicherheitssignale.</w:t>
      </w:r>
    </w:p>
    <w:p>
      <w:r>
        <w:rPr>
          <w:b/>
          <w:sz w:val="19"/>
        </w:rPr>
        <w:t xml:space="preserve">Übertragbarkeit: </w:t>
      </w:r>
      <w:r>
        <w:rPr>
          <w:sz w:val="19"/>
        </w:rPr>
        <w:t>Internationale Studie; neue therapeutische Option, Fragestellung zur klinischen Wirksamkeit systemunabhängig</w:t>
      </w:r>
    </w:p>
    <w:p>
      <w:r>
        <w:rPr>
          <w:color w:val="5A7D3A"/>
          <w:sz w:val="18"/>
        </w:rPr>
        <w:t>https://pubmed.ncbi.nlm.nih.gov/42822776/</w:t>
      </w:r>
    </w:p>
    <w:p>
      <w:pPr>
        <w:pStyle w:val="Heading2"/>
      </w:pPr>
      <w:r>
        <w:t>Insulindosierung im Alltag: Kohlenhydratberechnung bei Typ-1-Diabetes</w:t>
      </w:r>
    </w:p>
    <w:p>
      <w:r>
        <w:rPr>
          <w:i/>
          <w:color w:val="666666"/>
          <w:sz w:val="18"/>
        </w:rPr>
        <w:t>Everett EM et al.  ·  Endocr Pract  ·  01.10.2026  ·  PMID 42822598</w:t>
      </w:r>
    </w:p>
    <w:p>
      <w:r>
        <w:t>Versorgungsforschungsstudie mit 903 Erwachsenen mit Typ-1-Diabetes zur Charakterisierung realer Insulindosierungsstrategien, Abweichungen zwischen Patientenangaben und dokumentierten Vorgaben sowie Nutzung von Smartphone-Apps zur Kohlenhydratberechnung.</w:t>
      </w:r>
    </w:p>
    <w:p>
      <w:r>
        <w:rPr>
          <w:b/>
        </w:rPr>
        <w:t xml:space="preserve">Ergebnis: </w:t>
      </w:r>
      <w:r>
        <w:t>54% berichteten Kohlenhydratberechnung, 39% erfahrungsbasierte Schätzung, 2% Festdosierung; HbA1c unterschied sich nicht zwischen Strategien; 51% nutzten Apps niemals; Hauptbarrieren waren Memorisation häufiger Lebensmittel und wahrgenommene Zeitbelastung.</w:t>
      </w:r>
    </w:p>
    <w:p>
      <w:r>
        <w:rPr>
          <w:b/>
          <w:sz w:val="19"/>
        </w:rPr>
        <w:t xml:space="preserve">Übertragbarkeit: </w:t>
      </w:r>
      <w:r>
        <w:rPr>
          <w:sz w:val="19"/>
        </w:rPr>
        <w:t>USA, aber Versorgungsforschung zu praktischen Diabetesmanagement-Strategien und Patient-Reported-Outcomes übertragbar</w:t>
      </w:r>
    </w:p>
    <w:p>
      <w:r>
        <w:rPr>
          <w:color w:val="5A7D3A"/>
          <w:sz w:val="18"/>
        </w:rPr>
        <w:t>https://pubmed.ncbi.nlm.nih.gov/42822598/</w:t>
      </w:r>
    </w:p>
    <w:p>
      <w:pPr>
        <w:pStyle w:val="Heading2"/>
      </w:pPr>
      <w:r>
        <w:t>Virtual Nursing in der Notaufnahme: Dokumentation und Unterbrechungen</w:t>
      </w:r>
    </w:p>
    <w:p>
      <w:r>
        <w:rPr>
          <w:i/>
          <w:color w:val="666666"/>
          <w:sz w:val="18"/>
        </w:rPr>
        <w:t>Khairat S et al.  ·  J Am Med Inform Assoc  ·  01.10.2026  ·  PMID 42821433</w:t>
      </w:r>
    </w:p>
    <w:p>
      <w:r>
        <w:t>Nicht-randomisierte Kohortenstudie zur Auswirkung von Virtual Nursing auf Dokumentationsvollständigkeit, Aufnahmeuntersuchungsdauer und Arbeitsunterbrechungen bei stationär aufgenommenen Patienten.</w:t>
      </w:r>
    </w:p>
    <w:p>
      <w:r>
        <w:rPr>
          <w:b/>
        </w:rPr>
        <w:t xml:space="preserve">Ergebnis: </w:t>
      </w:r>
      <w:r>
        <w:t>Virtual Nursing war mit 3,16 Minuten längerer Aufnahmedauer verbunden, aber signifikant mehr abgeschlossenen Aufnahmeuntersuchungsaufgaben und signifikant weniger Unterbrechungen im Vergleich zu persönlichen Aufnahmen.</w:t>
      </w:r>
    </w:p>
    <w:p>
      <w:r>
        <w:rPr>
          <w:b/>
          <w:sz w:val="19"/>
        </w:rPr>
        <w:t xml:space="preserve">Übertragbarkeit: </w:t>
      </w:r>
      <w:r>
        <w:rPr>
          <w:sz w:val="19"/>
        </w:rPr>
        <w:t>USA; Versorgungsprozess und Workflow-Optimierung systemunabhängig relevant</w:t>
      </w:r>
    </w:p>
    <w:p>
      <w:r>
        <w:rPr>
          <w:color w:val="5A7D3A"/>
          <w:sz w:val="18"/>
        </w:rPr>
        <w:t>https://pubmed.ncbi.nlm.nih.gov/42821433/</w:t>
      </w:r>
    </w:p>
    <w:p>
      <w:pPr>
        <w:pStyle w:val="Heading2"/>
      </w:pPr>
      <w:r>
        <w:t>Tuberkulöse Spondylodiszitis in Deutschland: Epidemiologie und Verlauf</w:t>
      </w:r>
    </w:p>
    <w:p>
      <w:r>
        <w:rPr>
          <w:i/>
          <w:color w:val="666666"/>
          <w:sz w:val="18"/>
        </w:rPr>
        <w:t>Lang S et al.  ·  Global Spine J  ·  01.10.2026  ·  PMID 42820646</w:t>
      </w:r>
    </w:p>
    <w:p>
      <w:r>
        <w:t>Bevölkerungsgestützte DRG-Analyse zur stationären Last, Behandlungsmuster und Krankenhaussterblichkeit der spinalen Tuberkulose in Deutschland 2019–2025 während demografischen Wandels.</w:t>
      </w:r>
    </w:p>
    <w:p>
      <w:r>
        <w:rPr>
          <w:b/>
        </w:rPr>
        <w:t xml:space="preserve">Ergebnis: </w:t>
      </w:r>
      <w:r>
        <w:t>Stabile Hospitalisierungsraten (ASR 0,11–0,14/100.000; APC −3,1%, p=0,14); überwiegend männliche Patienten (70,3%), Alter 18–39 Jahre (56–69%); Krankenhausfallletalität &lt;0,5%; keine Erhöhung trotz 43% Anstieg der ausländischen Bevölkerung; operative DRG-Zuweisung variabel (13,5–42,2%).</w:t>
      </w:r>
    </w:p>
    <w:p>
      <w:r>
        <w:rPr>
          <w:b/>
          <w:sz w:val="19"/>
        </w:rPr>
        <w:t xml:space="preserve">Übertragbarkeit: </w:t>
      </w:r>
      <w:r>
        <w:rPr>
          <w:sz w:val="19"/>
        </w:rPr>
        <w:t>Deutsche Routinedaten; epidemiologisch und systemisch direkt anwendbar</w:t>
      </w:r>
    </w:p>
    <w:p>
      <w:r>
        <w:rPr>
          <w:color w:val="5A7D3A"/>
          <w:sz w:val="18"/>
        </w:rPr>
        <w:t>https://pubmed.ncbi.nlm.nih.gov/42820646/</w:t>
      </w:r>
    </w:p>
    <w:p>
      <w:pPr>
        <w:pStyle w:val="Heading2"/>
      </w:pPr>
      <w:r>
        <w:t>Psychische Anpassung an Stigma bei Hauterkrankungen im jungen Erwachsenenalter</w:t>
      </w:r>
    </w:p>
    <w:p>
      <w:r>
        <w:rPr>
          <w:i/>
          <w:color w:val="666666"/>
          <w:sz w:val="18"/>
        </w:rPr>
        <w:t>Stuhlmann CFZ et al.  ·  Br J Health Psychol  ·  Nov. 2026  ·  PMID 42820641</w:t>
      </w:r>
    </w:p>
    <w:p>
      <w:r>
        <w:t>Querschnittstudie mit 195 jungen Erwachsenen (Psoriasis 55%, atopische Dermatitis 23%, Hidradenitis suppurativa 22%) zu indirekten Effekten internalisierter Stigma in der Beziehung zwischen sozialer Stigma und psychosozialer Anpassung.</w:t>
      </w:r>
    </w:p>
    <w:p>
      <w:r>
        <w:rPr>
          <w:b/>
        </w:rPr>
        <w:t xml:space="preserve">Ergebnis: </w:t>
      </w:r>
      <w:r>
        <w:t>Signifikante indirekte Effekte internalisierter Stigma auf Beziehungen zwischen sozialer Stigma und allen Anpassungsergebnissen (p's&lt;0,01, R²=0,10–0,64); internalisierte Stigma als zentraler Treiber psychischer Belastung, Sozialsymptome und Aktivitätsreduktion.</w:t>
      </w:r>
    </w:p>
    <w:p>
      <w:r>
        <w:rPr>
          <w:b/>
          <w:sz w:val="19"/>
        </w:rPr>
        <w:t xml:space="preserve">Übertragbarkeit: </w:t>
      </w:r>
      <w:r>
        <w:rPr>
          <w:sz w:val="19"/>
        </w:rPr>
        <w:t>Deutschland (Hamburg); hochgradig übertragbar auf deutsches Versorgungssystem</w:t>
      </w:r>
    </w:p>
    <w:p>
      <w:r>
        <w:rPr>
          <w:color w:val="5A7D3A"/>
          <w:sz w:val="18"/>
        </w:rPr>
        <w:t>https://pubmed.ncbi.nlm.nih.gov/42820641/</w:t>
      </w:r>
    </w:p>
    <w:p>
      <w:pPr>
        <w:pStyle w:val="Heading1"/>
      </w:pPr>
      <w:r>
        <w:t>Aufgenommen am 01.10.2026</w:t>
      </w:r>
    </w:p>
    <w:p>
      <w:pPr>
        <w:pStyle w:val="Heading2"/>
      </w:pPr>
      <w:r>
        <w:t>Psychometric validation of German Self-efficacy Scale in hip arthroplasty patients</w:t>
      </w:r>
    </w:p>
    <w:p>
      <w:r>
        <w:rPr>
          <w:i/>
          <w:color w:val="666666"/>
          <w:sz w:val="18"/>
        </w:rPr>
        <w:t>Mooiweer Y et al.  ·  Z Evid Fortbild Qual Gesundhwes  ·  30.09.2026  ·  PMID 42816197</w:t>
      </w:r>
    </w:p>
    <w:p>
      <w:r>
        <w:t>Studie validierte die German Self-efficacy Expectation Scale (SES-G) als Messinstrument für Selbsteffizienz bei Patienten mit Hüftgelenksersatz.</w:t>
      </w:r>
    </w:p>
    <w:p>
      <w:r>
        <w:rPr>
          <w:b/>
        </w:rPr>
        <w:t xml:space="preserve">Ergebnis: </w:t>
      </w:r>
      <w:r>
        <w:t>Exploratory Faktor-Analyse zeigte 3 Komponenten, erklärt 75% der Varianz; interne Konsistenz (MacDonald's Omega = 0,81) und Test-Retest-Reliabilität (ICC 0,71) waren gut; 80% der Hypothesen zur Konstruktvalidität bestätigt. SES-G ist valides und reliables Instrument.</w:t>
      </w:r>
    </w:p>
    <w:p>
      <w:r>
        <w:rPr>
          <w:b/>
          <w:sz w:val="19"/>
        </w:rPr>
        <w:t xml:space="preserve">Übertragbarkeit: </w:t>
      </w:r>
      <w:r>
        <w:rPr>
          <w:sz w:val="19"/>
        </w:rPr>
        <w:t>Deutschland, validierte Messskala für deutschsprachige Patienten</w:t>
      </w:r>
    </w:p>
    <w:p>
      <w:r>
        <w:rPr>
          <w:color w:val="5A7D3A"/>
          <w:sz w:val="18"/>
        </w:rPr>
        <w:t>https://pubmed.ncbi.nlm.nih.gov/42816197/</w:t>
      </w:r>
    </w:p>
    <w:p>
      <w:pPr>
        <w:pStyle w:val="Heading2"/>
      </w:pPr>
      <w:r>
        <w:t>Quality improvement für Familienplanung im Wochenbett in Äthiopien</w:t>
      </w:r>
    </w:p>
    <w:p>
      <w:r>
        <w:rPr>
          <w:i/>
          <w:color w:val="666666"/>
          <w:sz w:val="18"/>
        </w:rPr>
        <w:t>Tesfaye B et al.  ·  BMJ Open Qual  ·  30.09.2026  ·  PMID 42816055</w:t>
      </w:r>
    </w:p>
    <w:p>
      <w:r>
        <w:t>Qualitätsverbesserungsprojekt mit PDSA-Zyklen zur Steigerung der unmittelbaren postpartalen Familienplanung in einem äthiopischen Lehrkrankenhaus.</w:t>
      </w:r>
    </w:p>
    <w:p>
      <w:r>
        <w:rPr>
          <w:b/>
        </w:rPr>
        <w:t xml:space="preserve">Ergebnis: </w:t>
      </w:r>
      <w:r>
        <w:t>Uptake der postpartalen Familienplanung stieg von 10,2% auf 45,8% über 14 Wochen; Implantate waren die häufigste Methode (54,2%); Hürden waren mangelhafte Beratung, begrenzte Fortbildung und schlechte Dokumentation.</w:t>
      </w:r>
    </w:p>
    <w:p>
      <w:r>
        <w:rPr>
          <w:b/>
          <w:sz w:val="19"/>
        </w:rPr>
        <w:t xml:space="preserve">Übertragbarkeit: </w:t>
      </w:r>
      <w:r>
        <w:rPr>
          <w:sz w:val="19"/>
        </w:rPr>
        <w:t>Nur bedingt übertragbar, Gesundheitssystem mit stark unterschiedlicher Ressourcenlage</w:t>
      </w:r>
    </w:p>
    <w:p>
      <w:r>
        <w:rPr>
          <w:color w:val="5A7D3A"/>
          <w:sz w:val="18"/>
        </w:rPr>
        <w:t>https://pubmed.ncbi.nlm.nih.gov/42816055/</w:t>
      </w:r>
    </w:p>
    <w:p>
      <w:pPr>
        <w:pStyle w:val="Heading2"/>
      </w:pPr>
      <w:r>
        <w:t>Generative KI-Adoption in psychotherapeutischer Praxis</w:t>
      </w:r>
    </w:p>
    <w:p>
      <w:r>
        <w:rPr>
          <w:i/>
          <w:color w:val="666666"/>
          <w:sz w:val="18"/>
        </w:rPr>
        <w:t>Blease C et al.  ·  JMIR Ment Health  ·  30.09.2026  ·  PMID 42815888</w:t>
      </w:r>
    </w:p>
    <w:p>
      <w:r>
        <w:t>Internationale Querschnittsstudie zu aktueller Nutzung von Generative-AI-Tools (ChatGPT, Gemini, Copilot) durch Psychotherapeuten in 30 Ländern.</w:t>
      </w:r>
    </w:p>
    <w:p>
      <w:r>
        <w:rPr>
          <w:b/>
        </w:rPr>
        <w:t xml:space="preserve">Ergebnis: </w:t>
      </w:r>
      <w:r>
        <w:t>54,6% (n=418/766) nutzen mindestens ein GenAI-Tool klinisch; ChatGPT am häufigsten (84,7%); Top-Anwendungen: Behandlungsplanung (41,9%), Administrative Aufgaben (41,4%), Psychoedukation (39,7%); 82,8% berichten Arbeitsbelastungsreduktion; nur 18,1% erhielten institutionelle Förderung; 81,1% erhielten keine AI-Fortbildung.</w:t>
      </w:r>
    </w:p>
    <w:p>
      <w:r>
        <w:rPr>
          <w:b/>
          <w:sz w:val="19"/>
        </w:rPr>
        <w:t xml:space="preserve">Übertragbarkeit: </w:t>
      </w:r>
      <w:r>
        <w:rPr>
          <w:sz w:val="19"/>
        </w:rPr>
        <w:t>Systemunabhängig, Fachfrage zu Technologieeinsatz in Praxis global relevant</w:t>
      </w:r>
    </w:p>
    <w:p>
      <w:r>
        <w:rPr>
          <w:color w:val="5A7D3A"/>
          <w:sz w:val="18"/>
        </w:rPr>
        <w:t>https://pubmed.ncbi.nlm.nih.gov/42815888/</w:t>
      </w:r>
    </w:p>
    <w:p>
      <w:pPr>
        <w:pStyle w:val="Heading2"/>
      </w:pPr>
      <w:r>
        <w:t>Discrete Choice Experiment zu Präferenzen für Carrier Screening in Singapur</w:t>
      </w:r>
    </w:p>
    <w:p>
      <w:r>
        <w:rPr>
          <w:i/>
          <w:color w:val="666666"/>
          <w:sz w:val="18"/>
        </w:rPr>
        <w:t>Blythe R et al.  ·  Patient  ·  30.09.2026  ·  PMID 42814378</w:t>
      </w:r>
    </w:p>
    <w:p>
      <w:r>
        <w:t>Stated-Preference-Studie mit 500 Singapurern zu bevorzugten Merkmalen eines nationalen Carrier-Screening-Programms für genetische Erkrankungen.</w:t>
      </w:r>
    </w:p>
    <w:p>
      <w:r>
        <w:rPr>
          <w:b/>
        </w:rPr>
        <w:t xml:space="preserve">Ergebnis: </w:t>
      </w:r>
      <w:r>
        <w:t>Bevorzugte niedrigere Kosten, breitere Krankheitspanels und kürzere Wartezeiten; vorhergesagte Uptake 85-90% kostenlos, 61-69% bei Zuzahlung von $1.200; nationale Budgetauswirkungen &lt;$13,1 Mio./Jahr abhängig von Programmdesign.</w:t>
      </w:r>
    </w:p>
    <w:p>
      <w:r>
        <w:rPr>
          <w:b/>
          <w:sz w:val="19"/>
        </w:rPr>
        <w:t xml:space="preserve">Übertragbarkeit: </w:t>
      </w:r>
      <w:r>
        <w:rPr>
          <w:sz w:val="19"/>
        </w:rPr>
        <w:t>Singapur, transferierbar für Screening-Programmgestaltung in ähnlichen Systemen</w:t>
      </w:r>
    </w:p>
    <w:p>
      <w:r>
        <w:rPr>
          <w:color w:val="5A7D3A"/>
          <w:sz w:val="18"/>
        </w:rPr>
        <w:t>https://pubmed.ncbi.nlm.nih.gov/42814378/</w:t>
      </w:r>
    </w:p>
    <w:p>
      <w:pPr>
        <w:pStyle w:val="Heading2"/>
      </w:pPr>
      <w:r>
        <w:t>Migräne-Versorgungslücke: qualitative Patientenperspektive</w:t>
      </w:r>
    </w:p>
    <w:p>
      <w:r>
        <w:rPr>
          <w:i/>
          <w:color w:val="666666"/>
          <w:sz w:val="18"/>
        </w:rPr>
        <w:t>Göbel CH et al.  ·  Pain Ther  ·  30.09.2026  ·  PMID 42814346</w:t>
      </w:r>
    </w:p>
    <w:p>
      <w:r>
        <w:t>Qualitative reflexive thematische Analyse von 446 Instagram/Facebook-Kommentaren zur Wahrnehmung von Migräne-Versorgung über 12 Jahre.</w:t>
      </w:r>
    </w:p>
    <w:p>
      <w:r>
        <w:rPr>
          <w:b/>
        </w:rPr>
        <w:t xml:space="preserve">Ergebnis: </w:t>
      </w:r>
      <w:r>
        <w:t>Patienten bestätigen medizinische Fortschritte (Migräne-spezifische Therapien, CGRP-Inhibitoren, spezialisierte Services), erleben diese aber als unvollständig umgesetzt; persistente Barrieren: Diagnoseverzögerung, ungleicher Zugang zu Spezialisten, Rückerstattungsbeschränkungen, Stigma, begrenzte gesellschaftliche Anerkennung. Kernkonzept: Migraine Care Gap zwischen biomedizinischer Innovation und Versorgungspraxis.</w:t>
      </w:r>
    </w:p>
    <w:p>
      <w:r>
        <w:rPr>
          <w:b/>
          <w:sz w:val="19"/>
        </w:rPr>
        <w:t xml:space="preserve">Übertragbarkeit: </w:t>
      </w:r>
      <w:r>
        <w:rPr>
          <w:sz w:val="19"/>
        </w:rPr>
        <w:t>Deutschland, Versorgungsforschung zu Patientenerleben von Innovationstransfer</w:t>
      </w:r>
    </w:p>
    <w:p>
      <w:r>
        <w:rPr>
          <w:color w:val="5A7D3A"/>
          <w:sz w:val="18"/>
        </w:rPr>
        <w:t>https://pubmed.ncbi.nlm.nih.gov/42814346/</w:t>
      </w:r>
    </w:p>
    <w:p>
      <w:pPr>
        <w:pStyle w:val="Heading2"/>
      </w:pPr>
      <w:r>
        <w:t>Kontextfaktoren und depressive Symptome: Postleitzahl-Datenverknüpfung in Deutschland</w:t>
      </w:r>
    </w:p>
    <w:p>
      <w:r>
        <w:rPr>
          <w:i/>
          <w:color w:val="666666"/>
          <w:sz w:val="18"/>
        </w:rPr>
        <w:t>Schoenweger P et al.  ·  Eur Arch Psychiatry Clin Neurosci  ·  30.09.2026  ·  PMID 42814112</w:t>
      </w:r>
    </w:p>
    <w:p>
      <w:r>
        <w:t>Querschnittsstudie, die individuelle POKAL-Umfragedaten (n=2.323) mit deutschen Routinedaten auf Postleitzahl-Ebene zu Depression verknüpfte.</w:t>
      </w:r>
    </w:p>
    <w:p>
      <w:r>
        <w:rPr>
          <w:b/>
        </w:rPr>
        <w:t xml:space="preserve">Ergebnis: </w:t>
      </w:r>
      <w:r>
        <w:t>Kontextfaktoren verbesserten Modellfit (AICc=13.640,80 vs. 13.718,24 nur Demografie); Area-level Deprivation zeigte beste einzelne Anpassung; Datenverknüpfung ist ressourcenschonend und technisch umsetzbar in German health research infrastructure. Räumliche Auflösung entscheidend für Assoziation.</w:t>
      </w:r>
    </w:p>
    <w:p>
      <w:r>
        <w:rPr>
          <w:b/>
          <w:sz w:val="19"/>
        </w:rPr>
        <w:t xml:space="preserve">Übertragbarkeit: </w:t>
      </w:r>
      <w:r>
        <w:rPr>
          <w:sz w:val="19"/>
        </w:rPr>
        <w:t>Deutsche Routinedaten, gesetzlich Versicherte, Versorgungsforschungs-Infrastruktur</w:t>
      </w:r>
    </w:p>
    <w:p>
      <w:r>
        <w:rPr>
          <w:color w:val="5A7D3A"/>
          <w:sz w:val="18"/>
        </w:rPr>
        <w:t>https://pubmed.ncbi.nlm.nih.gov/42814112/</w:t>
      </w:r>
    </w:p>
    <w:p>
      <w:pPr>
        <w:pStyle w:val="Heading1"/>
      </w:pPr>
      <w:r>
        <w:t>Aufgenommen am 30.09.2026</w:t>
      </w:r>
    </w:p>
    <w:p>
      <w:pPr>
        <w:pStyle w:val="Heading2"/>
      </w:pPr>
      <w:r>
        <w:t>Digitalisierung und Krankenhausperformance: Einfluss der elektronischen Dokumentation</w:t>
      </w:r>
    </w:p>
    <w:p>
      <w:r>
        <w:rPr>
          <w:i/>
          <w:color w:val="666666"/>
          <w:sz w:val="18"/>
        </w:rPr>
        <w:t>Remus P et al.  ·  J Med Internet Res  ·  29.09.2026  ·  PMID 42809839</w:t>
      </w:r>
    </w:p>
    <w:p>
      <w:r>
        <w:t>Longitudinale Analyse der Zusammenhänge zwischen technischer Digitalisierungsreife und finanziellen, operativen und Personalindikatoren in 70 niederländischen Krankenhäusern (2017–2023).</w:t>
      </w:r>
    </w:p>
    <w:p>
      <w:r>
        <w:rPr>
          <w:b/>
        </w:rPr>
        <w:t xml:space="preserve">Ergebnis: </w:t>
      </w:r>
      <w:r>
        <w:t>Fortgeschrittene digitale Reife war nicht signifikant mit verbesserter Profitabilität, Patientenvolumen oder Mitarbeiterfluktuation assoziiert (alle p&gt;0,05 nach Bonferroni-Korrektur); die Daten stützen das IT-Produktivitätsparadox.</w:t>
      </w:r>
    </w:p>
    <w:p>
      <w:r>
        <w:rPr>
          <w:b/>
          <w:sz w:val="19"/>
        </w:rPr>
        <w:t xml:space="preserve">Übertragbarkeit: </w:t>
      </w:r>
      <w:r>
        <w:rPr>
          <w:sz w:val="19"/>
        </w:rPr>
        <w:t>Niederlande, Sozialversicherungssystem mit Beitragsfinanzierung, vergleichbar mit Deutschland.</w:t>
      </w:r>
    </w:p>
    <w:p>
      <w:r>
        <w:rPr>
          <w:color w:val="5A7D3A"/>
          <w:sz w:val="18"/>
        </w:rPr>
        <w:t>https://pubmed.ncbi.nlm.nih.gov/42809839/</w:t>
      </w:r>
    </w:p>
    <w:p>
      <w:pPr>
        <w:pStyle w:val="Heading2"/>
      </w:pPr>
      <w:r>
        <w:t>Zeitbelastung (Time Toxicity) in der Krebsversorgung: Systematische Übersicht</w:t>
      </w:r>
    </w:p>
    <w:p>
      <w:r>
        <w:rPr>
          <w:i/>
          <w:color w:val="666666"/>
          <w:sz w:val="18"/>
        </w:rPr>
        <w:t>Wee IJY et al.  ·  Support Care Cancer  ·  29.09.2026  ·  PMID 42809115</w:t>
      </w:r>
    </w:p>
    <w:p>
      <w:r>
        <w:t>Systematische Übersicht von 56 Studien zur Definition und Messung der Zeitbelastung in der Krebsbehandlung (Inception bis März 2026).</w:t>
      </w:r>
    </w:p>
    <w:p>
      <w:r>
        <w:rPr>
          <w:b/>
        </w:rPr>
        <w:t xml:space="preserve">Ergebnis: </w:t>
      </w:r>
      <w:r>
        <w:t>Definitionen waren heterogen; 55,4 % definierten Zeitbelastung als direkte Gesundheitszeiten (Klinikbesuche, Behandlungen), 35,7 % als Zeit ohne Gesundheitswesen; nur 0 Studien nutzten Patientenperspektiven; systematisch sind noch prozessorientierte und patientenzentrierte Dimensionen unterrepräsentiert.</w:t>
      </w:r>
    </w:p>
    <w:p>
      <w:r>
        <w:rPr>
          <w:b/>
          <w:sz w:val="19"/>
        </w:rPr>
        <w:t xml:space="preserve">Übertragbarkeit: </w:t>
      </w:r>
      <w:r>
        <w:rPr>
          <w:sz w:val="19"/>
        </w:rPr>
        <w:t>Systemübergreifend relevant; Konzeptualisierung und Messqualität unabhängig von Landkontext.</w:t>
      </w:r>
    </w:p>
    <w:p>
      <w:r>
        <w:rPr>
          <w:color w:val="5A7D3A"/>
          <w:sz w:val="18"/>
        </w:rPr>
        <w:t>https://pubmed.ncbi.nlm.nih.gov/42809115/</w:t>
      </w:r>
    </w:p>
    <w:p>
      <w:pPr>
        <w:pStyle w:val="Heading2"/>
      </w:pPr>
      <w:r>
        <w:t>Kompetenzbasiertes Curriculum Allgemeinmedizin im Block-Praktikum: Lückenanalyse</w:t>
      </w:r>
    </w:p>
    <w:p>
      <w:r>
        <w:rPr>
          <w:i/>
          <w:color w:val="666666"/>
          <w:sz w:val="18"/>
        </w:rPr>
        <w:t>Schüle D et al.  ·  GMS J Med Educ  ·  15.09.2026  ·  PMID 42807621</w:t>
      </w:r>
    </w:p>
    <w:p>
      <w:r>
        <w:t>Gemischte Methoden-Studie an einem deutschen Universitätskrankenhaus zur Bewertung und Neukonzeption eines zweiwöchigen Allgemeinmedizin-Blockpraktikums anhand von NKLM 2.0 und EPAs.</w:t>
      </w:r>
    </w:p>
    <w:p>
      <w:r>
        <w:rPr>
          <w:b/>
        </w:rPr>
        <w:t xml:space="preserve">Ergebnis: </w:t>
      </w:r>
      <w:r>
        <w:t>Aktuelles Praktikum erreichte Gesamtnote 1,8 (SD 1,06), erhöhte das Interesse an Allgemeinmedizin aber nicht signifikant; fehlten: interprofessionelle Zusammenarbeit, Führungskompetenzen; vorgeschlagen wurde sechswöchiges longitudinales Modell mit Simulation und Hospitationen.</w:t>
      </w:r>
    </w:p>
    <w:p>
      <w:r>
        <w:rPr>
          <w:b/>
          <w:sz w:val="19"/>
        </w:rPr>
        <w:t xml:space="preserve">Übertragbarkeit: </w:t>
      </w:r>
      <w:r>
        <w:rPr>
          <w:sz w:val="19"/>
        </w:rPr>
        <w:t>Deutschland, Fokus auf medizinische Ausbildung und Lehrqualität.</w:t>
      </w:r>
    </w:p>
    <w:p>
      <w:r>
        <w:rPr>
          <w:color w:val="5A7D3A"/>
          <w:sz w:val="18"/>
        </w:rPr>
        <w:t>https://pubmed.ncbi.nlm.nih.gov/42807621/</w:t>
      </w:r>
    </w:p>
    <w:p>
      <w:pPr>
        <w:pStyle w:val="Heading2"/>
      </w:pPr>
      <w:r>
        <w:t>VISIONARA: Dezentrales kompetenzbasiertes Lernmodell in Hausarztpraxen</w:t>
      </w:r>
    </w:p>
    <w:p>
      <w:r>
        <w:rPr>
          <w:i/>
          <w:color w:val="666666"/>
          <w:sz w:val="18"/>
        </w:rPr>
        <w:t>Lübbert J et al.  ·  GMS J Med Educ  ·  15.09.2026  ·  PMID 42807235</w:t>
      </w:r>
    </w:p>
    <w:p>
      <w:r>
        <w:t>Konzeptentwicklung und geplante Pilotierung eines Programms für akademische Lehrpraxen (MRC-Framework), das strukturiertes kompetenzbasiertes Lernen direkt in den Versorgungsalltag der Allgemeinmedizin integriert.</w:t>
      </w:r>
    </w:p>
    <w:p>
      <w:r>
        <w:rPr>
          <w:b/>
        </w:rPr>
        <w:t xml:space="preserve">Ergebnis: </w:t>
      </w:r>
      <w:r>
        <w:t>Konzeptphase abgeschlossen; geplante Pilotphase wird Machbarkeit, Akzeptanz und Integrierbarkeit in Routinepraxen prüfen sowie personelle Ressourcen, Patientenzustimmung und logistische Hürden evaluieren.</w:t>
      </w:r>
    </w:p>
    <w:p>
      <w:r>
        <w:rPr>
          <w:b/>
          <w:sz w:val="19"/>
        </w:rPr>
        <w:t xml:space="preserve">Übertragbarkeit: </w:t>
      </w:r>
      <w:r>
        <w:rPr>
          <w:sz w:val="19"/>
        </w:rPr>
        <w:t>Deutschland, Modell für Primärversorgung und ärztliche Ausbildung direkt vor Ort.</w:t>
      </w:r>
    </w:p>
    <w:p>
      <w:r>
        <w:rPr>
          <w:color w:val="5A7D3A"/>
          <w:sz w:val="18"/>
        </w:rPr>
        <w:t>https://pubmed.ncbi.nlm.nih.gov/42807235/</w:t>
      </w:r>
    </w:p>
    <w:p>
      <w:pPr>
        <w:pStyle w:val="Heading2"/>
      </w:pPr>
      <w:r>
        <w:t>Facharztprüfung Allgemeinmedizin: Perspektiven von Prüfenden</w:t>
      </w:r>
    </w:p>
    <w:p>
      <w:r>
        <w:rPr>
          <w:i/>
          <w:color w:val="666666"/>
          <w:sz w:val="18"/>
        </w:rPr>
        <w:t>Dreher AC et al.  ·  GMS J Med Educ  ·  15.09.2026  ·  PMID 42807223</w:t>
      </w:r>
    </w:p>
    <w:p>
      <w:r>
        <w:t>Qualitative Explorationsstudie mit 12 Prüfenden aus 6 Bundesländern zu Stärken, Schwächen und Weiterentwicklungspotenzial der mündlichen Facharztprüfung.</w:t>
      </w:r>
    </w:p>
    <w:p>
      <w:r>
        <w:rPr>
          <w:b/>
        </w:rPr>
        <w:t xml:space="preserve">Ergebnis: </w:t>
      </w:r>
      <w:r>
        <w:t>Prüfende beschrieben Stärken: Mindeststandard-Sicherung, Effizienz; Schwächen: begrenzte Aussagekraft für komplexe Handlungskompetenzen; Verbesserungen: Prüfendenschulungen, gemeinsame Erwartungshorizonte, praktische Prüfungskomponenten, longitudinale Assessments.</w:t>
      </w:r>
    </w:p>
    <w:p>
      <w:r>
        <w:rPr>
          <w:b/>
          <w:sz w:val="19"/>
        </w:rPr>
        <w:t xml:space="preserve">Übertragbarkeit: </w:t>
      </w:r>
      <w:r>
        <w:rPr>
          <w:sz w:val="19"/>
        </w:rPr>
        <w:t>Deutschland, direkt auf Facharztausbildung und Qualitätssicherung bezogen.</w:t>
      </w:r>
    </w:p>
    <w:p>
      <w:r>
        <w:rPr>
          <w:color w:val="5A7D3A"/>
          <w:sz w:val="18"/>
        </w:rPr>
        <w:t>https://pubmed.ncbi.nlm.nih.gov/42807223/</w:t>
      </w:r>
    </w:p>
    <w:p>
      <w:pPr>
        <w:pStyle w:val="Heading2"/>
      </w:pPr>
      <w:r>
        <w:t>Früherkennung und Reha bei Muskelskelettstörungen reduzieren Arbeitsunfähigkeit?</w:t>
      </w:r>
    </w:p>
    <w:p>
      <w:r>
        <w:rPr>
          <w:i/>
          <w:color w:val="666666"/>
          <w:sz w:val="18"/>
        </w:rPr>
        <w:t>Bornhöft L et al.  ·  BMC Health Serv Res  ·  26.09.2026  ·  PMID 42806350</w:t>
      </w:r>
    </w:p>
    <w:p>
      <w:r>
        <w:t>Ökonomische Analyse eines randomisierten Vergleichs zwischen teambasierter Primärversorgungsrehabilitation und Standardversorgung für Patienten mit erhöhtem Fehlzeitrisiko in Schweden (N=526).</w:t>
      </w:r>
    </w:p>
    <w:p>
      <w:r>
        <w:rPr>
          <w:b/>
        </w:rPr>
        <w:t xml:space="preserve">Ergebnis: </w:t>
      </w:r>
      <w:r>
        <w:t>Team-Rehabilitation und Standardversorgung führten zu ähnlichen QALYs über ein Jahr; die Wahrscheinlichkeit der Kosteneffektivität lag bei etwa 50 % (schwedische Schwellenwerte 43.000–86.000 €/QALY); Selektion bedürftiger Patienten muss verbessert werden.</w:t>
      </w:r>
    </w:p>
    <w:p>
      <w:r>
        <w:rPr>
          <w:b/>
          <w:sz w:val="19"/>
        </w:rPr>
        <w:t xml:space="preserve">Übertragbarkeit: </w:t>
      </w:r>
      <w:r>
        <w:rPr>
          <w:sz w:val="19"/>
        </w:rPr>
        <w:t>Schweden, steuerfinanziert und hausarztgesteuert, aber Prozesse und Arbeitsfähigkeit sind übertragbar.</w:t>
      </w:r>
    </w:p>
    <w:p>
      <w:r>
        <w:rPr>
          <w:color w:val="5A7D3A"/>
          <w:sz w:val="18"/>
        </w:rPr>
        <w:t>https://pubmed.ncbi.nlm.nih.gov/42806350/</w:t>
      </w:r>
    </w:p>
    <w:p>
      <w:pPr>
        <w:pStyle w:val="Heading1"/>
      </w:pPr>
      <w:r>
        <w:t>Aufgenommen am 29.09.2026</w:t>
      </w:r>
    </w:p>
    <w:p>
      <w:pPr>
        <w:pStyle w:val="Heading2"/>
      </w:pPr>
      <w:r>
        <w:t>Kosteneffektivität eines Diabetes-Präventionsprogramms in Kanada</w:t>
      </w:r>
    </w:p>
    <w:p>
      <w:r>
        <w:rPr>
          <w:i/>
          <w:color w:val="666666"/>
          <w:sz w:val="18"/>
        </w:rPr>
        <w:t>Gupta N et al.  ·  CMAJ  ·  27.09.2026  ·  PMID 42805627</w:t>
      </w:r>
    </w:p>
    <w:p>
      <w:r>
        <w:t>Gesundheitsökonomisches Modell zum NHS-England-DPP in Quebec und Ontario über 35 Jahre.</w:t>
      </w:r>
    </w:p>
    <w:p>
      <w:r>
        <w:rPr>
          <w:b/>
        </w:rPr>
        <w:t xml:space="preserve">Ergebnis: </w:t>
      </w:r>
      <w:r>
        <w:t>DPP sparte 244 CAD pro Teilnehmer in Quebec und 242 CAD in Ontario (95% UI -1.017 bis 408). Gewinn: 0,060 QALYs pro Person (95% UI 0,024-0,094). In 74,8% der Simulationen war DPP kostengünstiger und wirksamer.</w:t>
      </w:r>
    </w:p>
    <w:p>
      <w:r>
        <w:rPr>
          <w:b/>
          <w:sz w:val="19"/>
        </w:rPr>
        <w:t xml:space="preserve">Übertragbarkeit: </w:t>
      </w:r>
      <w:r>
        <w:rPr>
          <w:sz w:val="19"/>
        </w:rPr>
        <w:t>Kanada ähnlich deutschem Sozialversicherungssystem, vergleichbare Kostenkalkulation möglich.</w:t>
      </w:r>
    </w:p>
    <w:p>
      <w:r>
        <w:rPr>
          <w:color w:val="5A7D3A"/>
          <w:sz w:val="18"/>
        </w:rPr>
        <w:t>https://pubmed.ncbi.nlm.nih.gov/42805627/</w:t>
      </w:r>
    </w:p>
    <w:p>
      <w:pPr>
        <w:pStyle w:val="Heading2"/>
      </w:pPr>
      <w:r>
        <w:t>Physiotherapie nach COVID-19 in der niederländischen Primärversorgung: Inanspruchnahme und Trends</w:t>
      </w:r>
    </w:p>
    <w:p>
      <w:r>
        <w:rPr>
          <w:i/>
          <w:color w:val="666666"/>
          <w:sz w:val="18"/>
        </w:rPr>
        <w:t>Veldkamp R et al.  ·  JMIR Public Health Surveill  ·  28.09.2026  ·  PMID 42804191</w:t>
      </w:r>
    </w:p>
    <w:p>
      <w:r>
        <w:t>Retrospektive Kohortenstudie zur Inanspruchnahme von Physiotherapie nach COVID-19 in niederländischen Hausarztpraxen über 2,5 Jahre der Pandemie.</w:t>
      </w:r>
    </w:p>
    <w:p>
      <w:r>
        <w:rPr>
          <w:b/>
        </w:rPr>
        <w:t xml:space="preserve">Ergebnis: </w:t>
      </w:r>
      <w:r>
        <w:t>Unter 71.152 Behandlungsverläufen hatten abgeschlossene Fälle eine mediane Dauer von 24 Wochen mit 28 Konsultationen. Die Physiotherapie-Inanspruchnahme sank signifikant über die Zeit (p&lt;0,001), mit maximalen Konsultationen bei 60-79-Jährigen und 1,5 Wochen längerer Behandlung bei Frauen (p&lt;0,001). In 83% waren Baseline-Werte auf Outcome-Messungen erfasst (6-Minuten-Gehtest: 420 m [340-490]).</w:t>
      </w:r>
    </w:p>
    <w:p>
      <w:r>
        <w:rPr>
          <w:b/>
          <w:sz w:val="19"/>
        </w:rPr>
        <w:t xml:space="preserve">Übertragbarkeit: </w:t>
      </w:r>
      <w:r>
        <w:rPr>
          <w:sz w:val="19"/>
        </w:rPr>
        <w:t>Niederländische Routinedaten aus Primärversorgung, direkt auf deutsches System übertragbar.</w:t>
      </w:r>
    </w:p>
    <w:p>
      <w:r>
        <w:rPr>
          <w:color w:val="5A7D3A"/>
          <w:sz w:val="18"/>
        </w:rPr>
        <w:t>https://pubmed.ncbi.nlm.nih.gov/42804191/</w:t>
      </w:r>
    </w:p>
    <w:p>
      <w:pPr>
        <w:pStyle w:val="Heading2"/>
      </w:pPr>
      <w:r>
        <w:t>Telepharmacy-Services und Notfallaufnahme-Inanspruchnahme: Systematische Übersicht</w:t>
      </w:r>
    </w:p>
    <w:p>
      <w:r>
        <w:rPr>
          <w:i/>
          <w:color w:val="666666"/>
          <w:sz w:val="18"/>
        </w:rPr>
        <w:t>Barwick AL et al.  ·  J Telemed Telecare  ·  28.09.2026  ·  PMID 42804181</w:t>
      </w:r>
    </w:p>
    <w:p>
      <w:r>
        <w:t>Metaanalyse von 17 RCTs zur Wirksamkeit von Telepharmacy-Interventionen auf Notaufnahme-Besuche und Wiederaufnahmen.</w:t>
      </w:r>
    </w:p>
    <w:p>
      <w:r>
        <w:rPr>
          <w:b/>
        </w:rPr>
        <w:t xml:space="preserve">Ergebnis: </w:t>
      </w:r>
      <w:r>
        <w:t>Telepharmacy war mit einer 6% absoluten Reduktion von 30-Tage-Notaufnahme-Besuchen assoziiert (Risikodifferenz=0,06, 95% CI: 0,02-0,10; p=0,005). Keine signifikante Reduktion bei ungeplanten Wiederaufnahmen.</w:t>
      </w:r>
    </w:p>
    <w:p>
      <w:r>
        <w:rPr>
          <w:b/>
          <w:sz w:val="19"/>
        </w:rPr>
        <w:t xml:space="preserve">Übertragbarkeit: </w:t>
      </w:r>
      <w:r>
        <w:rPr>
          <w:sz w:val="19"/>
        </w:rPr>
        <w:t>Heterogene RCTs international, Fragestellung zum Einsatz von Telemedizin systemunabhängig relevant.</w:t>
      </w:r>
    </w:p>
    <w:p>
      <w:r>
        <w:rPr>
          <w:color w:val="5A7D3A"/>
          <w:sz w:val="18"/>
        </w:rPr>
        <w:t>https://pubmed.ncbi.nlm.nih.gov/42804181/</w:t>
      </w:r>
    </w:p>
    <w:p>
      <w:pPr>
        <w:pStyle w:val="Heading2"/>
      </w:pPr>
      <w:r>
        <w:t>Intra-Session-Reliabilität des Imagined Timed Up and Go Tests bei älteren Erwachsenen</w:t>
      </w:r>
    </w:p>
    <w:p>
      <w:r>
        <w:rPr>
          <w:i/>
          <w:color w:val="666666"/>
          <w:sz w:val="18"/>
        </w:rPr>
        <w:t>Inamura T et al.  ·  Physiother Theory Pract  ·  28.09.2026  ·  PMID 42802900</w:t>
      </w:r>
    </w:p>
    <w:p>
      <w:r>
        <w:t>Reliabilitätsstudie (85 Probanden) zum Imagined Timed Up and Go Test zur Erfassung von Schätzfehlern der physischen Leistung.</w:t>
      </w:r>
    </w:p>
    <w:p>
      <w:r>
        <w:rPr>
          <w:b/>
        </w:rPr>
        <w:t xml:space="preserve">Ergebnis: </w:t>
      </w:r>
      <w:r>
        <w:t>Intra-Rater-Reliabilität moderat (ICC_A,1: 0,69-0,73); simultane Inter-Rater-Reliabilität exzellent (ICC_2,2≈0,994; ICC_2,1: 0,982-0,984). Intra-Rater MDC95: 2,3 s (35,1%); Inter-Rater MDC95: 0,3 s (4,9%). Probanden übersch ätzen ihre Fähigkeiten (TUG 6,0 s vs. ITUG 4,0 s).</w:t>
      </w:r>
    </w:p>
    <w:p>
      <w:r>
        <w:rPr>
          <w:b/>
          <w:sz w:val="19"/>
        </w:rPr>
        <w:t xml:space="preserve">Übertragbarkeit: </w:t>
      </w:r>
      <w:r>
        <w:rPr>
          <w:sz w:val="19"/>
        </w:rPr>
        <w:t>Japanische Daten, klinische Metriken systemunabhängig, Validierung vor Routineeinsatz relevant.</w:t>
      </w:r>
    </w:p>
    <w:p>
      <w:r>
        <w:rPr>
          <w:color w:val="5A7D3A"/>
          <w:sz w:val="18"/>
        </w:rPr>
        <w:t>https://pubmed.ncbi.nlm.nih.gov/42802900/</w:t>
      </w:r>
    </w:p>
    <w:p>
      <w:pPr>
        <w:pStyle w:val="Heading2"/>
      </w:pPr>
      <w:r>
        <w:t>Krankenhaus-Management-Modelle und Krebsergebnisse in São Paulo</w:t>
      </w:r>
    </w:p>
    <w:p>
      <w:r>
        <w:rPr>
          <w:i/>
          <w:color w:val="666666"/>
          <w:sz w:val="18"/>
        </w:rPr>
        <w:t>Delpino FM et al.  ·  Int J Health Plann Manage  ·  26.09.2026  ·  PMID 42800063</w:t>
      </w:r>
    </w:p>
    <w:p>
      <w:r>
        <w:t>Staggered Difference-in-Differences-Analyse zu 652.734 Brust-, Prostata- und Darmkrebs-Fällen (2000-2023) unter Vergleich von Social Health Organisations vs. direkt verwalteten Häusern.</w:t>
      </w:r>
    </w:p>
    <w:p>
      <w:r>
        <w:rPr>
          <w:b/>
        </w:rPr>
        <w:t xml:space="preserve">Ergebnis: </w:t>
      </w:r>
      <w:r>
        <w:t>SHO-Adoption assoziiert mit unpräzisen Änderungen: Diagnose-bis-Behandlung -155,3 Tage (95% CI -350,0 bis 39,4); Konsultation-bis-Diagnose -96,3 Tage (95% CI -237,7 bis 45,1); 30-Tage-Mortalität +0,8 Prozentpunkte (95% CI -4,0 bis 5,5). Kontrolle und Gewichtung materialverändernd.</w:t>
      </w:r>
    </w:p>
    <w:p>
      <w:r>
        <w:rPr>
          <w:b/>
          <w:sz w:val="19"/>
        </w:rPr>
        <w:t xml:space="preserve">Übertragbarkeit: </w:t>
      </w:r>
      <w:r>
        <w:rPr>
          <w:sz w:val="19"/>
        </w:rPr>
        <w:t>Brasilien, unterschiedliches Ressourcen-Setting; Fragestellung zu Managementmodellen kontextabhängig.</w:t>
      </w:r>
    </w:p>
    <w:p>
      <w:r>
        <w:rPr>
          <w:color w:val="5A7D3A"/>
          <w:sz w:val="18"/>
        </w:rPr>
        <w:t>https://pubmed.ncbi.nlm.nih.gov/42800063/</w:t>
      </w:r>
    </w:p>
    <w:p>
      <w:pPr>
        <w:pStyle w:val="Heading1"/>
      </w:pPr>
      <w:r>
        <w:t>Aufgenommen am 28.09.2026</w:t>
      </w:r>
    </w:p>
    <w:p>
      <w:pPr>
        <w:pStyle w:val="Heading2"/>
      </w:pPr>
      <w:r>
        <w:t>Wirksamkeit familienorientierter Intervention für Kinder psychisch erkrankter Eltern</w:t>
      </w:r>
    </w:p>
    <w:p>
      <w:r>
        <w:rPr>
          <w:i/>
          <w:color w:val="666666"/>
          <w:sz w:val="18"/>
        </w:rPr>
        <w:t>Paumen T et al.  ·  Child Adolesc Psychiatry Ment Health  ·  25.09.2026  ·  PMID 42800877</w:t>
      </w:r>
    </w:p>
    <w:p>
      <w:r>
        <w:t>Cluster-randomisierte Studie zur Wirksamkeit des CHIMPS-Programms (psychodynamische transdiagnostische Familienintervention) auf psychische Gesundheit und Lebensqualität bei 215 Kindern psychisch erkrankter Eltern in Deutschland und der Schweiz.</w:t>
      </w:r>
    </w:p>
    <w:p>
      <w:r>
        <w:rPr>
          <w:b/>
        </w:rPr>
        <w:t xml:space="preserve">Ergebnis: </w:t>
      </w:r>
      <w:r>
        <w:t>Odds Ratio 0,52 (95%-KI: 0,25-1,09) für diagnostische Remission in der Interventionsgruppe versus Kontrollgruppe – statistisch nicht signifikant. Keine klinisch relevanten Unterschiede in Sekundäroutcomes (Verhaltensauffälligkeiten, Lebensqualität). Geringe Erreichbarkeit und Adhärenz der Zielgruppe erschwerten Umsetzung.</w:t>
      </w:r>
    </w:p>
    <w:p>
      <w:r>
        <w:rPr>
          <w:b/>
          <w:sz w:val="19"/>
        </w:rPr>
        <w:t xml:space="preserve">Übertragbarkeit: </w:t>
      </w:r>
      <w:r>
        <w:rPr>
          <w:sz w:val="19"/>
        </w:rPr>
        <w:t>Deutsche Daten aus Universitätskliniken, gesetzlich versicherte Population</w:t>
      </w:r>
    </w:p>
    <w:p>
      <w:r>
        <w:rPr>
          <w:color w:val="5A7D3A"/>
          <w:sz w:val="18"/>
        </w:rPr>
        <w:t>https://pubmed.ncbi.nlm.nih.gov/42800877/</w:t>
      </w:r>
    </w:p>
    <w:p>
      <w:pPr>
        <w:pStyle w:val="Heading2"/>
      </w:pPr>
      <w:r>
        <w:t>Tamil-Validierung des Diabetes Quality-of-Life Brief Clinical Inventory</w:t>
      </w:r>
    </w:p>
    <w:p>
      <w:r>
        <w:rPr>
          <w:i/>
          <w:color w:val="666666"/>
          <w:sz w:val="18"/>
        </w:rPr>
        <w:t>Darshana N et al.  ·  BMC Health Serv Res  ·  14.09.2026  ·  PMID 42791544</w:t>
      </w:r>
    </w:p>
    <w:p>
      <w:r>
        <w:t>Kulturelle Adaptation und Validierung eines Instruments zur Messung der diabetesspezifischen Lebensqualität bei tamilsprachigen Erwachsenen mit Typ-2-Diabetes in Sri Lanka (n=165).</w:t>
      </w:r>
    </w:p>
    <w:p>
      <w:r>
        <w:rPr>
          <w:b/>
        </w:rPr>
        <w:t xml:space="preserve">Ergebnis: </w:t>
      </w:r>
      <w:r>
        <w:t>Cronbachs α=0,682, signifikante negative Korrelation mit WHOQOL-BREF (r=-0,559, p&lt;0,001), signifikant niedrigere Lebensqualität bei Patienten mit Mikrovaskularisierungskomplikationen (p=0,040). KMO=0,729, Faktorenanalyse erklärt 72% der Gesamtvarianz.</w:t>
      </w:r>
    </w:p>
    <w:p>
      <w:r>
        <w:rPr>
          <w:b/>
          <w:sz w:val="19"/>
        </w:rPr>
        <w:t xml:space="preserve">Übertragbarkeit: </w:t>
      </w:r>
      <w:r>
        <w:rPr>
          <w:sz w:val="19"/>
        </w:rPr>
        <w:t>Nur begrenzt: Südasiatische Bevölkerung, anderes Gesundheitssystem</w:t>
      </w:r>
    </w:p>
    <w:p>
      <w:r>
        <w:rPr>
          <w:color w:val="5A7D3A"/>
          <w:sz w:val="18"/>
        </w:rPr>
        <w:t>https://pubmed.ncbi.nlm.nih.gov/42791544/</w:t>
      </w:r>
    </w:p>
    <w:p>
      <w:pPr>
        <w:pStyle w:val="Heading2"/>
      </w:pPr>
      <w:r>
        <w:t>Gesundheitskompetenz und Versorgungsintegration bei Kindern mit Spezialversorgungsbedarfen</w:t>
      </w:r>
    </w:p>
    <w:p>
      <w:r>
        <w:rPr>
          <w:i/>
          <w:color w:val="666666"/>
          <w:sz w:val="18"/>
        </w:rPr>
        <w:t>Skoss R et al.  ·  BMC Health Serv Res  ·  11.08.2026  ·  PMID 42791541</w:t>
      </w:r>
    </w:p>
    <w:p>
      <w:r>
        <w:t>Querschnittstudie zur Beziehung zwischen Gesundheitskompetenz von Eltern, Erfahrungen mit Versorgungsintegration und Elternbelastung bei 126 australischen Eltern von Kindern mit Spezialversorgungsbedarfen.</w:t>
      </w:r>
    </w:p>
    <w:p>
      <w:r>
        <w:rPr>
          <w:b/>
        </w:rPr>
        <w:t xml:space="preserve">Ergebnis: </w:t>
      </w:r>
      <w:r>
        <w:t>Clusteranalyse identifizierte drei Gesundheitskompetenz-Profile; höhere Kompetenz assoziiert mit besseren Erfahrungen bei Versorgungsintegration und niedrigerem Elternstress. Mehrheitlich Eltern mit Behinderungs-(53,7%) und Atemwegserkrankungen (38,9%) vertreten.</w:t>
      </w:r>
    </w:p>
    <w:p>
      <w:r>
        <w:rPr>
          <w:b/>
          <w:sz w:val="19"/>
        </w:rPr>
        <w:t xml:space="preserve">Übertragbarkeit: </w:t>
      </w:r>
      <w:r>
        <w:rPr>
          <w:sz w:val="19"/>
        </w:rPr>
        <w:t>Steuerfinanziert, englischsprachig – begrenzte Übertragbarkeit auf deutsches SV-System</w:t>
      </w:r>
    </w:p>
    <w:p>
      <w:r>
        <w:rPr>
          <w:color w:val="5A7D3A"/>
          <w:sz w:val="18"/>
        </w:rPr>
        <w:t>https://pubmed.ncbi.nlm.nih.gov/42791541/</w:t>
      </w:r>
    </w:p>
    <w:p>
      <w:pPr>
        <w:pStyle w:val="Heading2"/>
      </w:pPr>
      <w:r>
        <w:t>Zivilgesellschaftliche Organisationen in Gesundheitsversorgung für Migranten auf der Balkanroute</w:t>
      </w:r>
    </w:p>
    <w:p>
      <w:r>
        <w:rPr>
          <w:i/>
          <w:color w:val="666666"/>
          <w:sz w:val="18"/>
        </w:rPr>
        <w:t>Link F et al.  ·  Int J Equity Health  ·  24.09.2026  ·  PMID 42791536</w:t>
      </w:r>
    </w:p>
    <w:p>
      <w:r>
        <w:t>Qualitative Studie mit 15 CSO-Mitarbeitern aus 11 Ländern (März–Mai 2024) zu Barrieren, Erleichterungen und Rollen von Zivilgesellschaft bei Gesundheitsversorgung für Menschen in Migrationsprozessen.</w:t>
      </w:r>
    </w:p>
    <w:p>
      <w:r>
        <w:rPr>
          <w:b/>
        </w:rPr>
        <w:t xml:space="preserve">Ergebnis: </w:t>
      </w:r>
      <w:r>
        <w:t>Vier Hauptkategorien identifiziert: fragmentierte Migrationspolitik, begrenzte Systemkapazitäten, Diskriminierung und Rechtsbarrieren. CSO erfüllen kritische Lückenfüllungsfunktion durch Mediation und Advocacy; jedoch chronische Finanzierungsunsicherheit, Personalengpässe und ethische Spannungen. Vertrauen zwischen CSO, Gesundheitssystem und Behörden essentiell.</w:t>
      </w:r>
    </w:p>
    <w:p>
      <w:r>
        <w:rPr>
          <w:b/>
          <w:sz w:val="19"/>
        </w:rPr>
        <w:t xml:space="preserve">Übertragbarkeit: </w:t>
      </w:r>
      <w:r>
        <w:rPr>
          <w:sz w:val="19"/>
        </w:rPr>
        <w:t>Europäischer Kontext (11 Länder), Mehrländer-Perspektive – Migrationsstrukturen relevant</w:t>
      </w:r>
    </w:p>
    <w:p>
      <w:r>
        <w:rPr>
          <w:color w:val="5A7D3A"/>
          <w:sz w:val="18"/>
        </w:rPr>
        <w:t>https://pubmed.ncbi.nlm.nih.gov/42791536/</w:t>
      </w:r>
    </w:p>
    <w:p>
      <w:pPr>
        <w:pStyle w:val="Heading2"/>
      </w:pPr>
      <w:r>
        <w:t>Präklinische Halswirbelimmobilisierung und Mortalität bei Traumapatienten</w:t>
      </w:r>
    </w:p>
    <w:p>
      <w:r>
        <w:rPr>
          <w:i/>
          <w:color w:val="666666"/>
          <w:sz w:val="18"/>
        </w:rPr>
        <w:t>Häske D et al.  ·  World J Emerg Surg  ·  22.09.2026  ·  PMID 42786484</w:t>
      </w:r>
    </w:p>
    <w:p>
      <w:r>
        <w:t>Retrospektive Beobachtungsstudie aus deutschem Traumaregister (TraumaRegister DGU, 2020–2022) mit Propensity-Score-Matching zu Effekt präklinischer Halswirbelimmobilisierung auf Krankenhausmortalität und neurologische Outcomes (n=31.055, davon 16.922 gematched).</w:t>
      </w:r>
    </w:p>
    <w:p>
      <w:r>
        <w:rPr>
          <w:b/>
        </w:rPr>
        <w:t xml:space="preserve">Ergebnis: </w:t>
      </w:r>
      <w:r>
        <w:t>Mortalität gematched: 12,0% mit Immobilisierung vs. 13,6% ohne (p=0,001), kein klinisch bedeutsamer Unterschied. Bei bestätigter Halswirbelverletztung (n=1.362): Mortalität 17,9% vs. 18,2% (p=0,888), Glasgow Outcome Scale zeigt kein signifikanten Unterschied. GCS-Verbesserung Einsatzstelle-Hospital marginal höher mit Immobilisierung (15,7% vs. 12,8%, p&lt;0,001).</w:t>
      </w:r>
    </w:p>
    <w:p>
      <w:r>
        <w:rPr>
          <w:b/>
          <w:sz w:val="19"/>
        </w:rPr>
        <w:t xml:space="preserve">Übertragbarkeit: </w:t>
      </w:r>
      <w:r>
        <w:rPr>
          <w:sz w:val="19"/>
        </w:rPr>
        <w:t>Deutsche Routinedaten aus standardisiertem Traumaregister, System vergleichbar</w:t>
      </w:r>
    </w:p>
    <w:p>
      <w:r>
        <w:rPr>
          <w:color w:val="5A7D3A"/>
          <w:sz w:val="18"/>
        </w:rPr>
        <w:t>https://pubmed.ncbi.nlm.nih.gov/42786484/</w:t>
      </w:r>
    </w:p>
    <w:p>
      <w:pPr>
        <w:pStyle w:val="Heading2"/>
      </w:pPr>
      <w:r>
        <w:t>Empagliflozin-Effekte auf kardiovaskuläre Outcomes in sociodemografischen Subgruppen</w:t>
      </w:r>
    </w:p>
    <w:p>
      <w:r>
        <w:rPr>
          <w:i/>
          <w:color w:val="666666"/>
          <w:sz w:val="18"/>
        </w:rPr>
        <w:t>Cromer SJ et al.  ·  Diabetes Care  ·  21.09.2026  ·  PMID 42765974</w:t>
      </w:r>
    </w:p>
    <w:p>
      <w:r>
        <w:t>Real-World-Analyse aus US-Medicare-Daten (2014–2020) zur Heterogenität der Effekte von Empagliflozin auf MACE, Herzinsuffizienz-Hospitalisierung und Mortalität bei älteren Erwachsenen mit Typ-2-Diabetes (n propensity-matched: 16.922).</w:t>
      </w:r>
    </w:p>
    <w:p>
      <w:r>
        <w:rPr>
          <w:b/>
        </w:rPr>
        <w:t xml:space="preserve">Ergebnis: </w:t>
      </w:r>
      <w:r>
        <w:t>Empagliflozin vs. DPP4-Inhibitoren: MACE HR 0,77 (99,9%-KI 0,69–0,85, IRD –10,3), HHF HR 0,72 (0,67–0,79, IRD –18,3), Mortalität HR 0,66 (0,57–0,76, IRD –8,6). Konsistente Effekte über sociodemografische Gruppen, höherer absoluter Nutzen mit prävalenter kardiovaskulärer Erkrankung.</w:t>
      </w:r>
    </w:p>
    <w:p>
      <w:r>
        <w:rPr>
          <w:b/>
          <w:sz w:val="19"/>
        </w:rPr>
        <w:t xml:space="preserve">Übertragbarkeit: </w:t>
      </w:r>
      <w:r>
        <w:rPr>
          <w:sz w:val="19"/>
        </w:rPr>
        <w:t>US-Daten – Fragestellung aber systemunabhängig, kardiometabolisch relevant</w:t>
      </w:r>
    </w:p>
    <w:p>
      <w:r>
        <w:rPr>
          <w:color w:val="5A7D3A"/>
          <w:sz w:val="18"/>
        </w:rPr>
        <w:t>https://pubmed.ncbi.nlm.nih.gov/42765974/</w:t>
      </w:r>
    </w:p>
    <w:p>
      <w:pPr>
        <w:pStyle w:val="Heading1"/>
      </w:pPr>
      <w:r>
        <w:t>Aufgenommen am 27.09.2026</w:t>
      </w:r>
    </w:p>
    <w:p>
      <w:pPr>
        <w:pStyle w:val="Heading2"/>
      </w:pPr>
      <w:r>
        <w:t>Geschlechtsspezifische Depressionsdiagnostik: Validierung des DESY-PC in der Primärversorgung</w:t>
      </w:r>
    </w:p>
    <w:p>
      <w:r>
        <w:rPr>
          <w:i/>
          <w:color w:val="666666"/>
          <w:sz w:val="18"/>
        </w:rPr>
        <w:t>Schäffler L et al.  ·  Eur Arch Psychiatry Clin Neurosci  ·  26.09.2026  ·  PMID 42799905</w:t>
      </w:r>
    </w:p>
    <w:p>
      <w:r>
        <w:t>Sekundäranalyse einer diagnostischen Querschnittsstudie mit 431 Primärversorgungspatienten (61% Frauen) zur Testgüte des neuen DESY-PC-Fragebogens versus PHQ-9 mit strukturiertem klinischem Interview als Goldstandard.</w:t>
      </w:r>
    </w:p>
    <w:p>
      <w:r>
        <w:rPr>
          <w:b/>
        </w:rPr>
        <w:t xml:space="preserve">Ergebnis: </w:t>
      </w:r>
      <w:r>
        <w:t>DESY-PC zeigte vergleichbare diagnostische Genauigkeit bei Frauen (AUC 0,85, 95% CI 0,80-0,91) und Männern (AUC 0,90, 95% CI 0,83-0,97, p=0,340). Sensitivität und Spezifität waren ausgeglichen (Cut-off 16: Sensitivität Frauen 74%, Männer 83%, p=0,422; Spezifität Frauen 82%, Männer 87%, p=0,220). Messinvarianz über Geschlechter bestätigt.</w:t>
      </w:r>
    </w:p>
    <w:p>
      <w:r>
        <w:rPr>
          <w:b/>
          <w:sz w:val="19"/>
        </w:rPr>
        <w:t xml:space="preserve">Übertragbarkeit: </w:t>
      </w:r>
      <w:r>
        <w:rPr>
          <w:sz w:val="19"/>
        </w:rPr>
        <w:t>Deutsche Akademische Primärversorgungspraxis in München; Screening-Instrument systemunabhängig</w:t>
      </w:r>
    </w:p>
    <w:p>
      <w:r>
        <w:rPr>
          <w:color w:val="5A7D3A"/>
          <w:sz w:val="18"/>
        </w:rPr>
        <w:t>https://pubmed.ncbi.nlm.nih.gov/42799905/</w:t>
      </w:r>
    </w:p>
    <w:p>
      <w:pPr>
        <w:pStyle w:val="Heading2"/>
      </w:pPr>
      <w:r>
        <w:t>Psychische Gesundheitsdiagnosen bei Kindern und Jugendlichen vor und während COVID-19 in Niedersachsen</w:t>
      </w:r>
    </w:p>
    <w:p>
      <w:r>
        <w:rPr>
          <w:i/>
          <w:color w:val="666666"/>
          <w:sz w:val="18"/>
        </w:rPr>
        <w:t>Jobski K et al.  ·  Children (Basel)  ·  14.09.2026  ·  PMID 42794265</w:t>
      </w:r>
    </w:p>
    <w:p>
      <w:r>
        <w:t>Trends-Analyse mit Routinedaten der AOK Niedersachsen 2018-2022 bei etwa 500.000 Versicherten unter 18 Jahren zur Inzidenz und Prävalenz von Angststörungen, depressiven Störungen, Essstörungen und ADHS.</w:t>
      </w:r>
    </w:p>
    <w:p>
      <w:r>
        <w:rPr>
          <w:b/>
        </w:rPr>
        <w:t xml:space="preserve">Ergebnis: </w:t>
      </w:r>
      <w:r>
        <w:t>2021 höchste Inzidenz für Angststörungen (34,7/1.000), gefolgt von ADHS (18,0/1.000), Depression (13,7/1.000) und Essstörungen (2,7/1.000). Vergleich 2019 zu 2021: Inzidenzen stiegen alle, besonders bei Mädchen 15-17 Jahre (Angst +23%, Depression +25%, ADHS +54%, Essstörungen +90%). 2022 Rückgang, aber Prävalenz bei Mädchen nicht auf Vor-Pandemie-Niveau.</w:t>
      </w:r>
    </w:p>
    <w:p>
      <w:r>
        <w:rPr>
          <w:b/>
          <w:sz w:val="19"/>
        </w:rPr>
        <w:t xml:space="preserve">Übertragbarkeit: </w:t>
      </w:r>
      <w:r>
        <w:rPr>
          <w:sz w:val="19"/>
        </w:rPr>
        <w:t>Deutsche Routinedaten, gesetzlich versicherte Kinder und Jugendliche Niedersachsen</w:t>
      </w:r>
    </w:p>
    <w:p>
      <w:r>
        <w:rPr>
          <w:color w:val="5A7D3A"/>
          <w:sz w:val="18"/>
        </w:rPr>
        <w:t>https://pubmed.ncbi.nlm.nih.gov/42794265/</w:t>
      </w:r>
    </w:p>
    <w:p>
      <w:pPr>
        <w:pStyle w:val="Heading2"/>
      </w:pPr>
      <w:r>
        <w:t>Schlaganfallzertifizierung und Prozessqualität in der akuten ischämischen Schlaganfallbehandlung</w:t>
      </w:r>
    </w:p>
    <w:p>
      <w:r>
        <w:rPr>
          <w:i/>
          <w:color w:val="666666"/>
          <w:sz w:val="18"/>
        </w:rPr>
        <w:t>Boehl M et al.  ·  Neurol Res Pract  ·  25.09.2026  ·  PMID 42791587</w:t>
      </w:r>
    </w:p>
    <w:p>
      <w:r>
        <w:t>Retrospektive Registeranalyse zur Assoziation zwischen Schlaganfalleinheitszertifizierung und Qualitätsindikatoren der intravenösen Thrombolyse in Hessen 2021-2024.</w:t>
      </w:r>
    </w:p>
    <w:p>
      <w:r>
        <w:rPr>
          <w:b/>
        </w:rPr>
        <w:t xml:space="preserve">Ergebnis: </w:t>
      </w:r>
      <w:r>
        <w:t>Zertifizierte Schlaganfalleinheiten führten signifikant häufiger Thrombolyse durch (primär 4,5 h: OR 2,32, 95% CI 1,65-3,27 für pSU; OR 2,19, 95% CI 1,57-3,07 für cSU). Door-to-needle ≤60 min wurden häufiger erreicht (pSU OR 3,13, 95% CI 2,13-4,61; cSU OR 2,60, 95% CI 1,80-3,75). Zertifizierung ist mit besseren Prozessqualitätsindikatoren assoziiert.</w:t>
      </w:r>
    </w:p>
    <w:p>
      <w:r>
        <w:rPr>
          <w:b/>
          <w:sz w:val="19"/>
        </w:rPr>
        <w:t xml:space="preserve">Übertragbarkeit: </w:t>
      </w:r>
      <w:r>
        <w:rPr>
          <w:sz w:val="19"/>
        </w:rPr>
        <w:t>Deutsche Routinedaten aus Hessen, gesetzlich versicherte Schlaganfallpatienten</w:t>
      </w:r>
    </w:p>
    <w:p>
      <w:r>
        <w:rPr>
          <w:color w:val="5A7D3A"/>
          <w:sz w:val="18"/>
        </w:rPr>
        <w:t>https://pubmed.ncbi.nlm.nih.gov/42791587/</w:t>
      </w:r>
    </w:p>
    <w:p>
      <w:pPr>
        <w:pStyle w:val="Heading2"/>
      </w:pPr>
      <w:r>
        <w:t>Patient-reported Experience und psychische Gesundheit: Unterschiede zwischen Immigrant*innen und norwegischer Bevölkerung in der Psychiatrie</w:t>
      </w:r>
    </w:p>
    <w:p>
      <w:r>
        <w:rPr>
          <w:i/>
          <w:color w:val="666666"/>
          <w:sz w:val="18"/>
        </w:rPr>
        <w:t>Ellingsen-Dalskau LH et al.  ·  BMC Health Serv Res  ·  12.09.2026  ·  PMID 42791573</w:t>
      </w:r>
    </w:p>
    <w:p>
      <w:r>
        <w:t>Nationale Befragung (2020-2022) von 8.184 Patienten in norwegischen psychiatrischen Stationen mit gemischten Methoden zu Unterschieden in Patientenerfahrung und Zwangsmaßnahmen zwischen Immigrant*innen und Mehrheitsbevölkerung.</w:t>
      </w:r>
    </w:p>
    <w:p>
      <w:r>
        <w:rPr>
          <w:b/>
        </w:rPr>
        <w:t xml:space="preserve">Ergebnis: </w:t>
      </w:r>
      <w:r>
        <w:t>Einige Immigrant*innengruppen berichteten höhere Zwangsanwendung und geringere Verbesserung der psychischen Gesundheit; qualitative Analyse zeigte unterschiedliche Erwartungen, Vertrauen, Kommunikation und Informationszugang als Einflussfaktoren. Insgesamt ähnliche Erfahrungswerte, aber kontextabhängige Unterschiede.</w:t>
      </w:r>
    </w:p>
    <w:p>
      <w:r>
        <w:rPr>
          <w:b/>
          <w:sz w:val="19"/>
        </w:rPr>
        <w:t xml:space="preserve">Übertragbarkeit: </w:t>
      </w:r>
      <w:r>
        <w:rPr>
          <w:sz w:val="19"/>
        </w:rPr>
        <w:t>Norwegen, Skandinavien mit ähnlichem Sozialversicherungssystem; Patientenperspektive übertragbar</w:t>
      </w:r>
    </w:p>
    <w:p>
      <w:r>
        <w:rPr>
          <w:color w:val="5A7D3A"/>
          <w:sz w:val="18"/>
        </w:rPr>
        <w:t>https://pubmed.ncbi.nlm.nih.gov/42791573/</w:t>
      </w:r>
    </w:p>
    <w:p>
      <w:pPr>
        <w:pStyle w:val="Heading2"/>
      </w:pPr>
      <w:r>
        <w:t>Bedeutung von Präsenzberatung in TIA-Kliniken aus Patienten- und Fachperspektive</w:t>
      </w:r>
    </w:p>
    <w:p>
      <w:r>
        <w:rPr>
          <w:i/>
          <w:color w:val="666666"/>
          <w:sz w:val="18"/>
        </w:rPr>
        <w:t>Heath J et al.  ·  BMC Health Serv Res  ·  14.09.2026  ·  PMID 42791572</w:t>
      </w:r>
    </w:p>
    <w:p>
      <w:r>
        <w:t>Qualitative Interviews mit 15 Patienten und 12 Fachpersonen in England zur Evaluation von virtuellen versus Face-to-Face-TIA-Kliniken während und nach COVID-19.</w:t>
      </w:r>
    </w:p>
    <w:p>
      <w:r>
        <w:rPr>
          <w:b/>
        </w:rPr>
        <w:t xml:space="preserve">Ergebnis: </w:t>
      </w:r>
      <w:r>
        <w:t>Patienten betonten die Wichtigkeit von Präsenzkontakt ('being seen'); zwei Kernthemen identifiziert: (1) bessere Kommunikationsmöglichkeiten und (2) Gefühl, von einem multiprofessionellen Team versorgt zu werden. Fachpersonen sahen virtuelle Kliniken positiver als Patienten; eine Hybrid-Lösung könnte optimal sein.</w:t>
      </w:r>
    </w:p>
    <w:p>
      <w:r>
        <w:rPr>
          <w:b/>
          <w:sz w:val="19"/>
        </w:rPr>
        <w:t xml:space="preserve">Übertragbarkeit: </w:t>
      </w:r>
      <w:r>
        <w:rPr>
          <w:sz w:val="19"/>
        </w:rPr>
        <w:t>Großbritannien (NHS), aber Fragestellung zu Patientenperspektive systemunabhängig</w:t>
      </w:r>
    </w:p>
    <w:p>
      <w:r>
        <w:rPr>
          <w:color w:val="5A7D3A"/>
          <w:sz w:val="18"/>
        </w:rPr>
        <w:t>https://pubmed.ncbi.nlm.nih.gov/42791572/</w:t>
      </w:r>
    </w:p>
    <w:p>
      <w:pPr>
        <w:pStyle w:val="Heading2"/>
      </w:pPr>
      <w:r>
        <w:t>Patient-Journey-Mapping für allogene Stammzelltransplantation: Holistische Versorgungsbedarfe</w:t>
      </w:r>
    </w:p>
    <w:p>
      <w:r>
        <w:rPr>
          <w:i/>
          <w:color w:val="666666"/>
          <w:sz w:val="18"/>
        </w:rPr>
        <w:t>Nan J et al.  ·  BMC Health Serv Res  ·  13.08.2026  ·  PMID 42786489</w:t>
      </w:r>
    </w:p>
    <w:p>
      <w:r>
        <w:t>Qualitative Studie mit 16 allogenen-HSCT-Patienten (November-Dezember 2025) zur Kartierung der Gesundheitsmanagement-Reise über vier Phasen (Screening, Transplantation, Erhaltungstherapie, Langzeit-Follow-up).</w:t>
      </w:r>
    </w:p>
    <w:p>
      <w:r>
        <w:rPr>
          <w:b/>
        </w:rPr>
        <w:t xml:space="preserve">Ergebnis: </w:t>
      </w:r>
      <w:r>
        <w:t>31 Themen über drei Dimensionen identifiziert (Aufgabenausführung, emotionaler Zustand, Schmerzpunkte). Symptombelastung verschoben sich dynamisch: psychische Belastung und Entscheidungslähmung in Phase 1, akute physische Symptome in Phase 2, chronische funktionelle Rückgänge in Phase 4. Durchgehend kritische Schmerzpunkte: fragmentierte Übergänge, Misalignment von Information zu Bedarf, fehlendes Selbstmanagement-Support, finanzielle Last.</w:t>
      </w:r>
    </w:p>
    <w:p>
      <w:r>
        <w:rPr>
          <w:b/>
          <w:sz w:val="19"/>
        </w:rPr>
        <w:t xml:space="preserve">Übertragbarkeit: </w:t>
      </w:r>
      <w:r>
        <w:rPr>
          <w:sz w:val="19"/>
        </w:rPr>
        <w:t>China, aber patient-centered Journey-Mapping-Methodik systemunabhängig übertragbar</w:t>
      </w:r>
    </w:p>
    <w:p>
      <w:r>
        <w:rPr>
          <w:color w:val="5A7D3A"/>
          <w:sz w:val="18"/>
        </w:rPr>
        <w:t>https://pubmed.ncbi.nlm.nih.gov/42786489/</w:t>
      </w:r>
    </w:p>
    <w:p>
      <w:pPr>
        <w:pStyle w:val="Heading1"/>
      </w:pPr>
      <w:r>
        <w:t>Aufgenommen am 26.09.2026</w:t>
      </w:r>
    </w:p>
    <w:p>
      <w:pPr>
        <w:pStyle w:val="Heading2"/>
      </w:pPr>
      <w:r>
        <w:t>Strukturiertes Shared Decision-Making in der Krankenhausversorgung</w:t>
      </w:r>
    </w:p>
    <w:p>
      <w:r>
        <w:rPr>
          <w:i/>
          <w:color w:val="666666"/>
          <w:sz w:val="18"/>
        </w:rPr>
        <w:t>Salas-Gama K et al.  ·  J Healthc Qual Res  ·  25.09.2026  ·  PMID 42790349</w:t>
      </w:r>
    </w:p>
    <w:p>
      <w:r>
        <w:t>Entwicklung und pilotweise Implementierung eines sechsstufigen Shared-Decision-Making-Modells zur Integration in Krankenhausabläufe mit Evaluation von Machbarkeit, Akzeptabilität und Outcome.</w:t>
      </w:r>
    </w:p>
    <w:p>
      <w:r>
        <w:rPr>
          <w:b/>
        </w:rPr>
        <w:t xml:space="preserve">Ergebnis: </w:t>
      </w:r>
      <w:r>
        <w:t>Bei Adipositas berichteten SDM-Teilnehmer höheres Patientenwissen (80,0% vs. 48,8%; p&lt;0,001) und größere Entscheidungszufriedenheit (28,0 vs. 24,2; p=0,022). Bei chronischer Nierenkrankheit zeigte sich signifikant höheres Wissen (91,1% vs. 37,1%; p&lt;0,001). Machbarkeitsschwellen wurden in beiden Indikationen erreicht.</w:t>
      </w:r>
    </w:p>
    <w:p>
      <w:r>
        <w:rPr>
          <w:b/>
          <w:sz w:val="19"/>
        </w:rPr>
        <w:t xml:space="preserve">Übertragbarkeit: </w:t>
      </w:r>
      <w:r>
        <w:rPr>
          <w:sz w:val="19"/>
        </w:rPr>
        <w:t>Spanien, Pilotprojekt im Krankenhaus - methodische Übertragbarkeit auf deutsches Setting gegeben</w:t>
      </w:r>
    </w:p>
    <w:p>
      <w:r>
        <w:rPr>
          <w:color w:val="5A7D3A"/>
          <w:sz w:val="18"/>
        </w:rPr>
        <w:t>https://pubmed.ncbi.nlm.nih.gov/42790349/</w:t>
      </w:r>
    </w:p>
    <w:p>
      <w:pPr>
        <w:pStyle w:val="Heading2"/>
      </w:pPr>
      <w:r>
        <w:t>Surgery on Foot-Protokoll: Patientenerfahrung bei Kolorektalkarzinom</w:t>
      </w:r>
    </w:p>
    <w:p>
      <w:r>
        <w:rPr>
          <w:i/>
          <w:color w:val="666666"/>
          <w:sz w:val="18"/>
        </w:rPr>
        <w:t>van Gool ISM et al.  ·  J Surg Oncol  ·  25.09.2026  ·  PMID 42788955</w:t>
      </w:r>
    </w:p>
    <w:p>
      <w:r>
        <w:t>Qualitative Studie zu Patientenerfahrungen mit dem Surgery-on-Foot-Protokoll, bei dem Patienten am OP-Tag (statt Vortagnacht) aufgenommen und zur OP gehen.</w:t>
      </w:r>
    </w:p>
    <w:p>
      <w:r>
        <w:rPr>
          <w:b/>
        </w:rPr>
        <w:t xml:space="preserve">Ergebnis: </w:t>
      </w:r>
      <w:r>
        <w:t>14 Patienten befragt; Gesamterfahrung positiv. Faktoren für Kontrollgefühl: persönlicher Umgang, involvierte Ärzte und Anwesenheit von Bezugspersonen. Einige Patienten berichteten Angst und Unbehagen bezüglich Krankenhausumgebung. Protokoll wirkte sich positiv auf patientenzentrierte Aspekte aus.</w:t>
      </w:r>
    </w:p>
    <w:p>
      <w:r>
        <w:rPr>
          <w:b/>
          <w:sz w:val="19"/>
        </w:rPr>
        <w:t xml:space="preserve">Übertragbarkeit: </w:t>
      </w:r>
      <w:r>
        <w:rPr>
          <w:sz w:val="19"/>
        </w:rPr>
        <w:t>Niederlande (akademisches Krankenhaus), vergleichbares Versorgungssystem mit Deutschland</w:t>
      </w:r>
    </w:p>
    <w:p>
      <w:r>
        <w:rPr>
          <w:color w:val="5A7D3A"/>
          <w:sz w:val="18"/>
        </w:rPr>
        <w:t>https://pubmed.ncbi.nlm.nih.gov/42788955/</w:t>
      </w:r>
    </w:p>
    <w:p>
      <w:pPr>
        <w:pStyle w:val="Heading2"/>
      </w:pPr>
      <w:r>
        <w:t>Transformatives Governance-Modell für Gesundheit - Evaluierung des Programms Alles ist Gezondheid</w:t>
      </w:r>
    </w:p>
    <w:p>
      <w:r>
        <w:rPr>
          <w:i/>
          <w:color w:val="666666"/>
          <w:sz w:val="18"/>
        </w:rPr>
        <w:t>Bekker MPM et al.  ·  TSG  ·  16.09.2026  ·  PMID 42787321</w:t>
      </w:r>
    </w:p>
    <w:p>
      <w:r>
        <w:t>Mehrfachfallstudie zur Evaluierung eines niederländischen Programms für domeinoverstijgende Gesundheitsnetze; Entwicklung eines heuristischen Transformativen-Governance-Modells basierend auf Interviews, Beobachtungen und Workshops.</w:t>
      </w:r>
    </w:p>
    <w:p>
      <w:r>
        <w:rPr>
          <w:b/>
        </w:rPr>
        <w:t xml:space="preserve">Ergebnis: </w:t>
      </w:r>
      <w:r>
        <w:t>Fünf Small Wins und fünf Veränderungsmechanismen identifiziert, die sich nicht-linear gegenseitig verstärken. Konflikteskalation und -management essentiell für Anpassung von Normen und Regeln. Modell zeigt, wie Transformationsprozesse durch nationale Plattform und Zusammenarbeit ermöglicht werden.</w:t>
      </w:r>
    </w:p>
    <w:p>
      <w:r>
        <w:rPr>
          <w:b/>
          <w:sz w:val="19"/>
        </w:rPr>
        <w:t xml:space="preserve">Übertragbarkeit: </w:t>
      </w:r>
      <w:r>
        <w:rPr>
          <w:sz w:val="19"/>
        </w:rPr>
        <w:t>Niederlande, Sozialversicherungssystem - hohe Übertragbarkeit auf Deutschland</w:t>
      </w:r>
    </w:p>
    <w:p>
      <w:r>
        <w:rPr>
          <w:color w:val="5A7D3A"/>
          <w:sz w:val="18"/>
        </w:rPr>
        <w:t>https://pubmed.ncbi.nlm.nih.gov/42787321/</w:t>
      </w:r>
    </w:p>
    <w:p>
      <w:pPr>
        <w:pStyle w:val="Heading2"/>
      </w:pPr>
      <w:r>
        <w:t>Komplexität von Beatmungsentwöhnung in der Intensivmedizin</w:t>
      </w:r>
    </w:p>
    <w:p>
      <w:r>
        <w:rPr>
          <w:i/>
          <w:color w:val="666666"/>
          <w:sz w:val="18"/>
        </w:rPr>
        <w:t>Sterr F et al.  ·  Nurs Crit Care  ·  Nov. 2026  ·  PMID 42786673</w:t>
      </w:r>
    </w:p>
    <w:p>
      <w:r>
        <w:t>Qualitative Studie mit 29 Intensivpflegefachkräften zur Identifikation von Charakteristika und Mechanismen der Beatmungsentwöhnung als komplexe Intervention.</w:t>
      </w:r>
    </w:p>
    <w:p>
      <w:r>
        <w:rPr>
          <w:b/>
        </w:rPr>
        <w:t xml:space="preserve">Ergebnis: </w:t>
      </w:r>
      <w:r>
        <w:t>Vier Hauptthemen identifiziert: Komplexität der Beatmungsentwöhnung, Outcomes, Interventionen sowie Verknüpfungen und Wechselwirkungen. Analyse zeigt, dass Beatmungsentwöhnung durch Interaktion verschiedener Interventionen, Outcomes und kontextueller Faktoren geprägt ist und theoretisch-konzeptuell organisiert werden muss.</w:t>
      </w:r>
    </w:p>
    <w:p>
      <w:r>
        <w:rPr>
          <w:b/>
          <w:sz w:val="19"/>
        </w:rPr>
        <w:t xml:space="preserve">Übertragbarkeit: </w:t>
      </w:r>
      <w:r>
        <w:rPr>
          <w:sz w:val="19"/>
        </w:rPr>
        <w:t>Deutschland, qualitative Analyse von Intensivpflegeprozessen - systemunabhängig übertragbar</w:t>
      </w:r>
    </w:p>
    <w:p>
      <w:r>
        <w:rPr>
          <w:color w:val="5A7D3A"/>
          <w:sz w:val="18"/>
        </w:rPr>
        <w:t>https://pubmed.ncbi.nlm.nih.gov/42786673/</w:t>
      </w:r>
    </w:p>
    <w:p>
      <w:pPr>
        <w:pStyle w:val="Heading2"/>
      </w:pPr>
      <w:r>
        <w:t>Vertrauen in Gesundheitssystem und Vermeidung von Gesundheitsleistungen</w:t>
      </w:r>
    </w:p>
    <w:p>
      <w:r>
        <w:rPr>
          <w:i/>
          <w:color w:val="666666"/>
          <w:sz w:val="18"/>
        </w:rPr>
        <w:t>Uçar M et al.  ·  BMC Health Serv Res  ·  31.08.2026  ·  PMID 42786500</w:t>
      </w:r>
    </w:p>
    <w:p>
      <w:r>
        <w:t>Querschnittsuntersuchung zum Zusammenhang zwischen medizinischem Vertrauen, Systemvertrauen und Verzögerungsverhalten bei der Inanspruchnahme sowie Einstellung zu Krebsscreening in der Primärversorgung.</w:t>
      </w:r>
    </w:p>
    <w:p>
      <w:r>
        <w:rPr>
          <w:b/>
        </w:rPr>
        <w:t xml:space="preserve">Ergebnis: </w:t>
      </w:r>
      <w:r>
        <w:t>Medizinisches Misstrauen und Systemvertrauen waren positiv mit Verzögerungsverhalten assoziiert und negativ mit Screening-Einstellungen (p&lt;0,001). Medizinisches Misstrauen zeigte stärkste unabhängige Assoziation mit Verzögerungsverhalten (β=0,59) und Screening-Einstellung (β=-0,79).</w:t>
      </w:r>
    </w:p>
    <w:p>
      <w:r>
        <w:rPr>
          <w:b/>
          <w:sz w:val="19"/>
        </w:rPr>
        <w:t xml:space="preserve">Übertragbarkeit: </w:t>
      </w:r>
      <w:r>
        <w:rPr>
          <w:sz w:val="19"/>
        </w:rPr>
        <w:t>Türkei, aber Fragestellung zum Vertrauensaufbau systemunabhängig relevant</w:t>
      </w:r>
    </w:p>
    <w:p>
      <w:r>
        <w:rPr>
          <w:color w:val="5A7D3A"/>
          <w:sz w:val="18"/>
        </w:rPr>
        <w:t>https://pubmed.ncbi.nlm.nih.gov/42786500/</w:t>
      </w:r>
    </w:p>
    <w:p>
      <w:pPr>
        <w:pStyle w:val="Heading2"/>
      </w:pPr>
      <w:r>
        <w:t>Versorgungslücken in der Rehabilitation von unter 60-Jährigen in Deutschland</w:t>
      </w:r>
    </w:p>
    <w:p>
      <w:r>
        <w:rPr>
          <w:i/>
          <w:color w:val="666666"/>
          <w:sz w:val="18"/>
        </w:rPr>
        <w:t>Armbruster C et al.  ·  BMC Health Serv Res  ·  24.09.2026  ·  PMID 42786497</w:t>
      </w:r>
    </w:p>
    <w:p>
      <w:r>
        <w:t>Exploratory Expertenbefragung zu Versorgungslücken und Machbarkeit einer indikationsübergreifenden, ambulanten Rehabilitationsversorgung für Patienten unter 60 Jahren mit komplexen Beeinträchtigungen.</w:t>
      </w:r>
    </w:p>
    <w:p>
      <w:r>
        <w:rPr>
          <w:b/>
        </w:rPr>
        <w:t xml:space="preserve">Ergebnis: </w:t>
      </w:r>
      <w:r>
        <w:t>136 Experten aus sechs Fachbereichen nahmen teil; überwiegende Mehrheit sah hohe Versorgungslücken in aktuellen Rehabilitationsdiensten. Experten bewerteten indikationsübergreifende, ambulante Rehabilitation positiv bezüglich Nutzen und Notwendigkeit, um bestehende Versorgungslücken zu schließen.</w:t>
      </w:r>
    </w:p>
    <w:p>
      <w:r>
        <w:rPr>
          <w:b/>
          <w:sz w:val="19"/>
        </w:rPr>
        <w:t xml:space="preserve">Übertragbarkeit: </w:t>
      </w:r>
      <w:r>
        <w:rPr>
          <w:sz w:val="19"/>
        </w:rPr>
        <w:t>Deutsche Expertenbefragung, direkt auf deutsches Versorgungssystem anwendbar</w:t>
      </w:r>
    </w:p>
    <w:p>
      <w:r>
        <w:rPr>
          <w:color w:val="5A7D3A"/>
          <w:sz w:val="18"/>
        </w:rPr>
        <w:t>https://pubmed.ncbi.nlm.nih.gov/42786497/</w:t>
      </w:r>
    </w:p>
    <w:p>
      <w:pPr>
        <w:pStyle w:val="Heading1"/>
      </w:pPr>
      <w:r>
        <w:t>Aufgenommen am 25.09.2026</w:t>
      </w:r>
    </w:p>
    <w:p>
      <w:pPr>
        <w:pStyle w:val="Heading2"/>
      </w:pPr>
      <w:r>
        <w:t>Morbiditäten und Infektionen bei MS-Patienten in niederländischen Hausarztpraxen</w:t>
      </w:r>
    </w:p>
    <w:p>
      <w:r>
        <w:rPr>
          <w:i/>
          <w:color w:val="666666"/>
          <w:sz w:val="18"/>
        </w:rPr>
        <w:t>Lemmens CMC et al.  ·  Mult Scler Relat Disord  ·  14.09.2026  ·  PMID 42785001</w:t>
      </w:r>
    </w:p>
    <w:p>
      <w:r>
        <w:t>Retrospektive Fall-Kontroll-Studie zu Begleiterkrankungen und Infektionsraten bei MS-Patienten versus Kontrollpersonen in niederländischen Primärversorgungspraxen (Nivel-Datenbank 2019).</w:t>
      </w:r>
    </w:p>
    <w:p>
      <w:r>
        <w:rPr>
          <w:b/>
        </w:rPr>
        <w:t xml:space="preserve">Ergebnis: </w:t>
      </w:r>
      <w:r>
        <w:t>MS-Patienten zeigten höhere Lebenszeitprävalenz chronischer Erkrankungen (insbesondere Osteoporose, Schlaganfall, Epilepsie); jährliche Infektionsrate OR 1,86 (95%-KI 1,73–1,99). CCI-Scores ≥2 und ≥1 Infektionsepisode waren mit erhöhter 5-Jahres-Mortalität assoziiert (aHR 3,30 bzw. 1,68).</w:t>
      </w:r>
    </w:p>
    <w:p>
      <w:r>
        <w:rPr>
          <w:b/>
          <w:sz w:val="19"/>
        </w:rPr>
        <w:t xml:space="preserve">Übertragbarkeit: </w:t>
      </w:r>
      <w:r>
        <w:rPr>
          <w:sz w:val="19"/>
        </w:rPr>
        <w:t>Niederlande, Primärversorgungsdaten; vergleichbares Sozialversicherungssystem</w:t>
      </w:r>
    </w:p>
    <w:p>
      <w:r>
        <w:rPr>
          <w:color w:val="5A7D3A"/>
          <w:sz w:val="18"/>
        </w:rPr>
        <w:t>https://pubmed.ncbi.nlm.nih.gov/42785001/</w:t>
      </w:r>
    </w:p>
    <w:p>
      <w:pPr>
        <w:pStyle w:val="Heading2"/>
      </w:pPr>
      <w:r>
        <w:t>Patientenperspektiven auf Apotheker-gesteuertes Hypertonie-Management nach Notaufnahme</w:t>
      </w:r>
    </w:p>
    <w:p>
      <w:r>
        <w:rPr>
          <w:i/>
          <w:color w:val="666666"/>
          <w:sz w:val="18"/>
        </w:rPr>
        <w:t>Kuhn D et al.  ·  Am J Health Syst Pharm  ·  24.09.2026  ·  PMID 42781767</w:t>
      </w:r>
    </w:p>
    <w:p>
      <w:r>
        <w:t>Qualitative Studie mit 11 Patienten aus urban-akademischer Notaufnahme zur Akzeptanz von Apotheker-gesteuerter Hypertonie-Nachbetreuung nach Entlassung.</w:t>
      </w:r>
    </w:p>
    <w:p>
      <w:r>
        <w:rPr>
          <w:b/>
        </w:rPr>
        <w:t xml:space="preserve">Ergebnis: </w:t>
      </w:r>
      <w:r>
        <w:t>Vier Themen: (1) begrenzte Hypertonie-Kommunikation, Wissenslücken; (2) Technologie mindert Barrieren; (3) Apotheker-Expertise akzeptiert, aber Unsicherheit zu Qualifikation/Verschreibungsrecht; (4) Wert von Kontinuität und Arzt-Apotheker-Zusammenarbeit.</w:t>
      </w:r>
    </w:p>
    <w:p>
      <w:r>
        <w:rPr>
          <w:b/>
          <w:sz w:val="19"/>
        </w:rPr>
        <w:t xml:space="preserve">Übertragbarkeit: </w:t>
      </w:r>
      <w:r>
        <w:rPr>
          <w:sz w:val="19"/>
        </w:rPr>
        <w:t>USA, aber Fragestellung zu Prozessen/Patientenperspektive teilweise übertragbar</w:t>
      </w:r>
    </w:p>
    <w:p>
      <w:r>
        <w:rPr>
          <w:color w:val="5A7D3A"/>
          <w:sz w:val="18"/>
        </w:rPr>
        <w:t>https://pubmed.ncbi.nlm.nih.gov/42781767/</w:t>
      </w:r>
    </w:p>
    <w:p>
      <w:pPr>
        <w:pStyle w:val="Heading2"/>
      </w:pPr>
      <w:r>
        <w:t>Referenzpreise beeinflussen Kostenanalysen in gesundheitsökonomischen Evaluationen</w:t>
      </w:r>
    </w:p>
    <w:p>
      <w:r>
        <w:rPr>
          <w:i/>
          <w:color w:val="666666"/>
          <w:sz w:val="18"/>
        </w:rPr>
        <w:t>Hoelen TA et al.  ·  Int J Technol Assess Health Care  ·  24.09.2026  ·  PMID 42779108</w:t>
      </w:r>
    </w:p>
    <w:p>
      <w:r>
        <w:t>Empirischer Vergleich der Auswirkungen nationaler Preisrichtlinien auf Kostenanalysen von Gesundheitstechnologien anhand idiopathischer Skoliose in Niederlanden und Großbritannien.</w:t>
      </w:r>
    </w:p>
    <w:p>
      <w:r>
        <w:rPr>
          <w:b/>
        </w:rPr>
        <w:t xml:space="preserve">Ergebnis: </w:t>
      </w:r>
      <w:r>
        <w:t>Niederländische Kostenestimate stiegen um 18% nach Richtlinien-Update 2014–2024; UK-Kosten waren 69% höher als in NL. Zwölf niederländische Kostenposten änderten sich um &gt;10%, vier britische – deutliche Methodenvariation zwischen Ländern.</w:t>
      </w:r>
    </w:p>
    <w:p>
      <w:r>
        <w:rPr>
          <w:b/>
          <w:sz w:val="19"/>
        </w:rPr>
        <w:t xml:space="preserve">Übertragbarkeit: </w:t>
      </w:r>
      <w:r>
        <w:rPr>
          <w:sz w:val="19"/>
        </w:rPr>
        <w:t>Niederlande, Vereinigtes Königreich; zentrale Erkenntnisse zu Übertragbarkeitsgrenzen</w:t>
      </w:r>
    </w:p>
    <w:p>
      <w:r>
        <w:rPr>
          <w:color w:val="5A7D3A"/>
          <w:sz w:val="18"/>
        </w:rPr>
        <w:t>https://pubmed.ncbi.nlm.nih.gov/42779108/</w:t>
      </w:r>
    </w:p>
    <w:p>
      <w:pPr>
        <w:pStyle w:val="Heading2"/>
      </w:pPr>
      <w:r>
        <w:t>Regionale Demenz-Strategie durch Delphi-Prozess: Sachsen-Anhalt</w:t>
      </w:r>
    </w:p>
    <w:p>
      <w:r>
        <w:rPr>
          <w:i/>
          <w:color w:val="666666"/>
          <w:sz w:val="18"/>
        </w:rPr>
        <w:t>Schiller C et al.  ·  BMC Health Serv Res  ·  22.09.2026  ·  PMID 42778917</w:t>
      </w:r>
    </w:p>
    <w:p>
      <w:r>
        <w:t>Partizipative, zweiphasige Methode (Delphi + deliberative Dialoge) zur Entwicklung einer regionalen Demenz-Strategie mit 406 Teilnehmern (Betroffene, Angehörige, Fachkräfte, Politiker).</w:t>
      </w:r>
    </w:p>
    <w:p>
      <w:r>
        <w:rPr>
          <w:b/>
        </w:rPr>
        <w:t xml:space="preserve">Ergebnis: </w:t>
      </w:r>
      <w:r>
        <w:t>88 initiale Ziele; 47 erreichten Konsens in Runde 1, 21 weitere in Runde 2, 7 durch Dialoge validiert. Finale Strategie: 40 strategische Ziele in vier Themenbereichen. Identifizierte Hürden: Fachkräftemangel, Bürokratie, Angehörigen-Belastung.</w:t>
      </w:r>
    </w:p>
    <w:p>
      <w:r>
        <w:rPr>
          <w:b/>
          <w:sz w:val="19"/>
        </w:rPr>
        <w:t xml:space="preserve">Übertragbarkeit: </w:t>
      </w:r>
      <w:r>
        <w:rPr>
          <w:sz w:val="19"/>
        </w:rPr>
        <w:t>Deutschland (Sachsen-Anhalt); direkter Übertrag auf Versorgungsplanung</w:t>
      </w:r>
    </w:p>
    <w:p>
      <w:r>
        <w:rPr>
          <w:color w:val="5A7D3A"/>
          <w:sz w:val="18"/>
        </w:rPr>
        <w:t>https://pubmed.ncbi.nlm.nih.gov/42778917/</w:t>
      </w:r>
    </w:p>
    <w:p>
      <w:pPr>
        <w:pStyle w:val="Heading2"/>
      </w:pPr>
      <w:r>
        <w:t>Ökonomische Evaluation von Prävention gegen Langzeiterkrankschreibung</w:t>
      </w:r>
    </w:p>
    <w:p>
      <w:r>
        <w:rPr>
          <w:i/>
          <w:color w:val="666666"/>
          <w:sz w:val="18"/>
        </w:rPr>
        <w:t>Klasen S et al.  ·  J Occup Rehabil  ·  23.09.2026  ·  PMID 42778834</w:t>
      </w:r>
    </w:p>
    <w:p>
      <w:r>
        <w:t>Gesundheitsökonomische Analyse einer Früh-Interventionsstrategie gegen Langzeitausfallrisiko basierend auf RCT-Daten mit 12-Monats-Follow-up in Niederlanden.</w:t>
      </w:r>
    </w:p>
    <w:p>
      <w:r>
        <w:rPr>
          <w:b/>
        </w:rPr>
        <w:t xml:space="preserve">Ergebnis: </w:t>
      </w:r>
      <w:r>
        <w:t>Aus Arbeitgeber-Perspektive dominant (€–3,92/Punkt Selbstempfundene-Gesundheit-Verbesserung mit Kostenersparnis durch reduzierte Krankschreibung). Aus Gesellschafts- und Gesundheitswesen-Perspektive: ICER €39,19–39,77/Punkt.</w:t>
      </w:r>
    </w:p>
    <w:p>
      <w:r>
        <w:rPr>
          <w:b/>
          <w:sz w:val="19"/>
        </w:rPr>
        <w:t xml:space="preserve">Übertragbarkeit: </w:t>
      </w:r>
      <w:r>
        <w:rPr>
          <w:sz w:val="19"/>
        </w:rPr>
        <w:t>Niederlande, Sozialversicherungssystem, Arbeitsmedizin-Fokus</w:t>
      </w:r>
    </w:p>
    <w:p>
      <w:r>
        <w:rPr>
          <w:color w:val="5A7D3A"/>
          <w:sz w:val="18"/>
        </w:rPr>
        <w:t>https://pubmed.ncbi.nlm.nih.gov/42778834/</w:t>
      </w:r>
    </w:p>
    <w:p>
      <w:pPr>
        <w:pStyle w:val="Heading2"/>
      </w:pPr>
      <w:r>
        <w:t>Kosteneffektivität von endoskopischer Schlauchmagen-Bildung in Singapur</w:t>
      </w:r>
    </w:p>
    <w:p>
      <w:r>
        <w:rPr>
          <w:i/>
          <w:color w:val="666666"/>
          <w:sz w:val="18"/>
        </w:rPr>
        <w:t>Chay J et al.  ·  Surg Obes Relat Dis  ·  28.08.2026  ·  PMID 42767913</w:t>
      </w:r>
    </w:p>
    <w:p>
      <w:r>
        <w:t>Markov-Modell zur Lebenszeitanalyse von endoskopischer Schlauchmagen-Bildung plus Lebensstiländerung versus alleinige Lebensstiländerung bei Adipositas.</w:t>
      </w:r>
    </w:p>
    <w:p>
      <w:r>
        <w:rPr>
          <w:b/>
        </w:rPr>
        <w:t xml:space="preserve">Ergebnis: </w:t>
      </w:r>
      <w:r>
        <w:t>ICER SG$24.580/QALY (US$18.410). Für Patienten ohne T2D: SG$19.320/QALY; mit T2D: SG$37.320/QALY. Bei Schwelle SG$75.000/QALY kosteneffektiv in 98,8% probabilistischer Sensitivitätsanalysen.</w:t>
      </w:r>
    </w:p>
    <w:p>
      <w:r>
        <w:rPr>
          <w:b/>
          <w:sz w:val="19"/>
        </w:rPr>
        <w:t xml:space="preserve">Übertragbarkeit: </w:t>
      </w:r>
      <w:r>
        <w:rPr>
          <w:sz w:val="19"/>
        </w:rPr>
        <w:t>Nur bedingt: Singapur-Kontext, andere Kostenstrukturen; Fragestellung aber systemunabhängig</w:t>
      </w:r>
    </w:p>
    <w:p>
      <w:r>
        <w:rPr>
          <w:color w:val="5A7D3A"/>
          <w:sz w:val="18"/>
        </w:rPr>
        <w:t>https://pubmed.ncbi.nlm.nih.gov/42767913/</w:t>
      </w:r>
    </w:p>
    <w:p>
      <w:pPr>
        <w:pStyle w:val="Heading1"/>
      </w:pPr>
      <w:r>
        <w:t>Aufgenommen am 24.09.2026</w:t>
      </w:r>
    </w:p>
    <w:p>
      <w:pPr>
        <w:pStyle w:val="Heading2"/>
      </w:pPr>
      <w:r>
        <w:t>Rauchen und schwere Erkrankungen: 10-Jahres-Assoziation mit Nikotinentwöhnung</w:t>
      </w:r>
    </w:p>
    <w:p>
      <w:r>
        <w:rPr>
          <w:i/>
          <w:color w:val="666666"/>
          <w:sz w:val="18"/>
        </w:rPr>
        <w:t>Imai E et al.  ·  J Epidemiol  ·  19.09.2026  ·  PMID 42778372</w:t>
      </w:r>
    </w:p>
    <w:p>
      <w:r>
        <w:t>Prospektive Kohortenstudie mit 17.779 japanischen Rauchern zur Assoziation von Herzinfarkt, Schlaganfall, Krebs und Chirurgie mit langfristiger Rauchentwöhnung.</w:t>
      </w:r>
    </w:p>
    <w:p>
      <w:r>
        <w:rPr>
          <w:b/>
        </w:rPr>
        <w:t xml:space="preserve">Ergebnis: </w:t>
      </w:r>
      <w:r>
        <w:t>26,9 % der Raucher (n=4.789) beendeten das Rauchen über 10 Jahre. Major-disease-Diagnosen zeigten starke Assoziation mit Entwöhnung (OR 5,39; 95%-KI 4,80–6,05); Herzinfarkt OR 6,87 (95%-KI 5,18–9,12), Schlaganfall OR 4,03 (95%-KI 3,40–4,78), Lungenkrebs OR 7,41 (95%-KI 4,44–12,51).</w:t>
      </w:r>
    </w:p>
    <w:p>
      <w:r>
        <w:rPr>
          <w:b/>
          <w:sz w:val="19"/>
        </w:rPr>
        <w:t xml:space="preserve">Übertragbarkeit: </w:t>
      </w:r>
      <w:r>
        <w:rPr>
          <w:sz w:val="19"/>
        </w:rPr>
        <w:t>Japan – Fragestellung systemunabhängig; vergleichbare Verhaltensforschung übertragbar</w:t>
      </w:r>
    </w:p>
    <w:p>
      <w:r>
        <w:rPr>
          <w:color w:val="5A7D3A"/>
          <w:sz w:val="18"/>
        </w:rPr>
        <w:t>https://pubmed.ncbi.nlm.nih.gov/42778372/</w:t>
      </w:r>
    </w:p>
    <w:p>
      <w:pPr>
        <w:pStyle w:val="Heading2"/>
      </w:pPr>
      <w:r>
        <w:t>Gemeindeverankerung und Verbleib von Ärzten in unterversorgten Regionen</w:t>
      </w:r>
    </w:p>
    <w:p>
      <w:r>
        <w:rPr>
          <w:i/>
          <w:color w:val="666666"/>
          <w:sz w:val="18"/>
        </w:rPr>
        <w:t>Pathman DE et al.  ·  JAMA Netw Open  ·  01.09.2026  ·  PMID 42776525</w:t>
      </w:r>
    </w:p>
    <w:p>
      <w:r>
        <w:t>Querschnittsstudie mit 1.074 Ärzten in ländlichen und urbanen Health Professional Shortage Areas (HPSA) zur Assoziation von Gemeindeintegration mit beabsichtigtem Verbleib.</w:t>
      </w:r>
    </w:p>
    <w:p>
      <w:r>
        <w:rPr>
          <w:b/>
        </w:rPr>
        <w:t xml:space="preserve">Ergebnis: </w:t>
      </w:r>
      <w:r>
        <w:t>75,5 % der Ärzte in ländlichen und 71,2 % in urbanen HPSA planten Verbleib &gt;2 Jahre (p=0,14). Beide Dimensionen (Gemeindeintegration β=0,58–0,69; Gemeindebedarfserfüllung β=0,56–0,61) waren unabhängig assoziiert mit Verbleib; keine signifikanten ländlich-urbanen Unterschiede.</w:t>
      </w:r>
    </w:p>
    <w:p>
      <w:r>
        <w:rPr>
          <w:b/>
          <w:sz w:val="19"/>
        </w:rPr>
        <w:t xml:space="preserve">Übertragbarkeit: </w:t>
      </w:r>
      <w:r>
        <w:rPr>
          <w:sz w:val="19"/>
        </w:rPr>
        <w:t>USA-Daten – Fragestellung zu Ärztebindung aber systemunabhängig relevant</w:t>
      </w:r>
    </w:p>
    <w:p>
      <w:r>
        <w:rPr>
          <w:color w:val="5A7D3A"/>
          <w:sz w:val="18"/>
        </w:rPr>
        <w:t>https://pubmed.ncbi.nlm.nih.gov/42776525/</w:t>
      </w:r>
    </w:p>
    <w:p>
      <w:pPr>
        <w:pStyle w:val="Heading2"/>
      </w:pPr>
      <w:r>
        <w:t>Unkomplizierte Harnwegsinfekte: Apothekerverschreibung in der Gemeindepharmzie</w:t>
      </w:r>
    </w:p>
    <w:p>
      <w:r>
        <w:rPr>
          <w:i/>
          <w:color w:val="666666"/>
          <w:sz w:val="18"/>
        </w:rPr>
        <w:t>Budden M et al.  ·  Int J Clin Pharm  ·  23.09.2026  ·  PMID 42776432</w:t>
      </w:r>
    </w:p>
    <w:p>
      <w:r>
        <w:t>Große Kohortenstudie (n=14.680 Follow-up) zu Wirksamkeit und Sicherheit von strukturierter Apothekerverschreibung für unkomplizierte Harnwegsinfekte in Australien.</w:t>
      </w:r>
    </w:p>
    <w:p>
      <w:r>
        <w:rPr>
          <w:b/>
        </w:rPr>
        <w:t xml:space="preserve">Ergebnis: </w:t>
      </w:r>
      <w:r>
        <w:t>Symptomauflösung nach 7 Tagen bei 79,4 % der Patienten, weitere 17,9 % mit Teilbesserung. Antibiotika in 92,6 % verschrieben, Überweisungen in 6,9 %, Nebenwirkungen in 5,0 % (meist milde gastrointestinale Symptome).</w:t>
      </w:r>
    </w:p>
    <w:p>
      <w:r>
        <w:rPr>
          <w:b/>
          <w:sz w:val="19"/>
        </w:rPr>
        <w:t xml:space="preserve">Übertragbarkeit: </w:t>
      </w:r>
      <w:r>
        <w:rPr>
          <w:sz w:val="19"/>
        </w:rPr>
        <w:t>Australien – vergleichbar zu Apotheker-Extended-Services in Sozialversicherungssystemen</w:t>
      </w:r>
    </w:p>
    <w:p>
      <w:r>
        <w:rPr>
          <w:color w:val="5A7D3A"/>
          <w:sz w:val="18"/>
        </w:rPr>
        <w:t>https://pubmed.ncbi.nlm.nih.gov/42776432/</w:t>
      </w:r>
    </w:p>
    <w:p>
      <w:pPr>
        <w:pStyle w:val="Heading2"/>
      </w:pPr>
      <w:r>
        <w:t>Augenärztliche Versorgung in deutschen Seniorenheimen: TOVIS-Studie</w:t>
      </w:r>
    </w:p>
    <w:p>
      <w:r>
        <w:rPr>
          <w:i/>
          <w:color w:val="666666"/>
          <w:sz w:val="18"/>
        </w:rPr>
        <w:t>Ach T et al.  ·  Z Gerontol Geriatr  ·  23.09.2026  ·  PMID 42776232</w:t>
      </w:r>
    </w:p>
    <w:p>
      <w:r>
        <w:t>Narrative Übersicht mit Fokus auf Versorgungslücken bei Augenerkrankungen in deutschen Pflegeheimen und Teleophthalmologie-Modell TOVIS (n=109 Bewohner).</w:t>
      </w:r>
    </w:p>
    <w:p>
      <w:r>
        <w:rPr>
          <w:b/>
        </w:rPr>
        <w:t xml:space="preserve">Ergebnis: </w:t>
      </w:r>
      <w:r>
        <w:t>OVIS-Studie: 61 % der Bewohner hatten behandlungsbedürftige ophthalmologische Befunde (Katarakt 53 %, AMD 39 %); letzte Augenarztvisite durchschnittlich 4 Jahre zurück. TOVIS-Pilotstudie: 48,5 % visusrelevante Katarakt, 34,1 % AMD, 60,6 % unzureichend angepasste Brille; nur 26,9 % der empfohlenen Nachuntersuchungen tatsächlich wahrgenommen.</w:t>
      </w:r>
    </w:p>
    <w:p>
      <w:r>
        <w:rPr>
          <w:b/>
          <w:sz w:val="19"/>
        </w:rPr>
        <w:t xml:space="preserve">Übertragbarkeit: </w:t>
      </w:r>
      <w:r>
        <w:rPr>
          <w:sz w:val="19"/>
        </w:rPr>
        <w:t>Deutsche Daten, Seniorenheime – direkt auf deutsches System übertragbar</w:t>
      </w:r>
    </w:p>
    <w:p>
      <w:r>
        <w:rPr>
          <w:color w:val="5A7D3A"/>
          <w:sz w:val="18"/>
        </w:rPr>
        <w:t>https://pubmed.ncbi.nlm.nih.gov/42776232/</w:t>
      </w:r>
    </w:p>
    <w:p>
      <w:pPr>
        <w:pStyle w:val="Heading2"/>
      </w:pPr>
      <w:r>
        <w:t>Soziale Determinanten und Gesundheitsungleichheit: Systemdynamische Perspektive</w:t>
      </w:r>
    </w:p>
    <w:p>
      <w:r>
        <w:rPr>
          <w:i/>
          <w:color w:val="666666"/>
          <w:sz w:val="18"/>
        </w:rPr>
        <w:t>Sturmberg JP et al.  ·  Front Public Health  ·  08.09.2026  ·  PMID 42774359</w:t>
      </w:r>
    </w:p>
    <w:p>
      <w:r>
        <w:t>Konzeptionelle Übersichtsarbeit zu Mechanismen, wie vernetzte soziale Determinanten Gesundheitsungleichheit durch biologisches Embedding und Rückkopplungsschleifen über die Lebensspanne verfestigen.</w:t>
      </w:r>
    </w:p>
    <w:p>
      <w:r>
        <w:rPr>
          <w:b/>
        </w:rPr>
        <w:t xml:space="preserve">Ergebnis: </w:t>
      </w:r>
      <w:r>
        <w:t>Kernaussage: Frühe biologische Prägung (Stressregulation, Entzündung, Epigenetik) und systemische Rückkopplungsschleifen stabilisieren Nachteil über Generationen; Nichtlinearität erklärt begrenzte Effekte isolierter Interventionen. Koordinierte, ortsgestützte Strategien und relationale Kontinuität in Primärversorgung zeigen Potenzial.</w:t>
      </w:r>
    </w:p>
    <w:p>
      <w:r>
        <w:rPr>
          <w:b/>
          <w:sz w:val="19"/>
        </w:rPr>
        <w:t xml:space="preserve">Übertragbarkeit: </w:t>
      </w:r>
      <w:r>
        <w:rPr>
          <w:sz w:val="19"/>
        </w:rPr>
        <w:t>Konzeptionelle Analyse – systemunabhängig, aber besonders relevant für Versorgungsstruktur</w:t>
      </w:r>
    </w:p>
    <w:p>
      <w:r>
        <w:rPr>
          <w:color w:val="5A7D3A"/>
          <w:sz w:val="18"/>
        </w:rPr>
        <w:t>https://pubmed.ncbi.nlm.nih.gov/42774359/</w:t>
      </w:r>
    </w:p>
    <w:p>
      <w:pPr>
        <w:pStyle w:val="Heading2"/>
      </w:pPr>
      <w:r>
        <w:t>Künstliche Intelligenz in der Kosten-Effektivitäts-Bewertung von Schmerztherapie</w:t>
      </w:r>
    </w:p>
    <w:p>
      <w:r>
        <w:rPr>
          <w:i/>
          <w:color w:val="666666"/>
          <w:sz w:val="18"/>
        </w:rPr>
        <w:t>Zmudzki F et al.  ·  Expert Rev Pharmacoecon Outcomes Res  ·  22.09.2026  ·  PMID 42773780</w:t>
      </w:r>
    </w:p>
    <w:p>
      <w:r>
        <w:t>Übersichtsarbeit zu Integration von KI-Methoden in ökonomische Evaluationen zur Präzisionsmedizin bei chronischem Schmerz.</w:t>
      </w:r>
    </w:p>
    <w:p>
      <w:r>
        <w:rPr>
          <w:b/>
        </w:rPr>
        <w:t xml:space="preserve">Ergebnis: </w:t>
      </w:r>
      <w:r>
        <w:t>Diskussion, wie maschinelles Lernen und automatisierte Datenverarbeitung ökonomische Rahmen für personalisierte Schmerzmanagement-Strategien verbessern können; konkrete Ergebnisse im Abstract nicht quantifiziert.</w:t>
      </w:r>
    </w:p>
    <w:p>
      <w:r>
        <w:rPr>
          <w:b/>
          <w:sz w:val="19"/>
        </w:rPr>
        <w:t xml:space="preserve">Übertragbarkeit: </w:t>
      </w:r>
      <w:r>
        <w:rPr>
          <w:sz w:val="19"/>
        </w:rPr>
        <w:t>Konzeptionelle Methodologie – systemunabhängig auf KI-Anwendungen fokussiert</w:t>
      </w:r>
    </w:p>
    <w:p>
      <w:r>
        <w:rPr>
          <w:color w:val="5A7D3A"/>
          <w:sz w:val="18"/>
        </w:rPr>
        <w:t>https://pubmed.ncbi.nlm.nih.gov/42773780/</w:t>
      </w:r>
    </w:p>
    <w:p>
      <w:pPr>
        <w:pStyle w:val="Heading1"/>
      </w:pPr>
      <w:r>
        <w:t>Aufgenommen am 23.09.2026</w:t>
      </w:r>
    </w:p>
    <w:p>
      <w:pPr>
        <w:pStyle w:val="Heading2"/>
      </w:pPr>
      <w:r>
        <w:t>Einkommensvolatilität und Mortalität bei Depression</w:t>
      </w:r>
    </w:p>
    <w:p>
      <w:r>
        <w:rPr>
          <w:i/>
          <w:color w:val="666666"/>
          <w:sz w:val="18"/>
        </w:rPr>
        <w:t>Cho H et al.  ·  J Korean Med Sci  ·  21.09.2026  ·  PMID 42773077</w:t>
      </w:r>
    </w:p>
    <w:p>
      <w:r>
        <w:t>Koreanische Kohortenstudie an 735.922 Personen mit Depression, die Zusammenhang zwischen Einkommensvolatilität und all-cause-Mortalität sowie Hospitalisierungen untersuchte.</w:t>
      </w:r>
    </w:p>
    <w:p>
      <w:r>
        <w:rPr>
          <w:b/>
        </w:rPr>
        <w:t xml:space="preserve">Ergebnis: </w:t>
      </w:r>
      <w:r>
        <w:t>Höhere Einkommensvolatilität assoziiert mit erhöhtem Mortalitätsrisiko (HR 1,18; 95%-KI 1,16–1,19) und Hospitalisierungen (IRR 1,07; 1,06–1,08). Bei Männern stärker ausgeprägt (HR 1,26 vs. 1,12 bei Frauen). Besonders hohe Risiken für Bluterkrankungen (IRR 1,47), endokrine Erkrankungen (1,40) und psychische Störungen (1,26).</w:t>
      </w:r>
    </w:p>
    <w:p>
      <w:r>
        <w:rPr>
          <w:b/>
          <w:sz w:val="19"/>
        </w:rPr>
        <w:t xml:space="preserve">Übertragbarkeit: </w:t>
      </w:r>
      <w:r>
        <w:rPr>
          <w:sz w:val="19"/>
        </w:rPr>
        <w:t>Südkorea – begrenzte Übertragbarkeit auf deutsches System mit anderer Sozialstruktur</w:t>
      </w:r>
    </w:p>
    <w:p>
      <w:r>
        <w:rPr>
          <w:color w:val="5A7D3A"/>
          <w:sz w:val="18"/>
        </w:rPr>
        <w:t>https://pubmed.ncbi.nlm.nih.gov/42773077/</w:t>
      </w:r>
    </w:p>
    <w:p>
      <w:pPr>
        <w:pStyle w:val="Heading2"/>
      </w:pPr>
      <w:r>
        <w:t>Ultra-verarbeitete Lebensmittel und chronische Erkrankungen</w:t>
      </w:r>
    </w:p>
    <w:p>
      <w:r>
        <w:rPr>
          <w:i/>
          <w:color w:val="666666"/>
          <w:sz w:val="18"/>
        </w:rPr>
        <w:t>Liu X et al.  ·  Fam Med Community Health  ·  22.09.2026  ·  PMID 42773062</w:t>
      </w:r>
    </w:p>
    <w:p>
      <w:r>
        <w:t>Metaanalyse von 51 prospektiven Kohortenstudien mit 8,8 Mio. Teilnehmern zu Risiken ultra-verarbeiteter Lebensmittel.</w:t>
      </w:r>
    </w:p>
    <w:p>
      <w:r>
        <w:rPr>
          <w:b/>
        </w:rPr>
        <w:t xml:space="preserve">Ergebnis: </w:t>
      </w:r>
      <w:r>
        <w:t>Ultra-verarbeitete Lebensmittel assoziiert mit kardiovaskulären Ereignissen (HR 1,24), Krebs (HR 1,12), Adipositas (HR 1,23), Diabetes (HR 1,24), Depression/Angststörung (HR 1,27), Verdauungserkrankungen (HR 1,31) und all-cause-Mortalität (HR 1,18). Pro 100 g/Tag zusätzlich: kardiovaskuläre Ereignisse HR 1,14.</w:t>
      </w:r>
    </w:p>
    <w:p>
      <w:r>
        <w:rPr>
          <w:b/>
          <w:sz w:val="19"/>
        </w:rPr>
        <w:t xml:space="preserve">Übertragbarkeit: </w:t>
      </w:r>
      <w:r>
        <w:rPr>
          <w:sz w:val="19"/>
        </w:rPr>
        <w:t>Internationale Daten – Fragestellung systemunabhängig, für Public-Health-Empfehlungen universell übertragbar</w:t>
      </w:r>
    </w:p>
    <w:p>
      <w:r>
        <w:rPr>
          <w:color w:val="5A7D3A"/>
          <w:sz w:val="18"/>
        </w:rPr>
        <w:t>https://pubmed.ncbi.nlm.nih.gov/42773062/</w:t>
      </w:r>
    </w:p>
    <w:p>
      <w:pPr>
        <w:pStyle w:val="Heading2"/>
      </w:pPr>
      <w:r>
        <w:t>Kardiovaskuläre Autonome Neuropathie und Diabeteskomplikationen</w:t>
      </w:r>
    </w:p>
    <w:p>
      <w:r>
        <w:rPr>
          <w:i/>
          <w:color w:val="666666"/>
          <w:sz w:val="18"/>
        </w:rPr>
        <w:t>Ignacy P et al.  ·  Clin Ther  ·  22.09.2026  ·  PMID 42773037</w:t>
      </w:r>
    </w:p>
    <w:p>
      <w:r>
        <w:t>Polnische Querschnittsstudie mit 728 Diabetespatienten zur Assoziation zwischen mikrovaskulären/makrovaskulären Komplikationen und kardiovaskulärer autonomer Neuropathie.</w:t>
      </w:r>
    </w:p>
    <w:p>
      <w:r>
        <w:rPr>
          <w:b/>
        </w:rPr>
        <w:t xml:space="preserve">Ergebnis: </w:t>
      </w:r>
      <w:r>
        <w:t>Kardiovaskuläre autonome Neuropathie bei 48,2% (davon definit 15,8%). Unabhängig assoziiert mit diabetischer Retinopathie (OR 2,26; 95%-KI 1,25–4,19; p=0,008); borderline mit CKD (OR 1,57; p=0,049). Keine signifikante Assoziation mit ASCVD.</w:t>
      </w:r>
    </w:p>
    <w:p>
      <w:r>
        <w:rPr>
          <w:b/>
          <w:sz w:val="19"/>
        </w:rPr>
        <w:t xml:space="preserve">Übertragbarkeit: </w:t>
      </w:r>
      <w:r>
        <w:rPr>
          <w:sz w:val="19"/>
        </w:rPr>
        <w:t>Polen – ähnliches Sozialversicherungssystem, gute Übertragbarkeit auf Deutschland</w:t>
      </w:r>
    </w:p>
    <w:p>
      <w:r>
        <w:rPr>
          <w:color w:val="5A7D3A"/>
          <w:sz w:val="18"/>
        </w:rPr>
        <w:t>https://pubmed.ncbi.nlm.nih.gov/42773037/</w:t>
      </w:r>
    </w:p>
    <w:p>
      <w:pPr>
        <w:pStyle w:val="Heading2"/>
      </w:pPr>
      <w:r>
        <w:t>Persona-Methode in partizipativer Versorgungsforschung</w:t>
      </w:r>
    </w:p>
    <w:p>
      <w:r>
        <w:rPr>
          <w:i/>
          <w:color w:val="666666"/>
          <w:sz w:val="18"/>
        </w:rPr>
        <w:t>Dittmer K et al.  ·  Z Evid Fortbild Qual Gesundhwes  ·  22.09.2026  ·  PMID 42773021</w:t>
      </w:r>
    </w:p>
    <w:p>
      <w:r>
        <w:t>Deutschsprachiger Methodenbericht zur Anwendung der Persona-Methode bei partizipativer Versorgungsforschung mit Fokusgruppen und Expert*innen.</w:t>
      </w:r>
    </w:p>
    <w:p>
      <w:r>
        <w:rPr>
          <w:b/>
        </w:rPr>
        <w:t xml:space="preserve">Ergebnis: </w:t>
      </w:r>
      <w:r>
        <w:t>Personas integrieren Erfahrungswissen mehrerer Experten anonym, ohne persönliche Daten preiszugeben; ideal für vulnerable Gruppen. Risiken: Stereotypisierung; Mitigation durch reflektive Entwicklungsprozesse. Reflexionsfragen zur Bias-Reduktion werden präsentiert.</w:t>
      </w:r>
    </w:p>
    <w:p>
      <w:r>
        <w:rPr>
          <w:b/>
          <w:sz w:val="19"/>
        </w:rPr>
        <w:t xml:space="preserve">Übertragbarkeit: </w:t>
      </w:r>
      <w:r>
        <w:rPr>
          <w:sz w:val="19"/>
        </w:rPr>
        <w:t>Deutsches Projekt – direkt übertragbar auf deutsche Versorgungsforschung</w:t>
      </w:r>
    </w:p>
    <w:p>
      <w:r>
        <w:rPr>
          <w:color w:val="5A7D3A"/>
          <w:sz w:val="18"/>
        </w:rPr>
        <w:t>https://pubmed.ncbi.nlm.nih.gov/42773021/</w:t>
      </w:r>
    </w:p>
    <w:p>
      <w:pPr>
        <w:pStyle w:val="Heading2"/>
      </w:pPr>
      <w:r>
        <w:t>Mobile Screening-Einheit für Barretts Ösophagus in England</w:t>
      </w:r>
    </w:p>
    <w:p>
      <w:r>
        <w:rPr>
          <w:i/>
          <w:color w:val="666666"/>
          <w:sz w:val="18"/>
        </w:rPr>
        <w:t>Landy R et al.  ·  BMJ Open Gastroenterol  ·  22.09.2026  ·  PMID 42772946</w:t>
      </w:r>
    </w:p>
    <w:p>
      <w:r>
        <w:t>Implementierungsstudie in England mit mobiler Einheit zur Kapselschwamm-Testung bei Refluxpatienten; Vergleich Hausarzt-Rekrutierung vs. Selbstmeldung.</w:t>
      </w:r>
    </w:p>
    <w:p>
      <w:r>
        <w:rPr>
          <w:b/>
        </w:rPr>
        <w:t xml:space="preserve">Ergebnis: </w:t>
      </w:r>
      <w:r>
        <w:t>Bei GP-Einladung: 50% Antwortquote, 59,6% interessiert, 66,3% elegibel, 532 teilgenommen; 15% aller Eingeladenen erfolgreich getestet. Bei Selbstmeldung: 39,6% erfolgreich getestet. Barretts-Prävalenz 4,2% (GP-invitiert) vs. 3,4% (Selbstmeldung). Akzeptanz &gt;99%.</w:t>
      </w:r>
    </w:p>
    <w:p>
      <w:r>
        <w:rPr>
          <w:b/>
          <w:sz w:val="19"/>
        </w:rPr>
        <w:t xml:space="preserve">Übertragbarkeit: </w:t>
      </w:r>
      <w:r>
        <w:rPr>
          <w:sz w:val="19"/>
        </w:rPr>
        <w:t>Großbritannien – ähnliche Primärversorgungsstruktur, begrenzte Übertragbarkeit (steuerfinanziert)</w:t>
      </w:r>
    </w:p>
    <w:p>
      <w:r>
        <w:rPr>
          <w:color w:val="5A7D3A"/>
          <w:sz w:val="18"/>
        </w:rPr>
        <w:t>https://pubmed.ncbi.nlm.nih.gov/42772946/</w:t>
      </w:r>
    </w:p>
    <w:p>
      <w:pPr>
        <w:pStyle w:val="Heading2"/>
      </w:pPr>
      <w:r>
        <w:t>Forschungsprioritäten in Hebammentätigkeit und Geburtshilfe</w:t>
      </w:r>
    </w:p>
    <w:p>
      <w:r>
        <w:rPr>
          <w:i/>
          <w:color w:val="666666"/>
          <w:sz w:val="18"/>
        </w:rPr>
        <w:t>Field J et al.  ·  BMJ Open  ·  21.09.2026  ·  PMID 42767736</w:t>
      </w:r>
    </w:p>
    <w:p>
      <w:r>
        <w:t>UK James-Lind-Alliance Priority-Setting Partnership mit 977 Befragten (Hebammen, Eltern, schwangere Personen) zur Identifikation von Forschungslücken in Geburtshilfe.</w:t>
      </w:r>
    </w:p>
    <w:p>
      <w:r>
        <w:rPr>
          <w:b/>
        </w:rPr>
        <w:t xml:space="preserve">Ergebnis: </w:t>
      </w:r>
      <w:r>
        <w:t>68 Priority-Topics identifiziert, nach evidenzbasierter Prüfung auf 67 reduziert, dann von 548 Befragten gereiht. 10 Top-Prioritäten durch Konsens vereinbart; umfassen klinische Versorgung, Personalwohlbefinden und Ausbildung.</w:t>
      </w:r>
    </w:p>
    <w:p>
      <w:r>
        <w:rPr>
          <w:b/>
          <w:sz w:val="19"/>
        </w:rPr>
        <w:t xml:space="preserve">Übertragbarkeit: </w:t>
      </w:r>
      <w:r>
        <w:rPr>
          <w:sz w:val="19"/>
        </w:rPr>
        <w:t>Großbritannien – methodisch stark, bedingt übertragbar auf deutsches Hebammensystem</w:t>
      </w:r>
    </w:p>
    <w:p>
      <w:r>
        <w:rPr>
          <w:color w:val="5A7D3A"/>
          <w:sz w:val="18"/>
        </w:rPr>
        <w:t>https://pubmed.ncbi.nlm.nih.gov/42767736/</w:t>
      </w:r>
    </w:p>
    <w:p>
      <w:pPr>
        <w:pStyle w:val="Heading2"/>
      </w:pPr>
      <w:r>
        <w:t>FeNO und Blut-Eosinophile zur Asthmadiagnose bei Kindern und Erwachsenen</w:t>
      </w:r>
    </w:p>
    <w:p>
      <w:r>
        <w:rPr>
          <w:i/>
          <w:color w:val="666666"/>
          <w:sz w:val="18"/>
        </w:rPr>
        <w:t>Roy MA et al.  ·  Lancet Respir Med  ·  15.09.2026  ·  PMID 42743935</w:t>
      </w:r>
    </w:p>
    <w:p>
      <w:r>
        <w:t>Metaanalyse von 30 diagnostischen Studien (22 bei Erwachsenen, 9 bei Kindern) zur Genauigkeit von FeNO und Blut-Eosinophilen gegenüber Bronchialprovokationstests.</w:t>
      </w:r>
    </w:p>
    <w:p>
      <w:r>
        <w:rPr>
          <w:b/>
        </w:rPr>
        <w:t xml:space="preserve">Ergebnis: </w:t>
      </w:r>
      <w:r>
        <w:t>FeNO diagnostische Genauigkeit: Erwachsene AUC 0,80, Kinder AUC 0,75. Bei Erwachsenen FeNO≥65 ppb: positive Vorhersagekraft 80%, &lt;20 ppb: negative VK 93%. Blut-Eosinophile schwache Leistung (AUC 0,65). Prospektive Validierung in DIVE-Kohorte (n=123) bestätigte Ergebnisse (FeNO AUC 0,77).</w:t>
      </w:r>
    </w:p>
    <w:p>
      <w:r>
        <w:rPr>
          <w:b/>
          <w:sz w:val="19"/>
        </w:rPr>
        <w:t xml:space="preserve">Übertragbarkeit: </w:t>
      </w:r>
      <w:r>
        <w:rPr>
          <w:sz w:val="19"/>
        </w:rPr>
        <w:t>Internationale Daten mit prospektiver Primärversorgungsvalidierung – Diagnostik systemunabhängig</w:t>
      </w:r>
    </w:p>
    <w:p>
      <w:r>
        <w:rPr>
          <w:color w:val="5A7D3A"/>
          <w:sz w:val="18"/>
        </w:rPr>
        <w:t>https://pubmed.ncbi.nlm.nih.gov/42743935/</w:t>
      </w:r>
    </w:p>
    <w:p>
      <w:pPr>
        <w:pStyle w:val="Heading1"/>
      </w:pPr>
      <w:r>
        <w:t>Aufgenommen am 22.09.2026</w:t>
      </w:r>
    </w:p>
    <w:p>
      <w:pPr>
        <w:pStyle w:val="Heading2"/>
      </w:pPr>
      <w:r>
        <w:t>Teletherapy-Einsatz in der Physiotherapie: deutsche Versorgungsforschung zu Barrieren und Förderfaktoren</w:t>
      </w:r>
    </w:p>
    <w:p>
      <w:r>
        <w:rPr>
          <w:i/>
          <w:color w:val="666666"/>
          <w:sz w:val="18"/>
        </w:rPr>
        <w:t>Michels T et al.  ·  JMIR Form Res  ·  21.09.2026  ·  PMID 42766842</w:t>
      </w:r>
    </w:p>
    <w:p>
      <w:r>
        <w:t>Querschnittsstudie von 458 Physiotherapeuten in Deutschland, die Barrieren und Förderfaktoren für die Implementierung von Teletherapie in der Praxis erfasste.</w:t>
      </w:r>
    </w:p>
    <w:p>
      <w:r>
        <w:rPr>
          <w:b/>
        </w:rPr>
        <w:t xml:space="preserve">Ergebnis: </w:t>
      </w:r>
      <w:r>
        <w:t>Nur 6,6 % der Teilnehmer hatten Teletherapie-Erfahrung; 87,3 % hielten Teletherapie für sinnvoll, aber nur 15,5 % fühlten sich ausreichend informiert. Häufigste Barrieren: Integration in Praxisroutinen, unzureichende Informationen zu rechtlichen Rahmenbedingungen und digitale Infrastruktur (Nennungen nicht weiter spezifiziert). Die Ergebnisse zeigen hohe Akzeptanz bei niedriger Nutzung und Informationsdefiziten.</w:t>
      </w:r>
    </w:p>
    <w:p>
      <w:r>
        <w:rPr>
          <w:b/>
          <w:sz w:val="19"/>
        </w:rPr>
        <w:t xml:space="preserve">Übertragbarkeit: </w:t>
      </w:r>
      <w:r>
        <w:rPr>
          <w:sz w:val="19"/>
        </w:rPr>
        <w:t>Deutsche Routinedaten aus der Physiotherapie; direkt auf das System übertragbar.</w:t>
      </w:r>
    </w:p>
    <w:p>
      <w:r>
        <w:rPr>
          <w:color w:val="5A7D3A"/>
          <w:sz w:val="18"/>
        </w:rPr>
        <w:t>https://pubmed.ncbi.nlm.nih.gov/42766842/</w:t>
      </w:r>
    </w:p>
    <w:p>
      <w:pPr>
        <w:pStyle w:val="Heading2"/>
      </w:pPr>
      <w:r>
        <w:t>Implementierung der elektronischen Patientenakte (ePA) in deutschen Arztpraxen: qualitative Frühevaluierung</w:t>
      </w:r>
    </w:p>
    <w:p>
      <w:r>
        <w:rPr>
          <w:i/>
          <w:color w:val="666666"/>
          <w:sz w:val="18"/>
        </w:rPr>
        <w:t>May S et al.  ·  J Med Internet Res  ·  21.09.2026  ·  PMID 42766713</w:t>
      </w:r>
    </w:p>
    <w:p>
      <w:r>
        <w:t>Qualitative Studie mit 49 semistrukturierten Interviews zu Implementierungsbarrieren und -förderfaktoren der ePA in ambulanten Praxen nach dem Rollout im Januar 2025.</w:t>
      </w:r>
    </w:p>
    <w:p>
      <w:r>
        <w:rPr>
          <w:b/>
        </w:rPr>
        <w:t xml:space="preserve">Ergebnis: </w:t>
      </w:r>
      <w:r>
        <w:t>Erleichterer: Führungsengagement, interne Kommunikation und Lernklima. Barrieren: technische Instabilität, heterogene Funktionalität von Praxismanagementsystemen, begrenzte Sektorübergreifung, unzureichendes Patientenbewusstsein. Implementierung stark abhängig von Organisationskapazität und Infrastrukturstabilität, nicht von professionellem Widerstand.</w:t>
      </w:r>
    </w:p>
    <w:p>
      <w:r>
        <w:rPr>
          <w:b/>
          <w:sz w:val="19"/>
        </w:rPr>
        <w:t xml:space="preserve">Übertragbarkeit: </w:t>
      </w:r>
      <w:r>
        <w:rPr>
          <w:sz w:val="19"/>
        </w:rPr>
        <w:t>Deutsche Routinedaten zur ePA-Implementierung; hochgradig systemrelevant für deutsches Versorgungssystem.</w:t>
      </w:r>
    </w:p>
    <w:p>
      <w:r>
        <w:rPr>
          <w:color w:val="5A7D3A"/>
          <w:sz w:val="18"/>
        </w:rPr>
        <w:t>https://pubmed.ncbi.nlm.nih.gov/42766713/</w:t>
      </w:r>
    </w:p>
    <w:p>
      <w:pPr>
        <w:pStyle w:val="Heading2"/>
      </w:pPr>
      <w:r>
        <w:t>Framework für klinische Bewertung von Large Language Models in der Patientenedukation</w:t>
      </w:r>
    </w:p>
    <w:p>
      <w:r>
        <w:rPr>
          <w:i/>
          <w:color w:val="666666"/>
          <w:sz w:val="18"/>
        </w:rPr>
        <w:t>Austria D et al.  ·  JMIR Form Res  ·  21.09.2026  ·  PMID 42766478</w:t>
      </w:r>
    </w:p>
    <w:p>
      <w:r>
        <w:t>Positions- und konzeptionelle Arbeit, die ein kliniker-zentriertes Evaluierungsframework (TAM-MCRS) für LLM-generierte Patientenedukation integriert Technology Acceptance Model und Medical Condition Regard Scale.</w:t>
      </w:r>
    </w:p>
    <w:p>
      <w:r>
        <w:rPr>
          <w:b/>
        </w:rPr>
        <w:t xml:space="preserve">Ergebnis: </w:t>
      </w:r>
      <w:r>
        <w:t>Das Framework kombiniert Usefulness/Completeness mit Ease of Use/Appropriateness und erfasst dabei Evaluator-Attitudinalvarianz durch MCRS als Kovariate. Ziel ist objektive, klinisch realistische und disparity-responsive Evidenz zur Qualität von LLM-generierten Unterlagen für Patientenbildung.</w:t>
      </w:r>
    </w:p>
    <w:p>
      <w:r>
        <w:rPr>
          <w:b/>
          <w:sz w:val="19"/>
        </w:rPr>
        <w:t xml:space="preserve">Übertragbarkeit: </w:t>
      </w:r>
      <w:r>
        <w:rPr>
          <w:sz w:val="19"/>
        </w:rPr>
        <w:t>Theoretischer Ansatz systemunabhängig, aber Methodenentwicklung US-fokussiert; nur bedingt übertragbar.</w:t>
      </w:r>
    </w:p>
    <w:p>
      <w:r>
        <w:rPr>
          <w:color w:val="5A7D3A"/>
          <w:sz w:val="18"/>
        </w:rPr>
        <w:t>https://pubmed.ncbi.nlm.nih.gov/42766478/</w:t>
      </w:r>
    </w:p>
    <w:p>
      <w:pPr>
        <w:pStyle w:val="Heading2"/>
      </w:pPr>
      <w:r>
        <w:t>Kontextfaktoren und Lernbedarfe bei Leitlinienentwicklung: qualitative Multiplenfall-Studie</w:t>
      </w:r>
    </w:p>
    <w:p>
      <w:r>
        <w:rPr>
          <w:i/>
          <w:color w:val="666666"/>
          <w:sz w:val="18"/>
        </w:rPr>
        <w:t>de Mortier CA et al.  ·  Med Teach  ·  21.09.2026  ·  PMID 42766408</w:t>
      </w:r>
    </w:p>
    <w:p>
      <w:r>
        <w:t>Qualitative Längsschnittstudie mit 18 Panelmitgliedern und 10 Projektleitern in 5 niederländischen Leitlinienprojekten; Analyse, welche kontextuellen Faktoren die Lernbedarfe in der Guideline-Entwicklung prägen.</w:t>
      </w:r>
    </w:p>
    <w:p>
      <w:r>
        <w:rPr>
          <w:b/>
        </w:rPr>
        <w:t xml:space="preserve">Ergebnis: </w:t>
      </w:r>
      <w:r>
        <w:t>Drei interaktive Themen beeinflussen Lernbedarfe: Leitlinienthema (Zusammensetzung, Methodik, Evidenzunsicherheit), Partizipationsdynamiken (Hierarchie, Sicherheit), Aufgabenverteilung. Methodische Kompetenz allein genügt nicht; Lernbedarfe entstehen aus Kombination aller drei Faktoren. Empfehlung: flexible, kontextsensitive und rollenpezifische Bildungsinitiativen.</w:t>
      </w:r>
    </w:p>
    <w:p>
      <w:r>
        <w:rPr>
          <w:b/>
          <w:sz w:val="19"/>
        </w:rPr>
        <w:t xml:space="preserve">Übertragbarkeit: </w:t>
      </w:r>
      <w:r>
        <w:rPr>
          <w:sz w:val="19"/>
        </w:rPr>
        <w:t>Niederlande, Versorgungsforschungs-Setting; gut übertragbar auf deutsches System zur Leitlinienentwicklung.</w:t>
      </w:r>
    </w:p>
    <w:p>
      <w:r>
        <w:rPr>
          <w:color w:val="5A7D3A"/>
          <w:sz w:val="18"/>
        </w:rPr>
        <w:t>https://pubmed.ncbi.nlm.nih.gov/42766408/</w:t>
      </w:r>
    </w:p>
    <w:p>
      <w:pPr>
        <w:pStyle w:val="Heading2"/>
      </w:pPr>
      <w:r>
        <w:t>Länderverglichende Forschungsinfrastruktur für Diabetes-Versorgung im ländlichen Raum</w:t>
      </w:r>
    </w:p>
    <w:p>
      <w:r>
        <w:rPr>
          <w:i/>
          <w:color w:val="666666"/>
          <w:sz w:val="18"/>
        </w:rPr>
        <w:t>Murfet G et al.  ·  Glob Health Action  ·  21.09.2026  ·  PMID 42765135</w:t>
      </w:r>
    </w:p>
    <w:p>
      <w:r>
        <w:t>Konzeptuelle Positionspapier, das ein neues International Consortium for Rural Diabetes Research (ICRDR) vorstellt, um fragmentierte Diabetes-Forschung in ländlichen Regionen zu koordinieren.</w:t>
      </w:r>
    </w:p>
    <w:p>
      <w:r>
        <w:rPr>
          <w:b/>
        </w:rPr>
        <w:t xml:space="preserve">Ergebnis: </w:t>
      </w:r>
      <w:r>
        <w:t>Kernaussage: Ländliche Diabetes-Versorgungsforschung bleibt isoliert und stützt sich auf urbane Evidenz; koordinierte internationale Infrastruktur mit gemeinsamen Prioritäten, Methoden und Outcome-Maßstäben ist erforderlich. Das ICRDR adressiert Zugangsbarrien (Fachkräftemangel, Isolation, fragmentierte Services) durch Multicentre-Studien und Kapazitätsaufbau.</w:t>
      </w:r>
    </w:p>
    <w:p>
      <w:r>
        <w:rPr>
          <w:b/>
          <w:sz w:val="19"/>
        </w:rPr>
        <w:t xml:space="preserve">Übertragbarkeit: </w:t>
      </w:r>
      <w:r>
        <w:rPr>
          <w:sz w:val="19"/>
        </w:rPr>
        <w:t>Konzeptionell und methodisch international orientiert; hilft deutschem System, Evidenzlücken in ländlichen Regionen zu schließen.</w:t>
      </w:r>
    </w:p>
    <w:p>
      <w:r>
        <w:rPr>
          <w:color w:val="5A7D3A"/>
          <w:sz w:val="18"/>
        </w:rPr>
        <w:t>https://pubmed.ncbi.nlm.nih.gov/42765135/</w:t>
      </w:r>
    </w:p>
    <w:p>
      <w:pPr>
        <w:pStyle w:val="Heading2"/>
      </w:pPr>
      <w:r>
        <w:t>Kernoutcome-Set für Shared-Decision-Making-Interventionen: Entwicklungsprotokoll</w:t>
      </w:r>
    </w:p>
    <w:p>
      <w:r>
        <w:rPr>
          <w:i/>
          <w:color w:val="666666"/>
          <w:sz w:val="18"/>
        </w:rPr>
        <w:t>Hoffmann C et al.  ·  BMJ Open  ·  15.09.2026  ·  PMID 42744360</w:t>
      </w:r>
    </w:p>
    <w:p>
      <w:r>
        <w:t>Studienprotokoll zur Entwicklung eines Core Outcome Set (COS) für die Evaluation von Shared-Decision-Making-Interventionen mittels Delphi-Survey und Konsensuskonferenz.</w:t>
      </w:r>
    </w:p>
    <w:p>
      <w:r>
        <w:rPr>
          <w:b/>
        </w:rPr>
        <w:t xml:space="preserve">Ergebnis: </w:t>
      </w:r>
      <w:r>
        <w:t>Geplante Struktur: Schritt 1: Erstellung einer langen Kandidaten-Outcome-Liste durch Literaturanalyse und qualitative Interviews (mind. 20 Stakeholder). Schritt 2: Delphi-Survey mit mind. 150 internationalen Teilnehmern (Profis, Patienten) in zwei Runden zur Priorisierung. Schritt 3: Konsensus per modified nominal group technique. Laufzeit Juni 2025 bis September 2026; Ergebnisse erwartungsgemäß für standardisierte Evaluationspraxis verfügbar.</w:t>
      </w:r>
    </w:p>
    <w:p>
      <w:r>
        <w:rPr>
          <w:b/>
          <w:sz w:val="19"/>
        </w:rPr>
        <w:t xml:space="preserve">Übertragbarkeit: </w:t>
      </w:r>
      <w:r>
        <w:rPr>
          <w:sz w:val="19"/>
        </w:rPr>
        <w:t>Britische Studienkoordination; Shared Decision Making ist international etabliertes Konzept; methodisch auf deutsche SDM-Forschung anwendbar.</w:t>
      </w:r>
    </w:p>
    <w:p>
      <w:r>
        <w:rPr>
          <w:color w:val="5A7D3A"/>
          <w:sz w:val="18"/>
        </w:rPr>
        <w:t>https://pubmed.ncbi.nlm.nih.gov/42744360/</w:t>
      </w:r>
    </w:p>
    <w:p>
      <w:pPr>
        <w:pStyle w:val="Heading1"/>
      </w:pPr>
      <w:r>
        <w:t>Aufgenommen am 21.09.2026</w:t>
      </w:r>
    </w:p>
    <w:p>
      <w:pPr>
        <w:pStyle w:val="Heading2"/>
      </w:pPr>
      <w:r>
        <w:t>Geburtshilfe-Standardisierung: Ballonkatheter und Wehenmuster nach Einleitung</w:t>
      </w:r>
    </w:p>
    <w:p>
      <w:r>
        <w:rPr>
          <w:i/>
          <w:color w:val="666666"/>
          <w:sz w:val="18"/>
        </w:rPr>
        <w:t>Baboeuf A et al.  ·  J Gynecol Obstet Hum Reprod  ·  19.09.2026  ·  PMID 42762855</w:t>
      </w:r>
    </w:p>
    <w:p>
      <w:r>
        <w:t>Retrospektive Evaluierung eines standardisierten Induktionsprotokolls mit Ballonkatheter zur Zervixreifung als Erstlinientherapie vs. freie Wahl in französischer Tertiärklinik.</w:t>
      </w:r>
    </w:p>
    <w:p>
      <w:r>
        <w:rPr>
          <w:b/>
        </w:rPr>
        <w:t xml:space="preserve">Ergebnis: </w:t>
      </w:r>
      <w:r>
        <w:t>Vaginale Geburt innerhalb 24h: 27,3% (Protokoll) vs. 34,0% (Baseline), p=0,18; nächtliche Epiduralanalgesie signifikant weniger häufig nach Protokoll (35,6% vs. 46,2%, p=0,008); 77,4% der Frauen mit Gesamtzufriedenheit einverstanden.</w:t>
      </w:r>
    </w:p>
    <w:p>
      <w:r>
        <w:rPr>
          <w:b/>
          <w:sz w:val="19"/>
        </w:rPr>
        <w:t xml:space="preserve">Übertragbarkeit: </w:t>
      </w:r>
      <w:r>
        <w:rPr>
          <w:sz w:val="19"/>
        </w:rPr>
        <w:t>Französische Tertiärklinik, übertragbare Implementierungsfrage, aber begrenzte klinische Effekte</w:t>
      </w:r>
    </w:p>
    <w:p>
      <w:r>
        <w:rPr>
          <w:color w:val="5A7D3A"/>
          <w:sz w:val="18"/>
        </w:rPr>
        <w:t>https://pubmed.ncbi.nlm.nih.gov/42762855/</w:t>
      </w:r>
    </w:p>
    <w:p>
      <w:pPr>
        <w:pStyle w:val="Heading2"/>
      </w:pPr>
      <w:r>
        <w:t>Palliativversorgungsqualität für Patienten mit schweren psychischen Störungen</w:t>
      </w:r>
    </w:p>
    <w:p>
      <w:r>
        <w:rPr>
          <w:i/>
          <w:color w:val="666666"/>
          <w:sz w:val="18"/>
        </w:rPr>
        <w:t>Bøndergaard K et al.  ·  Omega (Westport)  ·  19.09.2026  ·  PMID 42762069</w:t>
      </w:r>
    </w:p>
    <w:p>
      <w:r>
        <w:t>Querschnitts-Fragebogenstudie mit dänischen Hausärzten und Palliativmedizinern zu Qualität der Palliativbetreuung bei verstorbenen Patienten mit schweren psychischen Störungen.</w:t>
      </w:r>
    </w:p>
    <w:p>
      <w:r>
        <w:rPr>
          <w:b/>
        </w:rPr>
        <w:t xml:space="preserve">Ergebnis: </w:t>
      </w:r>
      <w:r>
        <w:t>123 Fragebogen von 162 (76% Rücklaufquote); die meisten Verläufe als gut oder sehr gut bewertet; qualitative Analyse enthüllte drei Themen: Zusammenarbeit/Timing, Kommunikation/Beziehungen, Komplexität; Koordination und Kommunikation bei Lebensende-Entscheidungen teilweise herausfordernd.</w:t>
      </w:r>
    </w:p>
    <w:p>
      <w:r>
        <w:rPr>
          <w:b/>
          <w:sz w:val="19"/>
        </w:rPr>
        <w:t xml:space="preserve">Übertragbarkeit: </w:t>
      </w:r>
      <w:r>
        <w:rPr>
          <w:sz w:val="19"/>
        </w:rPr>
        <w:t>Dänemark, skandinavisches steuerfinanziertes System mit Hausarztfokus</w:t>
      </w:r>
    </w:p>
    <w:p>
      <w:r>
        <w:rPr>
          <w:color w:val="5A7D3A"/>
          <w:sz w:val="18"/>
        </w:rPr>
        <w:t>https://pubmed.ncbi.nlm.nih.gov/42762069/</w:t>
      </w:r>
    </w:p>
    <w:p>
      <w:pPr>
        <w:pStyle w:val="Heading2"/>
      </w:pPr>
      <w:r>
        <w:t>Angiotensin-Inhibitoren vor elektiver Chirurgie: RCT-Absetzen vs. Fortführen</w:t>
      </w:r>
    </w:p>
    <w:p>
      <w:r>
        <w:rPr>
          <w:i/>
          <w:color w:val="666666"/>
          <w:sz w:val="18"/>
        </w:rPr>
        <w:t>Scott IA et al.  ·  J Hosp Med  ·  19.09.2026  ·  PMID 42762066</w:t>
      </w:r>
    </w:p>
    <w:p>
      <w:r>
        <w:t>Single-Center-RCT zu kardiovaskulären Komplikationen nach elektiver, nicht-kardischer Chirurgie unter Fortführung vs. 24h-Absetzen von ACE-Inhibitoren/ARBs.</w:t>
      </w:r>
    </w:p>
    <w:p>
      <w:r>
        <w:rPr>
          <w:b/>
        </w:rPr>
        <w:t xml:space="preserve">Ergebnis: </w:t>
      </w:r>
      <w:r>
        <w:t>667 Patienten randomisiert (325 Fortführung, 313 Absetzen); primärer Outcome MACE: 2,8% vs. 2,9% (Differenz 0,1%, 95% CI −2,5% bis 2,8%, p=1,00); intraop. Hypotonie 63,5% vs. 60,7%, AKI 7,4% vs. 4,8%; keine signifikanten Unterschiede; Absetzen reduzierte nicht MACE, Hypotonie oder AKI.</w:t>
      </w:r>
    </w:p>
    <w:p>
      <w:r>
        <w:rPr>
          <w:b/>
          <w:sz w:val="19"/>
        </w:rPr>
        <w:t xml:space="preserve">Übertragbarkeit: </w:t>
      </w:r>
      <w:r>
        <w:rPr>
          <w:sz w:val="19"/>
        </w:rPr>
        <w:t>Australische Tertiärklinik, aber klinische Prozessfrage systemunabhängig</w:t>
      </w:r>
    </w:p>
    <w:p>
      <w:r>
        <w:rPr>
          <w:color w:val="5A7D3A"/>
          <w:sz w:val="18"/>
        </w:rPr>
        <w:t>https://pubmed.ncbi.nlm.nih.gov/42762066/</w:t>
      </w:r>
    </w:p>
    <w:p>
      <w:pPr>
        <w:pStyle w:val="Heading2"/>
      </w:pPr>
      <w:r>
        <w:t>Frühe Krebsinzidenz in Nordischen Ländern 2003–2022 mit Projektion bis 2050</w:t>
      </w:r>
    </w:p>
    <w:p>
      <w:r>
        <w:rPr>
          <w:i/>
          <w:color w:val="666666"/>
          <w:sz w:val="18"/>
        </w:rPr>
        <w:t>Johansson AL et al.  ·  Lancet Reg Health Eur  ·  12.09.2026  ·  PMID 42761845</w:t>
      </w:r>
    </w:p>
    <w:p>
      <w:r>
        <w:t>Bevölkerungsbasierte Trendstudie der Inzidenz früher Krebserkrankungen (Alter 20–49) in Nordischen Ländern über 20 Jahre mit Vorhersagen bis 2050.</w:t>
      </w:r>
    </w:p>
    <w:p>
      <w:r>
        <w:rPr>
          <w:b/>
        </w:rPr>
        <w:t xml:space="preserve">Ergebnis: </w:t>
      </w:r>
      <w:r>
        <w:t>Signifikante Inzidenzzunahme bei 12 von 18 Krebsarten; Darmkrebs &lt;35 Jahren höchster EAPC (&gt;2%), mit 9.174 zusätzlichen Fällen (2003–2007 zu 2018–2022: 47.491 zu 56.665); regionale Variation Appalachien und Südosten USA.</w:t>
      </w:r>
    </w:p>
    <w:p>
      <w:r>
        <w:rPr>
          <w:b/>
          <w:sz w:val="19"/>
        </w:rPr>
        <w:t xml:space="preserve">Übertragbarkeit: </w:t>
      </w:r>
      <w:r>
        <w:rPr>
          <w:sz w:val="19"/>
        </w:rPr>
        <w:t>Nordische Länder, vergleichbare Gesundheitssysteme mit guten Datenregistern</w:t>
      </w:r>
    </w:p>
    <w:p>
      <w:r>
        <w:rPr>
          <w:color w:val="5A7D3A"/>
          <w:sz w:val="18"/>
        </w:rPr>
        <w:t>https://pubmed.ncbi.nlm.nih.gov/42761845/</w:t>
      </w:r>
    </w:p>
    <w:p>
      <w:pPr>
        <w:pStyle w:val="Heading2"/>
      </w:pPr>
      <w:r>
        <w:t>Darmkrebsscreening bei sexuellen Minderheiten nach US-Guidelines 2021</w:t>
      </w:r>
    </w:p>
    <w:p>
      <w:r>
        <w:rPr>
          <w:i/>
          <w:color w:val="666666"/>
          <w:sz w:val="18"/>
        </w:rPr>
        <w:t>George L et al.  ·  AJPM Focus  ·  12.05.2026  ·  PMID 42761516</w:t>
      </w:r>
    </w:p>
    <w:p>
      <w:r>
        <w:t>Querschnittsanalyse der Screening-Compliance für Darmkrebs bei sexuellen Minderheiten nach Aktualisierung der USPSTF-Richtlinien (2021), USA 2022.</w:t>
      </w:r>
    </w:p>
    <w:p>
      <w:r>
        <w:rPr>
          <w:b/>
        </w:rPr>
        <w:t xml:space="preserve">Ergebnis: </w:t>
      </w:r>
      <w:r>
        <w:t>Screening-Rate insgesamt: 69,0% (gay/lesbian), 62,7% (bisexual), 58,4% (andere Orientierung), 68,8% (heterosexuell); Personen mit anderer Orientierung signifikant niedriger als heterosexuell (aPR=0,90, 95% CI 0,84–0,97); Dispariät besonders in Alter 65–75 und Frauen.</w:t>
      </w:r>
    </w:p>
    <w:p>
      <w:r>
        <w:rPr>
          <w:b/>
          <w:sz w:val="19"/>
        </w:rPr>
        <w:t xml:space="preserve">Übertragbarkeit: </w:t>
      </w:r>
      <w:r>
        <w:rPr>
          <w:sz w:val="19"/>
        </w:rPr>
        <w:t>USA, aber Screeningdisparität bei Minderheiten systemunabhängig relevant</w:t>
      </w:r>
    </w:p>
    <w:p>
      <w:r>
        <w:rPr>
          <w:color w:val="5A7D3A"/>
          <w:sz w:val="18"/>
        </w:rPr>
        <w:t>https://pubmed.ncbi.nlm.nih.gov/42761516/</w:t>
      </w:r>
    </w:p>
    <w:p>
      <w:pPr>
        <w:pStyle w:val="Heading2"/>
      </w:pPr>
      <w:r>
        <w:t>Kulturelle Diabetes-Schulung: Kosteneffektivität für Marshallese-Bevölkerung</w:t>
      </w:r>
    </w:p>
    <w:p>
      <w:r>
        <w:rPr>
          <w:i/>
          <w:color w:val="666666"/>
          <w:sz w:val="18"/>
        </w:rPr>
        <w:t>Lamprecht-Carson D et al.  ·  Diabetes Obes Metab  ·  17.09.2026  ·  PMID 42755138</w:t>
      </w:r>
    </w:p>
    <w:p>
      <w:r>
        <w:t>Markov-Modell zur Kosteneffektivität eines kulturell angepassten Diabetes-Selbstmanagement-Programms vs. Standard-DSME für Marshallese-Erwachsene mit Typ-2-Diabetes.</w:t>
      </w:r>
    </w:p>
    <w:p>
      <w:r>
        <w:rPr>
          <w:b/>
        </w:rPr>
        <w:t xml:space="preserve">Ergebnis: </w:t>
      </w:r>
      <w:r>
        <w:t>Kulturell angepasstes Programm cost-effective mit ICER von 3.083 Dollar pro QALY; in 87,1% der Simulationen bevorzugte Strategie bei WTP 50.000 Dollar pro QALY; bescheidene aber relevante Unterschiede zwischen Interventionszenarien.</w:t>
      </w:r>
    </w:p>
    <w:p>
      <w:r>
        <w:rPr>
          <w:b/>
          <w:sz w:val="19"/>
        </w:rPr>
        <w:t xml:space="preserve">Übertragbarkeit: </w:t>
      </w:r>
      <w:r>
        <w:rPr>
          <w:sz w:val="19"/>
        </w:rPr>
        <w:t>USA-Daten, aber Fragestellung zur Kultursensitivität systemunabhängig transferierbar</w:t>
      </w:r>
    </w:p>
    <w:p>
      <w:r>
        <w:rPr>
          <w:color w:val="5A7D3A"/>
          <w:sz w:val="18"/>
        </w:rPr>
        <w:t>https://pubmed.ncbi.nlm.nih.gov/42755138/</w:t>
      </w:r>
    </w:p>
    <w:p>
      <w:pPr>
        <w:pStyle w:val="Heading1"/>
      </w:pPr>
      <w:r>
        <w:t>Aufgenommen am 20.09.2026</w:t>
      </w:r>
    </w:p>
    <w:p>
      <w:pPr>
        <w:pStyle w:val="Heading2"/>
      </w:pPr>
      <w:r>
        <w:t>Workplace-Health-Promotion in Pflegeheimen: qualitative Prozessevaluation</w:t>
      </w:r>
    </w:p>
    <w:p>
      <w:r>
        <w:rPr>
          <w:i/>
          <w:color w:val="666666"/>
          <w:sz w:val="18"/>
        </w:rPr>
        <w:t>Czakert J et al.  ·  Front Public Health  ·  04.09.2026  ·  PMID 42761123</w:t>
      </w:r>
    </w:p>
    <w:p>
      <w:r>
        <w:t>Qualitative Prozessevaluation zur Entwicklung und Implementierung von drei WHP-Workshops in einem Pilotheim nach RE-AIM-Framework.</w:t>
      </w:r>
    </w:p>
    <w:p>
      <w:r>
        <w:rPr>
          <w:b/>
        </w:rPr>
        <w:t xml:space="preserve">Ergebnis: </w:t>
      </w:r>
      <w:r>
        <w:t>Entwicklung aus sieben Phasen. Etwa ein Drittel der Teilnehmenden aktiv involviert, andere passiv oder resistiv. Engagement variabel, Schlüsselhemmnisse: Motivation, wahrgenommene Relevanz, Gruppendynamik, Fatigue, Sprachbarrieren. Zentral: organisatorische Vorbereitung und Partizipation.</w:t>
      </w:r>
    </w:p>
    <w:p>
      <w:r>
        <w:rPr>
          <w:b/>
          <w:sz w:val="19"/>
        </w:rPr>
        <w:t xml:space="preserve">Übertragbarkeit: </w:t>
      </w:r>
      <w:r>
        <w:rPr>
          <w:sz w:val="19"/>
        </w:rPr>
        <w:t>Deutschland, Langzeitpflegesektor, hohe Relevanz für Implementierungspraxis</w:t>
      </w:r>
    </w:p>
    <w:p>
      <w:r>
        <w:rPr>
          <w:color w:val="5A7D3A"/>
          <w:sz w:val="18"/>
        </w:rPr>
        <w:t>https://pubmed.ncbi.nlm.nih.gov/42761123/</w:t>
      </w:r>
    </w:p>
    <w:p>
      <w:pPr>
        <w:pStyle w:val="Heading2"/>
      </w:pPr>
      <w:r>
        <w:t>Regionale Disparitäten Zahngesundheit Deutschland</w:t>
      </w:r>
    </w:p>
    <w:p>
      <w:r>
        <w:rPr>
          <w:i/>
          <w:color w:val="666666"/>
          <w:sz w:val="18"/>
        </w:rPr>
        <w:t>Gortschakow J et al.  ·  J Clin Periodontol  ·  18.09.2026  ·  PMID 42760791</w:t>
      </w:r>
    </w:p>
    <w:p>
      <w:r>
        <w:t>Bevölkerungsstudie mit 184.871 Erwachsenen untersucht Prävalenz von Zahnlosigkeit und Taschentiefen bundesweit mittels klinischer Untersuchung.</w:t>
      </w:r>
    </w:p>
    <w:p>
      <w:r>
        <w:rPr>
          <w:b/>
        </w:rPr>
        <w:t xml:space="preserve">Ergebnis: </w:t>
      </w:r>
      <w:r>
        <w:t>Zahnlosigkeitsprävalenz: 1,7 % (95%-KI 1,6–1,9). Mittlere Taschentiefe: 1,89 mm (1,87–1,91). Deutliche regionale Disparitäten von 1,3 % (Augsburg/Regensburg) bis 2,3 % (Neubrandenburg).</w:t>
      </w:r>
    </w:p>
    <w:p>
      <w:r>
        <w:rPr>
          <w:b/>
          <w:sz w:val="19"/>
        </w:rPr>
        <w:t xml:space="preserve">Übertragbarkeit: </w:t>
      </w:r>
      <w:r>
        <w:rPr>
          <w:sz w:val="19"/>
        </w:rPr>
        <w:t>Deutsche Routinedaten aus Kohorte, exzellente Übertragbarkeit</w:t>
      </w:r>
    </w:p>
    <w:p>
      <w:r>
        <w:rPr>
          <w:color w:val="5A7D3A"/>
          <w:sz w:val="18"/>
        </w:rPr>
        <w:t>https://pubmed.ncbi.nlm.nih.gov/42760791/</w:t>
      </w:r>
    </w:p>
    <w:p>
      <w:pPr>
        <w:pStyle w:val="Heading2"/>
      </w:pPr>
      <w:r>
        <w:t>Arbeitsbelastung und Berufsverbleib in Gesundheitsberufen</w:t>
      </w:r>
    </w:p>
    <w:p>
      <w:r>
        <w:rPr>
          <w:i/>
          <w:color w:val="666666"/>
          <w:sz w:val="18"/>
        </w:rPr>
        <w:t>Andersson Hammar I et al.  ·  BMC Health Serv Res  ·  17.09.2026  ·  PMID 42760563</w:t>
      </w:r>
    </w:p>
    <w:p>
      <w:r>
        <w:t>Längsschnittstudie untersuchte Zusammenhänge zwischen Arbeitserfahrungen, Gesundheit und Verbleibsabsicht bei Fachpersonen drei Jahre nach Berufsstart.</w:t>
      </w:r>
    </w:p>
    <w:p>
      <w:r>
        <w:rPr>
          <w:b/>
        </w:rPr>
        <w:t xml:space="preserve">Ergebnis: </w:t>
      </w:r>
      <w:r>
        <w:t>Höhere Arbeitszufriedenheit war mit besserer Gesundheit und deutlich gestärkter Absicht zum Verbleib in der Profession assoziiert. Die 30–36-Jährigen zeigten niedrigere Verbleibsabsicht als jüngere und ältere Kohorten.</w:t>
      </w:r>
    </w:p>
    <w:p>
      <w:r>
        <w:rPr>
          <w:b/>
          <w:sz w:val="19"/>
        </w:rPr>
        <w:t xml:space="preserve">Übertragbarkeit: </w:t>
      </w:r>
      <w:r>
        <w:rPr>
          <w:sz w:val="19"/>
        </w:rPr>
        <w:t>Schweden, gut übertragbar auf deutsches Gesundheitssystem und Arbeitskontexte</w:t>
      </w:r>
    </w:p>
    <w:p>
      <w:r>
        <w:rPr>
          <w:color w:val="5A7D3A"/>
          <w:sz w:val="18"/>
        </w:rPr>
        <w:t>https://pubmed.ncbi.nlm.nih.gov/42760563/</w:t>
      </w:r>
    </w:p>
    <w:p>
      <w:pPr>
        <w:pStyle w:val="Heading2"/>
      </w:pPr>
      <w:r>
        <w:t>Apotheker-Intervention bei koronaren Patienten: Medication-Review-Studie</w:t>
      </w:r>
    </w:p>
    <w:p>
      <w:r>
        <w:rPr>
          <w:i/>
          <w:color w:val="666666"/>
          <w:sz w:val="18"/>
        </w:rPr>
        <w:t>Östbring MJ et al.  ·  BMC Health Serv Res  ·  15.09.2026  ·  PMID 42760559</w:t>
      </w:r>
    </w:p>
    <w:p>
      <w:r>
        <w:t>Prozessevaluation eines randomisierten Trials zu pharmazeutisch-gesteuerter Adhärence-Intervention mittels Motivierender Gesprächsführung bei Herzkranken.</w:t>
      </w:r>
    </w:p>
    <w:p>
      <w:r>
        <w:rPr>
          <w:b/>
        </w:rPr>
        <w:t xml:space="preserve">Ergebnis: </w:t>
      </w:r>
      <w:r>
        <w:t>Klinische Apotheker identifizierten durchschnittlich 4,3 medikationsbezogene Probleme pro Patient. In 194 von 218 bekannten Fällen wurde das Problem gelöst/verbessert. 52,8 % der Interventionsgruppe vs. 31,0 % der Kontrollgruppe verschoben sich zu akzeptierenderer Arzneimittelhaltung (p = 0,051).</w:t>
      </w:r>
    </w:p>
    <w:p>
      <w:r>
        <w:rPr>
          <w:b/>
          <w:sz w:val="19"/>
        </w:rPr>
        <w:t xml:space="preserve">Übertragbarkeit: </w:t>
      </w:r>
      <w:r>
        <w:rPr>
          <w:sz w:val="19"/>
        </w:rPr>
        <w:t>Schweden, Sozialversicherungssystem, pharmazeutische Versorgungsrollen</w:t>
      </w:r>
    </w:p>
    <w:p>
      <w:r>
        <w:rPr>
          <w:color w:val="5A7D3A"/>
          <w:sz w:val="18"/>
        </w:rPr>
        <w:t>https://pubmed.ncbi.nlm.nih.gov/42760559/</w:t>
      </w:r>
    </w:p>
    <w:p>
      <w:pPr>
        <w:pStyle w:val="Heading2"/>
      </w:pPr>
      <w:r>
        <w:t>Psychische Gesundheit peripartal: Screening-Barrieren in Indien</w:t>
      </w:r>
    </w:p>
    <w:p>
      <w:r>
        <w:rPr>
          <w:i/>
          <w:color w:val="666666"/>
          <w:sz w:val="18"/>
        </w:rPr>
        <w:t>Basu P et al.  ·  BMC Health Serv Res  ·  03.08.2026  ·  PMID 42760554</w:t>
      </w:r>
    </w:p>
    <w:p>
      <w:r>
        <w:t>Qualitative Studie zu Hemmnissen und Facilitatoren von perinataler psychischer Gesundheitsscreening aus Perspektive von Frauen und Angehörigen des Gesundheitswesens.</w:t>
      </w:r>
    </w:p>
    <w:p>
      <w:r>
        <w:rPr>
          <w:b/>
        </w:rPr>
        <w:t xml:space="preserve">Ergebnis: </w:t>
      </w:r>
      <w:r>
        <w:t>Facilitatoren: etabliertes Referralsystem, Medikamentenverfügbarkeit, Datenschutz. Barrieren: fragmentierte Services, hohe Arbeitsbelastung, Stigma, unzureichende Schulung, mangelndes Vertrauen. Familienpräsenz behinderte offene Diskussionen.</w:t>
      </w:r>
    </w:p>
    <w:p>
      <w:r>
        <w:rPr>
          <w:b/>
          <w:sz w:val="19"/>
        </w:rPr>
        <w:t xml:space="preserve">Übertragbarkeit: </w:t>
      </w:r>
      <w:r>
        <w:rPr>
          <w:sz w:val="19"/>
        </w:rPr>
        <w:t>Indien; Fragestellung systemunabhängig, aber Übertragbarkeit limitiert durch andere Ressourcenlage</w:t>
      </w:r>
    </w:p>
    <w:p>
      <w:r>
        <w:rPr>
          <w:color w:val="5A7D3A"/>
          <w:sz w:val="18"/>
        </w:rPr>
        <w:t>https://pubmed.ncbi.nlm.nih.gov/42760554/</w:t>
      </w:r>
    </w:p>
    <w:p>
      <w:pPr>
        <w:pStyle w:val="Heading2"/>
      </w:pPr>
      <w:r>
        <w:t>Gestationsdiabetes Südlichasiatische Frauen: PPIE-Insights</w:t>
      </w:r>
    </w:p>
    <w:p>
      <w:r>
        <w:rPr>
          <w:i/>
          <w:color w:val="666666"/>
          <w:sz w:val="18"/>
        </w:rPr>
        <w:t>Dapre E et al.  ·  NIHR Open Res  ·  03.09.2026  ·  PMID 42750677</w:t>
      </w:r>
    </w:p>
    <w:p>
      <w:r>
        <w:t>Patient- und Public-Involvement-Engagement-Studie mit südlichasiatischen Frauen zur Verbesserung der Adhärenz in Ernährungsintervention bei Gestationsdiabetes.</w:t>
      </w:r>
    </w:p>
    <w:p>
      <w:r>
        <w:rPr>
          <w:b/>
        </w:rPr>
        <w:t xml:space="preserve">Ergebnis: </w:t>
      </w:r>
      <w:r>
        <w:t>17 Frauen identifizierten drei Schlüsselprobleme: Vulnerabilität (Vertrauensmangel, Kontrollverlust), Zugänglichkeit (flexible Formate, finanzielle Unterstützung), Mentale Belastung (emotionales Wohlbefinden, Familieneinfluss). Empfehlungen: familienbasierte Essensplanung, visuelle Guides, psychosoziale Unterstützung.</w:t>
      </w:r>
    </w:p>
    <w:p>
      <w:r>
        <w:rPr>
          <w:b/>
          <w:sz w:val="19"/>
        </w:rPr>
        <w:t xml:space="preserve">Übertragbarkeit: </w:t>
      </w:r>
      <w:r>
        <w:rPr>
          <w:sz w:val="19"/>
        </w:rPr>
        <w:t>Qualitative UK-Studie; Fragestellung zu Barrieren und Facilitatoren systemunabhängig</w:t>
      </w:r>
    </w:p>
    <w:p>
      <w:r>
        <w:rPr>
          <w:color w:val="5A7D3A"/>
          <w:sz w:val="18"/>
        </w:rPr>
        <w:t>https://pubmed.ncbi.nlm.nih.gov/42750677/</w:t>
      </w:r>
    </w:p>
    <w:p>
      <w:pPr>
        <w:pStyle w:val="Heading1"/>
      </w:pPr>
      <w:r>
        <w:t>Aufgenommen am 19.09.2026</w:t>
      </w:r>
    </w:p>
    <w:p>
      <w:pPr>
        <w:pStyle w:val="Heading2"/>
      </w:pPr>
      <w:r>
        <w:t>Verbesserung von Peer-Support für Mütter mit HIV in Kenia</w:t>
      </w:r>
    </w:p>
    <w:p>
      <w:r>
        <w:rPr>
          <w:i/>
          <w:color w:val="666666"/>
          <w:sz w:val="18"/>
        </w:rPr>
        <w:t>Carlucci JG et al.  ·  PLOS Glob Public Health  ·  18.09.2026  ·  PMID 42758698</w:t>
      </w:r>
    </w:p>
    <w:p>
      <w:r>
        <w:t>Qualitative Interviews mit 16 Mentor Mothers und 36 Frauen mit HIV in Westkenias PMTCT-Programmen zur Verbesserung von Peer-Support-Diensten.</w:t>
      </w:r>
    </w:p>
    <w:p>
      <w:r>
        <w:rPr>
          <w:b/>
        </w:rPr>
        <w:t xml:space="preserve">Ergebnis: </w:t>
      </w:r>
      <w:r>
        <w:t>Beide Gruppen befürworteten Risikostratifizierung: intensive Services für Hochrisiko-Mütter, weniger intensive für Niedrigrisiko. Zentral: empathische Mentoring-Beziehungen mit geteilten Erfahrungen; nötig aber bessere Aufgabendefinition, Kapazitätsaufbau, faire Kompensation und Ressourcen für ökonomische Barrieren.</w:t>
      </w:r>
    </w:p>
    <w:p>
      <w:r>
        <w:rPr>
          <w:b/>
          <w:sz w:val="19"/>
        </w:rPr>
        <w:t xml:space="preserve">Übertragbarkeit: </w:t>
      </w:r>
      <w:r>
        <w:rPr>
          <w:sz w:val="19"/>
        </w:rPr>
        <w:t>Kenia; Modell zu Peer-Support-Effektivität auf andere LMIC-Kontexte übertragbar</w:t>
      </w:r>
    </w:p>
    <w:p>
      <w:r>
        <w:rPr>
          <w:color w:val="5A7D3A"/>
          <w:sz w:val="18"/>
        </w:rPr>
        <w:t>https://pubmed.ncbi.nlm.nih.gov/42758698/</w:t>
      </w:r>
    </w:p>
    <w:p>
      <w:pPr>
        <w:pStyle w:val="Heading2"/>
      </w:pPr>
      <w:r>
        <w:t>Implementierungsstrategie für betriebliche Rauchentwöhnung mit Anreizen</w:t>
      </w:r>
    </w:p>
    <w:p>
      <w:r>
        <w:rPr>
          <w:i/>
          <w:color w:val="666666"/>
          <w:sz w:val="18"/>
        </w:rPr>
        <w:t>van den Brand FA et al.  ·  PLoS One  ·  18.09.2026  ·  PMID 42758680</w:t>
      </w:r>
    </w:p>
    <w:p>
      <w:r>
        <w:t>Systematische Entwicklung einer Implementierungsstrategie für Workplace-Rauchentwöhnungsprogramme mit finanziellen Anreizen mittels Implementation Mapping in den Niederlanden.</w:t>
      </w:r>
    </w:p>
    <w:p>
      <w:r>
        <w:rPr>
          <w:b/>
        </w:rPr>
        <w:t xml:space="preserve">Ergebnis: </w:t>
      </w:r>
      <w:r>
        <w:t>Identifizierte Schlüsseladoptoren (Geschäftsführung, HR-Manager) und Implementierer sowie sieben Determinanten für erfolgreiche Durchführung. Entwickelte evidenzbasierte Strategien einschließlich Implementierungsleitfaden, Website, Video und Webinar. Stakeholder-Feedback führte zu Verbesserungen.</w:t>
      </w:r>
    </w:p>
    <w:p>
      <w:r>
        <w:rPr>
          <w:b/>
          <w:sz w:val="19"/>
        </w:rPr>
        <w:t xml:space="preserve">Übertragbarkeit: </w:t>
      </w:r>
      <w:r>
        <w:rPr>
          <w:sz w:val="19"/>
        </w:rPr>
        <w:t>Niederlande, ähnliches Sozialversicherungssystem mit Betriebsstruktur</w:t>
      </w:r>
    </w:p>
    <w:p>
      <w:r>
        <w:rPr>
          <w:color w:val="5A7D3A"/>
          <w:sz w:val="18"/>
        </w:rPr>
        <w:t>https://pubmed.ncbi.nlm.nih.gov/42758680/</w:t>
      </w:r>
    </w:p>
    <w:p>
      <w:pPr>
        <w:pStyle w:val="Heading2"/>
      </w:pPr>
      <w:r>
        <w:t>Kognitive Verzerrungen und Nierenfunktions-Risikoperception bei älteren CKD-Patienten</w:t>
      </w:r>
    </w:p>
    <w:p>
      <w:r>
        <w:rPr>
          <w:i/>
          <w:color w:val="666666"/>
          <w:sz w:val="18"/>
        </w:rPr>
        <w:t>Bonnet K et al.  ·  Clin J Am Soc Nephrol  ·  18.09.2026  ·  PMID 42758548</w:t>
      </w:r>
    </w:p>
    <w:p>
      <w:r>
        <w:t>Mixed-Methods-Studie mit Älteren (&gt;60 Jahre) im Stadium 3B–5 CKD zu kognitiven Verzerrungen bei der Wahrnehmung ihres Nierenfunktionsausfallrisikos.</w:t>
      </w:r>
    </w:p>
    <w:p>
      <w:r>
        <w:rPr>
          <w:b/>
        </w:rPr>
        <w:t xml:space="preserve">Ergebnis: </w:t>
      </w:r>
      <w:r>
        <w:t>Nur 24% der Teilnehmer hatten Prognosekonsens (objektives vs. subjektiv wahrgenommenes Risiko). Höhere Patient Activation war unabhängig mit niedrigeren Odds für Unsicherheit assoziiert (OR 0,66; 95%-KI 0,44–0,99). Qualitativ: Empfehlungen für hoffnungsvolle Sprache, Einbeziehen von Angehörigen und numeracy-Berücksichtigung.</w:t>
      </w:r>
    </w:p>
    <w:p>
      <w:r>
        <w:rPr>
          <w:b/>
          <w:sz w:val="19"/>
        </w:rPr>
        <w:t xml:space="preserve">Übertragbarkeit: </w:t>
      </w:r>
      <w:r>
        <w:rPr>
          <w:sz w:val="19"/>
        </w:rPr>
        <w:t>US-Daten, aber Fragestellung zur Patientenkommunikation systemunabhängig</w:t>
      </w:r>
    </w:p>
    <w:p>
      <w:r>
        <w:rPr>
          <w:color w:val="5A7D3A"/>
          <w:sz w:val="18"/>
        </w:rPr>
        <w:t>https://pubmed.ncbi.nlm.nih.gov/42758548/</w:t>
      </w:r>
    </w:p>
    <w:p>
      <w:pPr>
        <w:pStyle w:val="Heading2"/>
      </w:pPr>
      <w:r>
        <w:t>Komplexe-Versorgungsprogramm reduziert Krankenhausnutzung bei Kindern</w:t>
      </w:r>
    </w:p>
    <w:p>
      <w:r>
        <w:rPr>
          <w:i/>
          <w:color w:val="666666"/>
          <w:sz w:val="18"/>
        </w:rPr>
        <w:t>Lee J et al.  ·  J Pediatr Health Care  ·  17.09.2026  ·  PMID 42758058</w:t>
      </w:r>
    </w:p>
    <w:p>
      <w:r>
        <w:t>Retrospektive Kohortenstudie von 71 Kindern mit medizinischer Komplexität in einem Cross-Setting-Komplexcare-Programm mit kleinem Kernteam (2015–2024).</w:t>
      </w:r>
    </w:p>
    <w:p>
      <w:r>
        <w:rPr>
          <w:b/>
        </w:rPr>
        <w:t xml:space="preserve">Ergebnis: </w:t>
      </w:r>
      <w:r>
        <w:t>Hospitalisierungen sanken von 3,5 auf 2,0 pro Jahr (p &lt; 0,001), Verweildauer von 41,5 auf 11,5 Tage pro Jahr (p &lt; 0,001). Adjustierte Analysen zeigten 32% Reduktion bei Hospitalisierungen und 72% bei Verweildauer.</w:t>
      </w:r>
    </w:p>
    <w:p>
      <w:r>
        <w:rPr>
          <w:b/>
          <w:sz w:val="19"/>
        </w:rPr>
        <w:t xml:space="preserve">Übertragbarkeit: </w:t>
      </w:r>
      <w:r>
        <w:rPr>
          <w:sz w:val="19"/>
        </w:rPr>
        <w:t>US-amerikanische Universitätsklinik, aber Modell zum Case Management übertragbar</w:t>
      </w:r>
    </w:p>
    <w:p>
      <w:r>
        <w:rPr>
          <w:color w:val="5A7D3A"/>
          <w:sz w:val="18"/>
        </w:rPr>
        <w:t>https://pubmed.ncbi.nlm.nih.gov/42758058/</w:t>
      </w:r>
    </w:p>
    <w:p>
      <w:pPr>
        <w:pStyle w:val="Heading2"/>
      </w:pPr>
      <w:r>
        <w:t>Barrieren von Frontline-Mitarbeitern bei TB-Diensten in High-Burden-Ländern</w:t>
      </w:r>
    </w:p>
    <w:p>
      <w:r>
        <w:rPr>
          <w:i/>
          <w:color w:val="666666"/>
          <w:sz w:val="18"/>
        </w:rPr>
        <w:t>Cox SR et al.  ·  J Glob Health  ·  18.09.2026  ·  PMID 42757757</w:t>
      </w:r>
    </w:p>
    <w:p>
      <w:r>
        <w:t>Scoping Review von 189 Studien (2010–2025) zu Healthcare-Worker-bezogenen Barrieren bei TB-Prävention, Diagnostik und Behandlung in WHO-High-Burden-Ländern.</w:t>
      </w:r>
    </w:p>
    <w:p>
      <w:r>
        <w:rPr>
          <w:b/>
        </w:rPr>
        <w:t xml:space="preserve">Ergebnis: </w:t>
      </w:r>
      <w:r>
        <w:t>Wissens- und Skill-Lücken waren die häufigsten Barrieren (n = 128 Studien). Weitere Themen: Provider-Patient-Kommunikation, Stigma (n = 74 Studien), Motivation für qualitativ hochwertige TB-Pflege (n = 69 Studien). COM-B-Framework identifizierte umsetzbare Targets.</w:t>
      </w:r>
    </w:p>
    <w:p>
      <w:r>
        <w:rPr>
          <w:b/>
          <w:sz w:val="19"/>
        </w:rPr>
        <w:t xml:space="preserve">Übertragbarkeit: </w:t>
      </w:r>
      <w:r>
        <w:rPr>
          <w:sz w:val="19"/>
        </w:rPr>
        <w:t>Länder mit Ressourcenlimitationen; Erkenntnisse zu HSR-Barrieren international relevant</w:t>
      </w:r>
    </w:p>
    <w:p>
      <w:r>
        <w:rPr>
          <w:color w:val="5A7D3A"/>
          <w:sz w:val="18"/>
        </w:rPr>
        <w:t>https://pubmed.ncbi.nlm.nih.gov/42757757/</w:t>
      </w:r>
    </w:p>
    <w:p>
      <w:pPr>
        <w:pStyle w:val="Heading2"/>
      </w:pPr>
      <w:r>
        <w:t>Strukturierte Laktationsberatung und Muttermilchbanken in deutschen NICUs</w:t>
      </w:r>
    </w:p>
    <w:p>
      <w:r>
        <w:rPr>
          <w:i/>
          <w:color w:val="666666"/>
          <w:sz w:val="18"/>
        </w:rPr>
        <w:t>Köberlein-Neu J et al.  ·  BMC Med  ·  11.09.2026  ·  PMID 42754870</w:t>
      </w:r>
    </w:p>
    <w:p>
      <w:r>
        <w:t>Stepped-Wedge-Cluster-RCT in 15 deutschen Level-I-NICUs zur Wirksamkeit von strukturierter Laktationsberatung mit Donor-Milk-Banking auf ausschließliches Stillen bei Entlassung.</w:t>
      </w:r>
    </w:p>
    <w:p>
      <w:r>
        <w:rPr>
          <w:b/>
        </w:rPr>
        <w:t xml:space="preserve">Ergebnis: </w:t>
      </w:r>
      <w:r>
        <w:t>Ausschließliches Stillen bei Entlassung stieg um 11 Prozentpunkte (95%-KI: 3,0–19,0; p = 0,007) von 43% Baseline. Keine signifikanten Unterschiede in klinischen Komplikationen oder Verweildauer. Implementierbarkeit und Durchführungstreue waren ausreichend (Beratung in 71% wie geplant).</w:t>
      </w:r>
    </w:p>
    <w:p>
      <w:r>
        <w:rPr>
          <w:b/>
          <w:sz w:val="19"/>
        </w:rPr>
        <w:t xml:space="preserve">Übertragbarkeit: </w:t>
      </w:r>
      <w:r>
        <w:rPr>
          <w:sz w:val="19"/>
        </w:rPr>
        <w:t>Deutsche RCT-Daten, gesetzlich versicherte Neugeborene in Universitätskliniken</w:t>
      </w:r>
    </w:p>
    <w:p>
      <w:r>
        <w:rPr>
          <w:color w:val="5A7D3A"/>
          <w:sz w:val="18"/>
        </w:rPr>
        <w:t>https://pubmed.ncbi.nlm.nih.gov/42754870/</w:t>
      </w:r>
    </w:p>
    <w:p>
      <w:pPr>
        <w:pStyle w:val="Heading1"/>
      </w:pPr>
      <w:r>
        <w:t>Aufgenommen am 18.09.2026</w:t>
      </w:r>
    </w:p>
    <w:p>
      <w:pPr>
        <w:pStyle w:val="Heading2"/>
      </w:pPr>
      <w:r>
        <w:t>Workforce readiness for Advance Care Planning in ID services</w:t>
      </w:r>
    </w:p>
    <w:p>
      <w:r>
        <w:rPr>
          <w:i/>
          <w:color w:val="666666"/>
          <w:sz w:val="18"/>
        </w:rPr>
        <w:t>Zeilinger EL Prof Dr et al.  ·  J Pain Symptom Manage  ·  17.09.2026  ·  PMID 42754183</w:t>
      </w:r>
    </w:p>
    <w:p>
      <w:r>
        <w:t>Österreichische Querschnittstudie zur Bereitschaft von Betreuungspersonen in Wohneinrichtungen für Menschen mit Behinderungen, ACP-Gespräche zu führen.</w:t>
      </w:r>
    </w:p>
    <w:p>
      <w:r>
        <w:rPr>
          <w:b/>
        </w:rPr>
        <w:t xml:space="preserve">Ergebnis: </w:t>
      </w:r>
      <w:r>
        <w:t>67,7 % der 127 Befragten kannten Patientenverfügungen, aber nur 1,6 % konnten ACP erklären. 68,5 % fühlten sich komfortabel bei ACP-Gesprächen, 85,8 % sahen ACP als wichtig an, und 77,2 % sahen es als ihre Verantwortung. Fehlende konzeptionelle Vorbereitung trotz hoher Unterstützung für ACP.</w:t>
      </w:r>
    </w:p>
    <w:p>
      <w:r>
        <w:rPr>
          <w:b/>
          <w:sz w:val="19"/>
        </w:rPr>
        <w:t xml:space="preserve">Übertragbarkeit: </w:t>
      </w:r>
      <w:r>
        <w:rPr>
          <w:sz w:val="19"/>
        </w:rPr>
        <w:t>Österreich, ähnliche Systemstruktur und Versorgungskontext wie Deutschland</w:t>
      </w:r>
    </w:p>
    <w:p>
      <w:r>
        <w:rPr>
          <w:color w:val="5A7D3A"/>
          <w:sz w:val="18"/>
        </w:rPr>
        <w:t>https://pubmed.ncbi.nlm.nih.gov/42754183/</w:t>
      </w:r>
    </w:p>
    <w:p>
      <w:pPr>
        <w:pStyle w:val="Heading2"/>
      </w:pPr>
      <w:r>
        <w:t>Multilevel-Faktoren bei Non-Response zu Patient-Reported Outcome Measures</w:t>
      </w:r>
    </w:p>
    <w:p>
      <w:r>
        <w:rPr>
          <w:i/>
          <w:color w:val="666666"/>
          <w:sz w:val="18"/>
        </w:rPr>
        <w:t>Liu JB et al.  ·  Qual Life Res  ·  17.09.2026  ·  PMID 42753022</w:t>
      </w:r>
    </w:p>
    <w:p>
      <w:r>
        <w:t>US-Kohortenanalyse von 12.214 Patienten an fünf Strahlentherapie-Kliniken zu Faktoren auf Patient-, Provider- und Klinikebene, die Non-Response zu PROMIS Global-10 vorhersagen.</w:t>
      </w:r>
    </w:p>
    <w:p>
      <w:r>
        <w:rPr>
          <w:b/>
        </w:rPr>
        <w:t xml:space="preserve">Ergebnis: </w:t>
      </w:r>
      <w:r>
        <w:t>Patient- und Termin-Response-Raten: 35,4 % bzw. 31,7 %; Response variierte zwischen Kliniken 12,8–66,2 %. Nach Adjustierung: jüngste Operation (aOR 1,97) und längere Diagnosedauer (aOR 0,46 für &gt;12 Monate) persistierten. Klinik-Implementierungsfaktoren (späte Programmstartzeit aOR 0,29) waren stärker als Patientenmerkmale.</w:t>
      </w:r>
    </w:p>
    <w:p>
      <w:r>
        <w:rPr>
          <w:b/>
          <w:sz w:val="19"/>
        </w:rPr>
        <w:t xml:space="preserve">Übertragbarkeit: </w:t>
      </w:r>
      <w:r>
        <w:rPr>
          <w:sz w:val="19"/>
        </w:rPr>
        <w:t>USA - Methodologie zu PROM-Implementierung systemunabhängig relevant für deutsches QM</w:t>
      </w:r>
    </w:p>
    <w:p>
      <w:r>
        <w:rPr>
          <w:color w:val="5A7D3A"/>
          <w:sz w:val="18"/>
        </w:rPr>
        <w:t>https://pubmed.ncbi.nlm.nih.gov/42753022/</w:t>
      </w:r>
    </w:p>
    <w:p>
      <w:pPr>
        <w:pStyle w:val="Heading2"/>
      </w:pPr>
      <w:r>
        <w:t>Finanzielle Auswirkungen von Schwangerschaft und Geburt bei Louisiana Medicaid</w:t>
      </w:r>
    </w:p>
    <w:p>
      <w:r>
        <w:rPr>
          <w:i/>
          <w:color w:val="666666"/>
          <w:sz w:val="18"/>
        </w:rPr>
        <w:t>Walker B et al.  ·  Health Serv Res  ·  Okt. 2026  ·  PMID 42751818</w:t>
      </w:r>
    </w:p>
    <w:p>
      <w:r>
        <w:t>US-Studie zu Auswirkungen von Schwangerschaft auf Verschuldung und Kreditscores bei Medicaid-Versicherten, stratifiziert nach Ethnie.</w:t>
      </w:r>
    </w:p>
    <w:p>
      <w:r>
        <w:rPr>
          <w:b/>
        </w:rPr>
        <w:t xml:space="preserve">Ergebnis: </w:t>
      </w:r>
      <w:r>
        <w:t>Nicht-hispanische schwarze Frauen zeigten negative finanzielle Folgen: Kreditscores sanken um 4 Punkte (95%-KI: -5,65 bis -1,81), medizinische Schulden stiegen um 41 USD (KI: 6–75), andere Schulden um 44 USD (KI: 15–74). Nicht-hispanische weiße Frauen zeigten keine nachteiligen Auswirkungen.</w:t>
      </w:r>
    </w:p>
    <w:p>
      <w:r>
        <w:rPr>
          <w:b/>
          <w:sz w:val="19"/>
        </w:rPr>
        <w:t xml:space="preserve">Übertragbarkeit: </w:t>
      </w:r>
      <w:r>
        <w:rPr>
          <w:sz w:val="19"/>
        </w:rPr>
        <w:t>USA/Medicaid - Fragestellung aber zu Equity und Versorgungsgerechtigkeit systemunabhängig relevant</w:t>
      </w:r>
    </w:p>
    <w:p>
      <w:r>
        <w:rPr>
          <w:color w:val="5A7D3A"/>
          <w:sz w:val="18"/>
        </w:rPr>
        <w:t>https://pubmed.ncbi.nlm.nih.gov/42751818/</w:t>
      </w:r>
    </w:p>
    <w:p>
      <w:pPr>
        <w:pStyle w:val="Heading2"/>
      </w:pPr>
      <w:r>
        <w:t>Lernen zur Unterstützung von Klientenautonomie in Pflegepraktika</w:t>
      </w:r>
    </w:p>
    <w:p>
      <w:r>
        <w:rPr>
          <w:i/>
          <w:color w:val="666666"/>
          <w:sz w:val="18"/>
        </w:rPr>
        <w:t>Knibbeler MMCJ et al.  ·  Int J Nurs Stud Adv  ·  05.09.2026  ·  PMID 42751206</w:t>
      </w:r>
    </w:p>
    <w:p>
      <w:r>
        <w:t>Qualitative Studie aus Niederlanden zur Frage, wie Pflegestudierende während des klinischen Praktikums lernen, Klientenautonomie zu unterstützen.</w:t>
      </w:r>
    </w:p>
    <w:p>
      <w:r>
        <w:rPr>
          <w:b/>
        </w:rPr>
        <w:t xml:space="preserve">Ergebnis: </w:t>
      </w:r>
      <w:r>
        <w:t>Autonomieförderung war in der Praxis präsent aber inkonsistent; Betreuer interpretierten Autonomie oft als Selbstständigkeit statt Partizipation in Entscheidungen. Implizites Lernen durch Beobachtung dominierte; strukturierte Reflexion war selten. Supervision und Feedback durch Betreuer waren nicht systematisch.</w:t>
      </w:r>
    </w:p>
    <w:p>
      <w:r>
        <w:rPr>
          <w:b/>
          <w:sz w:val="19"/>
        </w:rPr>
        <w:t xml:space="preserve">Übertragbarkeit: </w:t>
      </w:r>
      <w:r>
        <w:rPr>
          <w:sz w:val="19"/>
        </w:rPr>
        <w:t>Niederlande, vergleichbares Pflegeausbildungssystem und Versorgungskontext</w:t>
      </w:r>
    </w:p>
    <w:p>
      <w:r>
        <w:rPr>
          <w:color w:val="5A7D3A"/>
          <w:sz w:val="18"/>
        </w:rPr>
        <w:t>https://pubmed.ncbi.nlm.nih.gov/42751206/</w:t>
      </w:r>
    </w:p>
    <w:p>
      <w:pPr>
        <w:pStyle w:val="Heading2"/>
      </w:pPr>
      <w:r>
        <w:t>Mundgesundheitspflege in Langzeiteinrichtungen: Barrieren und Enabler</w:t>
      </w:r>
    </w:p>
    <w:p>
      <w:r>
        <w:rPr>
          <w:i/>
          <w:color w:val="666666"/>
          <w:sz w:val="18"/>
        </w:rPr>
        <w:t>Spilsbury K et al.  ·  Int J Nurs Stud Adv  ·  13.08.2026  ·  PMID 42750939</w:t>
      </w:r>
    </w:p>
    <w:p>
      <w:r>
        <w:t>Britische Scoping Review zu Faktoren auf Mikro-, Meso- und Makroebene, die Mundgesundheitspflege durch Personal in Altenheimen beeinflussen.</w:t>
      </w:r>
    </w:p>
    <w:p>
      <w:r>
        <w:rPr>
          <w:b/>
        </w:rPr>
        <w:t xml:space="preserve">Ergebnis: </w:t>
      </w:r>
      <w:r>
        <w:t>63 Studien eingeschlossen. Häufigste Einflussfaktoren im COM-B-Modell waren Opportunity-Faktoren (Umgebung, Ressourcen, soziale Einflüsse). Wichtigste Enabler: Schulung, Mundgesundheitskampagnen, unterstützende Führung, Assessmentsysteme. Schlüsselbarrieren: Personalknappheit, Zeitdruck, begrenzte Schulung, niedrige organisationale Priorität, eingeschränkter Zugang zu Zahnservices.</w:t>
      </w:r>
    </w:p>
    <w:p>
      <w:r>
        <w:rPr>
          <w:b/>
          <w:sz w:val="19"/>
        </w:rPr>
        <w:t xml:space="preserve">Übertragbarkeit: </w:t>
      </w:r>
      <w:r>
        <w:rPr>
          <w:sz w:val="19"/>
        </w:rPr>
        <w:t>Großbritannien, Empfehlungen für Langzeitpflege in Deutschland direkt anwendbar</w:t>
      </w:r>
    </w:p>
    <w:p>
      <w:r>
        <w:rPr>
          <w:color w:val="5A7D3A"/>
          <w:sz w:val="18"/>
        </w:rPr>
        <w:t>https://pubmed.ncbi.nlm.nih.gov/42750939/</w:t>
      </w:r>
    </w:p>
    <w:p>
      <w:pPr>
        <w:pStyle w:val="Heading2"/>
      </w:pPr>
      <w:r>
        <w:t>Algorithmen zur Identifikation von HCBS in Medicaid-Claims</w:t>
      </w:r>
    </w:p>
    <w:p>
      <w:r>
        <w:rPr>
          <w:i/>
          <w:color w:val="666666"/>
          <w:sz w:val="18"/>
        </w:rPr>
        <w:t>Dihwa V et al.  ·  Health Serv Res  ·  Okt. 2026  ·  PMID 42750346</w:t>
      </w:r>
    </w:p>
    <w:p>
      <w:r>
        <w:t>US-Evaluationsstudie von drei Algorithmen zur Identifikation von Home- and Community-Based Services in Medicaid-Daten 2021–2023.</w:t>
      </w:r>
    </w:p>
    <w:p>
      <w:r>
        <w:rPr>
          <w:b/>
        </w:rPr>
        <w:t xml:space="preserve">Ergebnis: </w:t>
      </w:r>
      <w:r>
        <w:t>Zwei bestehende Algorithmen zeigten hohe Übereinstimmung (Po = 93 %, Kappa = 0,77). Ein neuer vereinheitlichter Algorithmus adressierte Diskrepanzen durch Novel-Nutzung von Waiver-IDs. Jedoch zeigten einige Bundesstaaten implausible Zählungen oder große Schwankungen über die Jahre (&gt;50 %), was auf Datenqualitätsprobleme hindeutet.</w:t>
      </w:r>
    </w:p>
    <w:p>
      <w:r>
        <w:rPr>
          <w:b/>
          <w:sz w:val="19"/>
        </w:rPr>
        <w:t xml:space="preserve">Übertragbarkeit: </w:t>
      </w:r>
      <w:r>
        <w:rPr>
          <w:sz w:val="19"/>
        </w:rPr>
        <w:t>USA - Datenqualitätsthematik systemunabhängig, aber nur bedingt auf Deutschland übertragbar</w:t>
      </w:r>
    </w:p>
    <w:p>
      <w:r>
        <w:rPr>
          <w:color w:val="5A7D3A"/>
          <w:sz w:val="18"/>
        </w:rPr>
        <w:t>https://pubmed.ncbi.nlm.nih.gov/42750346/</w:t>
      </w:r>
    </w:p>
    <w:p>
      <w:pPr>
        <w:pStyle w:val="Heading1"/>
      </w:pPr>
      <w:r>
        <w:t>Aufgenommen am 17.09.2026</w:t>
      </w:r>
    </w:p>
    <w:p>
      <w:pPr>
        <w:pStyle w:val="Heading2"/>
      </w:pPr>
      <w:r>
        <w:t>Chirurgische Behandlung von NSCLC in England: Trends, Variation und kurzfristige Ergebnisse 2015–2023</w:t>
      </w:r>
    </w:p>
    <w:p>
      <w:r>
        <w:rPr>
          <w:i/>
          <w:color w:val="666666"/>
          <w:sz w:val="18"/>
        </w:rPr>
        <w:t>Dixon LK et al.  ·  BMJ Open  ·  16.09.2026  ·  PMID 42749376</w:t>
      </w:r>
    </w:p>
    <w:p>
      <w:r>
        <w:t>Bevölkerungsgestützte Kohortenstudie zu Trends in der chirurgischen Praxis, regionalen Unterschieden und postoperativen Outcomes bei Lungenkrebs-Resektion in England über 9 Jahre.</w:t>
      </w:r>
    </w:p>
    <w:p>
      <w:r>
        <w:rPr>
          <w:b/>
        </w:rPr>
        <w:t xml:space="preserve">Ergebnis: </w:t>
      </w:r>
      <w:r>
        <w:t>Resektionsrate stieg von 15,4 % (2015) auf 20,9 % (2023); Segmentektomie von 11,2 % auf 20,6 %, minimal-invasive Chirurgie von 47,1 % auf 79,7 %; 90-Tage-Mortalität sank von 4,03 % auf 2,26 %; Verweildauer verkürzt sich, Wiederaufnahmen stabil bei ~10–12 % – jedoch erhebliche Zentren-Heterogenität in Segmentektomie (10,7–80,3 %) und roboterassistierter Chirurgie (0–67 %).</w:t>
      </w:r>
    </w:p>
    <w:p>
      <w:r>
        <w:rPr>
          <w:b/>
          <w:sz w:val="19"/>
        </w:rPr>
        <w:t xml:space="preserve">Übertragbarkeit: </w:t>
      </w:r>
      <w:r>
        <w:rPr>
          <w:sz w:val="19"/>
        </w:rPr>
        <w:t>England, spezialisierte Thoraxchirurgie-Zentren – systemischer Kontext nur bedingt übertragbar</w:t>
      </w:r>
    </w:p>
    <w:p>
      <w:r>
        <w:rPr>
          <w:color w:val="5A7D3A"/>
          <w:sz w:val="18"/>
        </w:rPr>
        <w:t>https://pubmed.ncbi.nlm.nih.gov/42749376/</w:t>
      </w:r>
    </w:p>
    <w:p>
      <w:pPr>
        <w:pStyle w:val="Heading2"/>
      </w:pPr>
      <w:r>
        <w:t>Hybrid-Telemedizin-Hausbesuch-Modell für Pneumonieversorung: Pilot-Fallserie aus Texas</w:t>
      </w:r>
    </w:p>
    <w:p>
      <w:r>
        <w:rPr>
          <w:i/>
          <w:color w:val="666666"/>
          <w:sz w:val="18"/>
        </w:rPr>
        <w:t>Bourmand R et al.  ·  JMIR Form Res  ·  16.09.2026  ·  PMID 42748457</w:t>
      </w:r>
    </w:p>
    <w:p>
      <w:r>
        <w:t>Retrospektive deskriptive Fallserie (n=28 Patienten mit Pneumoniediagnose) zur Implementierbarkeit und Nutzungsmuster eines Hybrid-Modells aus virtueller ärztlicher Bewertung und trainierter Fachperson im Hausbesuch mit digitalen Diagnostik-Tools.</w:t>
      </w:r>
    </w:p>
    <w:p>
      <w:r>
        <w:rPr>
          <w:b/>
        </w:rPr>
        <w:t xml:space="preserve">Ergebnis: </w:t>
      </w:r>
      <w:r>
        <w:t>28 Patienten mit 56 klinischen Kontakten (Median 2, IQR 1–3 pro Patient); CRB-65-Scores 0–2 (46,4 % Score 0, 46,4 % Score 1, 7,1 % Score 2); 8/28 (28,6 %) zur ED überwiesen; Patienten zur ED überwiesen hatten signifikant höhere CRB-65-Scores (Median 1, IQR 1–1,5 vs. Median 0, IQR 0–1; p=0,01); Modell machbar, aber größere prospektive Vergleichsstudien für Outcomes/Sicherheit erforderlich.</w:t>
      </w:r>
    </w:p>
    <w:p>
      <w:r>
        <w:rPr>
          <w:b/>
          <w:sz w:val="19"/>
        </w:rPr>
        <w:t xml:space="preserve">Übertragbarkeit: </w:t>
      </w:r>
      <w:r>
        <w:rPr>
          <w:sz w:val="19"/>
        </w:rPr>
        <w:t>USA – Fragestellung zur Versorgungsmodellintegration systemunabhängig, aber Kontext Urgent Care begrenzt übertragbar</w:t>
      </w:r>
    </w:p>
    <w:p>
      <w:r>
        <w:rPr>
          <w:color w:val="5A7D3A"/>
          <w:sz w:val="18"/>
        </w:rPr>
        <w:t>https://pubmed.ncbi.nlm.nih.gov/42748457/</w:t>
      </w:r>
    </w:p>
    <w:p>
      <w:pPr>
        <w:pStyle w:val="Heading2"/>
      </w:pPr>
      <w:r>
        <w:t>Elektronische Arzneihinweise verbessern Überweisungen zu Diabetes-Selbstmanagement-Schulung</w:t>
      </w:r>
    </w:p>
    <w:p>
      <w:r>
        <w:rPr>
          <w:i/>
          <w:color w:val="666666"/>
          <w:sz w:val="18"/>
        </w:rPr>
        <w:t>Donahue KE et al.  ·  Diabetes Care  ·  16.09.2026  ·  PMID 42747941</w:t>
      </w:r>
    </w:p>
    <w:p>
      <w:r>
        <w:t>Clusterrandomisierte Studie zur Wirkung von Best-Practice-Advisories im EHR auf Überweisungsquoten zu Diabetes-Selbstmanagement-Schulung (DSMES) über 18 Monate in US-Primärversorgung.</w:t>
      </w:r>
    </w:p>
    <w:p>
      <w:r>
        <w:rPr>
          <w:b/>
        </w:rPr>
        <w:t xml:space="preserve">Ergebnis: </w:t>
      </w:r>
      <w:r>
        <w:t>Nach 12 Monaten: 12,9 % Überweisungsrate in Interventionskliniken vs. 1,2 % in Kontrollen (p&lt;0,001); nach 18 Monaten 13,7 % vs. 1,6 % (p&lt;0,001); adjustierte Odds Ratio 10,55 (95%-KI 4,65–23,94) nach 12 Monaten und 9,44 (95%-KI 4,91–18,17) nach 18 Monaten. Standing Orders erhielten diese Gewinne.</w:t>
      </w:r>
    </w:p>
    <w:p>
      <w:r>
        <w:rPr>
          <w:b/>
          <w:sz w:val="19"/>
        </w:rPr>
        <w:t xml:space="preserve">Übertragbarkeit: </w:t>
      </w:r>
      <w:r>
        <w:rPr>
          <w:sz w:val="19"/>
        </w:rPr>
        <w:t>USA, Primärversorgung – Prozessoptimierung systemunabhängig, aber Anreizsystem unterschiedlich</w:t>
      </w:r>
    </w:p>
    <w:p>
      <w:r>
        <w:rPr>
          <w:color w:val="5A7D3A"/>
          <w:sz w:val="18"/>
        </w:rPr>
        <w:t>https://pubmed.ncbi.nlm.nih.gov/42747941/</w:t>
      </w:r>
    </w:p>
    <w:p>
      <w:pPr>
        <w:pStyle w:val="Heading2"/>
      </w:pPr>
      <w:r>
        <w:t>Mehrebenen-Mehrfach-Fallstudie: Methodik zur Analyse komplexer Versorgungstrajektorien älterer Menschen</w:t>
      </w:r>
    </w:p>
    <w:p>
      <w:r>
        <w:rPr>
          <w:i/>
          <w:color w:val="666666"/>
          <w:sz w:val="18"/>
        </w:rPr>
        <w:t>Dieterich A et al.  ·  Z Gerontol Geriatr  ·  16.09.2026  ·  PMID 42747513</w:t>
      </w:r>
    </w:p>
    <w:p>
      <w:r>
        <w:t>Methodisches Diskussionspapier zur Anwendung von Mehrebenen-Mehrfach-Fallstudien als Forschungsdesign zur empirischen Rekonstruktion komplexer Hilfeverläufe in sektorenübergreifender Versorgung für ältere Menschen.</w:t>
      </w:r>
    </w:p>
    <w:p>
      <w:r>
        <w:rPr>
          <w:b/>
        </w:rPr>
        <w:t xml:space="preserve">Ergebnis: </w:t>
      </w:r>
      <w:r>
        <w:t>Fallkonstellationen auf Mikro- (Interaktion Betroffener, professionelle und informelle Helfer), Meso- (Organisationen, Netzwerke) und Makroebene (Rahmenbedingungen) systematisch verknüpft; Methodenkombination (Interviews, Dokumenten-, Sozialraum-, Netzwerkanalysen, reflexive thematische Analyse) ermöglicht kontextabhängige Bedingungen von Versorgung zu identifizieren; Design eröffnet neue Möglichkeiten für Versorgungsforschung, stellt aber hohe Anforderungen an Feldzugang, Datenintegration und Forschungsethik.</w:t>
      </w:r>
    </w:p>
    <w:p>
      <w:r>
        <w:rPr>
          <w:b/>
          <w:sz w:val="19"/>
        </w:rPr>
        <w:t xml:space="preserve">Übertragbarkeit: </w:t>
      </w:r>
      <w:r>
        <w:rPr>
          <w:sz w:val="19"/>
        </w:rPr>
        <w:t>Deutschland, Versorgungsforschung – direkt anwendbare Methodik für sektorenübergreifende Versorgungsanalyse</w:t>
      </w:r>
    </w:p>
    <w:p>
      <w:r>
        <w:rPr>
          <w:color w:val="5A7D3A"/>
          <w:sz w:val="18"/>
        </w:rPr>
        <w:t>https://pubmed.ncbi.nlm.nih.gov/42747513/</w:t>
      </w:r>
    </w:p>
    <w:p>
      <w:pPr>
        <w:pStyle w:val="Heading2"/>
      </w:pPr>
      <w:r>
        <w:t>Zusammenarbeit und Partizipation in integrierter Versorgung: Sicht von Managern mit komplexen Bedarf</w:t>
      </w:r>
    </w:p>
    <w:p>
      <w:r>
        <w:rPr>
          <w:i/>
          <w:color w:val="666666"/>
          <w:sz w:val="18"/>
        </w:rPr>
        <w:t>Hjelm M et al.  ·  BMC Health Serv Res  ·  12.09.2026  ·  PMID 42745286</w:t>
      </w:r>
    </w:p>
    <w:p>
      <w:r>
        <w:t>Qualitative Fokusgruppenstudie (n=13 Manager) zu Barrieren und Facilitatoren interprofessioneller Zusammenarbeit und Patientenbeteiligung in integrierter Gesundheits- und Sozialversorgung für Erwachsene mit komplexen Bedarfen in Schweden.</w:t>
      </w:r>
    </w:p>
    <w:p>
      <w:r>
        <w:rPr>
          <w:b/>
        </w:rPr>
        <w:t xml:space="preserve">Ergebnis: </w:t>
      </w:r>
      <w:r>
        <w:t>Drei zentrale Kategorien identifiziert: (1) organisatorische Voraussetzungen für nachhaltige Verbesserung integrierter Versorgung, (2) interprofessionelle Zusammenarbeit zur Bedarfserfassung, (3) relationale und bedarfsgerechte Ansätze; Kluft zwischen Intention und Implementierung von personenzentrierter, integrierter Versorgung erkannt; Vertrauen, klare Governance und organisatorische Kontinuität als Schlüsselfaktoren.</w:t>
      </w:r>
    </w:p>
    <w:p>
      <w:r>
        <w:rPr>
          <w:b/>
          <w:sz w:val="19"/>
        </w:rPr>
        <w:t xml:space="preserve">Übertragbarkeit: </w:t>
      </w:r>
      <w:r>
        <w:rPr>
          <w:sz w:val="19"/>
        </w:rPr>
        <w:t>Schweden – Primärversorgung und Koordinationsprozesse gut übertragbar auf Deutschland</w:t>
      </w:r>
    </w:p>
    <w:p>
      <w:r>
        <w:rPr>
          <w:color w:val="5A7D3A"/>
          <w:sz w:val="18"/>
        </w:rPr>
        <w:t>https://pubmed.ncbi.nlm.nih.gov/42745286/</w:t>
      </w:r>
    </w:p>
    <w:p>
      <w:pPr>
        <w:pStyle w:val="Heading2"/>
      </w:pPr>
      <w:r>
        <w:t>Lungenkrebs-Screening in Flandern: Barrieren und Facilitatoren aus Stakeholder-Perspektive</w:t>
      </w:r>
    </w:p>
    <w:p>
      <w:r>
        <w:rPr>
          <w:i/>
          <w:color w:val="666666"/>
          <w:sz w:val="18"/>
        </w:rPr>
        <w:t>Michiels L et al.  ·  BMC Health Serv Res  ·  31.08.2026  ·  PMID 42745254</w:t>
      </w:r>
    </w:p>
    <w:p>
      <w:r>
        <w:t>Qualitative exploratorische Studie (22 Gesundheitsfachpersonen, 13 Screening-Berechtigte) zu Implementierungs- und Partizipationsbarrieren sowie Facilitatoren für bevölkerungsgestütztes Lungenkrebs-Screening mit Niedrig-Dosis-CT in Belgien.</w:t>
      </w:r>
    </w:p>
    <w:p>
      <w:r>
        <w:rPr>
          <w:b/>
        </w:rPr>
        <w:t xml:space="preserve">Ergebnis: </w:t>
      </w:r>
      <w:r>
        <w:t>Überwiegend positive Einstellung zum Screening, aber Barrieren: Stigma bezüglich Rauchen, begrenzte Gesundheitskompetenz, indirekte finanzielle/logistische Hindernisse, Angst vor Screening und Warten auf Ergebnisse, Workload-Bedenken, Schulungsbedarf bei Fachpersonen; Facilitatoren: klare Richtlinien, staatliche Koordination/Finanzierung, Integration in Workflows, Zugänglichkeit, public awareness, vertrauensbasierte Kommunikation ohne Wertung.</w:t>
      </w:r>
    </w:p>
    <w:p>
      <w:r>
        <w:rPr>
          <w:b/>
          <w:sz w:val="19"/>
        </w:rPr>
        <w:t xml:space="preserve">Übertragbarkeit: </w:t>
      </w:r>
      <w:r>
        <w:rPr>
          <w:sz w:val="19"/>
        </w:rPr>
        <w:t>Belgien, vergleichbares Sozialversicherungssystem mit ähnlichen Implementierungshürden</w:t>
      </w:r>
    </w:p>
    <w:p>
      <w:r>
        <w:rPr>
          <w:color w:val="5A7D3A"/>
          <w:sz w:val="18"/>
        </w:rPr>
        <w:t>https://pubmed.ncbi.nlm.nih.gov/42745254/</w:t>
      </w:r>
    </w:p>
    <w:p>
      <w:pPr>
        <w:pStyle w:val="Heading2"/>
      </w:pPr>
      <w:r>
        <w:t>Digitale Versorgungstechnologien für ältere Menschen: Anforderungen für Erfahrung als gute Versorgung</w:t>
      </w:r>
    </w:p>
    <w:p>
      <w:r>
        <w:rPr>
          <w:i/>
          <w:color w:val="666666"/>
          <w:sz w:val="18"/>
        </w:rPr>
        <w:t>Kruithof K et al.  ·  BMC Health Serv Res  ·  05.08.2026  ·  PMID 42745252</w:t>
      </w:r>
    </w:p>
    <w:p>
      <w:r>
        <w:t>Qualitative Studie (n=27 wohnhaft lebende ältere Menschen) zu Bedingungen, unter denen digitale Pflege- und Unterstützungstechnologien von älteren Menschen als gute Versorgung wahrgenommen werden.</w:t>
      </w:r>
    </w:p>
    <w:p>
      <w:r>
        <w:rPr>
          <w:b/>
        </w:rPr>
        <w:t xml:space="preserve">Ergebnis: </w:t>
      </w:r>
      <w:r>
        <w:t>Technologien als gute Versorgung erlebt, wenn sie (1) Bedarf und Gewohnheiten entsprechen, (2) Fähigkeiten unterstützen, (3) Werte respektieren; aktive Rolle bei Technologiewahl assoziiert mit Altern-in-place und verbesserter Zugänglichkeit/Sicherheit/Autonomie; von Betreuerseite eingeführte Technologien oft als unnötig wahrgenommen und nicht genutzt; Technologien können reduziertem menschlichem Kontakt und Zugänglichkeitsmängeln schaden.</w:t>
      </w:r>
    </w:p>
    <w:p>
      <w:r>
        <w:rPr>
          <w:b/>
          <w:sz w:val="19"/>
        </w:rPr>
        <w:t xml:space="preserve">Übertragbarkeit: </w:t>
      </w:r>
      <w:r>
        <w:rPr>
          <w:sz w:val="19"/>
        </w:rPr>
        <w:t>Niederlande, ähnliches Gesundheitssystem – Implementierung digitaler Lösungen systemunabhängig</w:t>
      </w:r>
    </w:p>
    <w:p>
      <w:r>
        <w:rPr>
          <w:color w:val="5A7D3A"/>
          <w:sz w:val="18"/>
        </w:rPr>
        <w:t>https://pubmed.ncbi.nlm.nih.gov/42745252/</w:t>
      </w:r>
    </w:p>
    <w:p>
      <w:pPr>
        <w:pStyle w:val="Heading1"/>
      </w:pPr>
      <w:r>
        <w:t>Aufgenommen am 16.09.2026</w:t>
      </w:r>
    </w:p>
    <w:p>
      <w:pPr>
        <w:pStyle w:val="Heading2"/>
      </w:pPr>
      <w:r>
        <w:t>Pragmatisches Vorhersagemodell für Asthma-Klinikreadmissionen</w:t>
      </w:r>
    </w:p>
    <w:p>
      <w:r>
        <w:rPr>
          <w:i/>
          <w:color w:val="666666"/>
          <w:sz w:val="18"/>
        </w:rPr>
        <w:t>Tay TR et al.  ·  Respir Med  ·  15.09.2026  ·  PMID 42744205</w:t>
      </w:r>
    </w:p>
    <w:p>
      <w:r>
        <w:t>Entwicklung und externe Validierung eines neunfaktoriellen Vorhersagemodells für Krankenhauswiederaufnahmen nach Asthmaexazerbation innerhalb von 12 Monaten.</w:t>
      </w:r>
    </w:p>
    <w:p>
      <w:r>
        <w:rPr>
          <w:b/>
        </w:rPr>
        <w:t xml:space="preserve">Ergebnis: </w:t>
      </w:r>
      <w:r>
        <w:t>READMIT-Modell zeigte gute Diskriminierung im Entwicklungs-(AUC 0,748; 95% KI 0,711–0,785) und externen Kohort (AUC 0,737; 95% KI 0,712–0,762), mit zufriedenstellender Kalibrierung.</w:t>
      </w:r>
    </w:p>
    <w:p>
      <w:r>
        <w:rPr>
          <w:b/>
          <w:sz w:val="19"/>
        </w:rPr>
        <w:t xml:space="preserve">Übertragbarkeit: </w:t>
      </w:r>
      <w:r>
        <w:rPr>
          <w:sz w:val="19"/>
        </w:rPr>
        <w:t>Singapur-Daten, aber Fragestellung zu klinischen Prozessen systemunabhängig</w:t>
      </w:r>
    </w:p>
    <w:p>
      <w:r>
        <w:rPr>
          <w:color w:val="5A7D3A"/>
          <w:sz w:val="18"/>
        </w:rPr>
        <w:t>https://pubmed.ncbi.nlm.nih.gov/42744205/</w:t>
      </w:r>
    </w:p>
    <w:p>
      <w:pPr>
        <w:pStyle w:val="Heading2"/>
      </w:pPr>
      <w:r>
        <w:t>Buprenorphin-Verordnungen nach Einführung eines niedrigschwelligen virtuellen Netzwerks</w:t>
      </w:r>
    </w:p>
    <w:p>
      <w:r>
        <w:rPr>
          <w:i/>
          <w:color w:val="666666"/>
          <w:sz w:val="18"/>
        </w:rPr>
        <w:t>Lindenfeld Z et al.  ·  J Subst Use Addict Treat  ·  15.09.2026  ·  PMID 42744115</w:t>
      </w:r>
    </w:p>
    <w:p>
      <w:r>
        <w:t>Analyse der Auswirkungen eines kommunalen Rapid-Access-Modells (RealFix) mit virtuellen Anbietern auf die Buprenorphin-Verschreibungen in Paterson, New Jersey, mittels Differenzen-in-Differenzen-Analyse (2021–2025).</w:t>
      </w:r>
    </w:p>
    <w:p>
      <w:r>
        <w:rPr>
          <w:b/>
        </w:rPr>
        <w:t xml:space="preserve">Ergebnis: </w:t>
      </w:r>
      <w:r>
        <w:t>RealFix war mit Zunahmen von 66,5–76,8 Buprenorphin-Rezepten pro 10.000 Einwohner monatlich verbunden (14,6–17,0% Anstieg über Kontrollgruppen hinaus); Retentionseffekte waren gemischt.</w:t>
      </w:r>
    </w:p>
    <w:p>
      <w:r>
        <w:rPr>
          <w:b/>
          <w:sz w:val="19"/>
        </w:rPr>
        <w:t xml:space="preserve">Übertragbarkeit: </w:t>
      </w:r>
      <w:r>
        <w:rPr>
          <w:sz w:val="19"/>
        </w:rPr>
        <w:t>USA (Medicaid)-Daten, aber Fragestellung zu niedrigschwelliger Zugangssteuerung auf andere Systeme übertragbar</w:t>
      </w:r>
    </w:p>
    <w:p>
      <w:r>
        <w:rPr>
          <w:color w:val="5A7D3A"/>
          <w:sz w:val="18"/>
        </w:rPr>
        <w:t>https://pubmed.ncbi.nlm.nih.gov/42744115/</w:t>
      </w:r>
    </w:p>
    <w:p>
      <w:pPr>
        <w:pStyle w:val="Heading2"/>
      </w:pPr>
      <w:r>
        <w:t>Routinedaten in der onkologischen Versorgungsforschung: Chancen und Herausforderungen</w:t>
      </w:r>
    </w:p>
    <w:p>
      <w:r>
        <w:rPr>
          <w:i/>
          <w:color w:val="666666"/>
          <w:sz w:val="18"/>
        </w:rPr>
        <w:t>Kästner A et al.  ·  Gesundheitswesen  ·  15.09.2026  ·  PMID 42743977</w:t>
      </w:r>
    </w:p>
    <w:p>
      <w:r>
        <w:t>Qualitative Analyse praktischer Erfahrungen mit Krebsregisterdaten und Abrechnungsdaten von Krankenkassen für Versorgungsforschung am Beispiel eines Innovationsfonds-Projekts.</w:t>
      </w:r>
    </w:p>
    <w:p>
      <w:r>
        <w:rPr>
          <w:b/>
        </w:rPr>
        <w:t xml:space="preserve">Ergebnis: </w:t>
      </w:r>
      <w:r>
        <w:t>Verlinkung von Krebsregistern und Abrechnungsdaten ermöglicht umfassende Analysen von Langzeitoutcomes und Versorgungsstrukturen, erfordert jedoch zeitintensive Abstimmungs- und Genehmigungsprozesse sowie spezialisierte methodische Expertise.</w:t>
      </w:r>
    </w:p>
    <w:p>
      <w:r>
        <w:rPr>
          <w:b/>
          <w:sz w:val="19"/>
        </w:rPr>
        <w:t xml:space="preserve">Übertragbarkeit: </w:t>
      </w:r>
      <w:r>
        <w:rPr>
          <w:sz w:val="19"/>
        </w:rPr>
        <w:t>Deutsches Gesundheitssystem, Krebsregister nach §65c SGB V und gesetzliche Krankenkassen</w:t>
      </w:r>
    </w:p>
    <w:p>
      <w:r>
        <w:rPr>
          <w:color w:val="5A7D3A"/>
          <w:sz w:val="18"/>
        </w:rPr>
        <w:t>https://pubmed.ncbi.nlm.nih.gov/42743977/</w:t>
      </w:r>
    </w:p>
    <w:p>
      <w:pPr>
        <w:pStyle w:val="Heading2"/>
      </w:pPr>
      <w:r>
        <w:t>Präferenzen für dezentrale ophthalmologische Kliniken: Diskrete-Wahl-Experiment im UK</w:t>
      </w:r>
    </w:p>
    <w:p>
      <w:r>
        <w:rPr>
          <w:i/>
          <w:color w:val="666666"/>
          <w:sz w:val="18"/>
        </w:rPr>
        <w:t>Ndwandwe S et al.  ·  PLoS One  ·  15.09.2026  ·  PMID 42743352</w:t>
      </w:r>
    </w:p>
    <w:p>
      <w:r>
        <w:t>Diskrete-Wahl-Experiment mit 389 Befragten (Patienten, Fachkräfte, Öffentlichkeit) zu Präferenzen für Merkmale einer techniker-geleiteten asynchronen Augenklinik zur Überwachung chronischer Augenerkrankungen.</w:t>
      </w:r>
    </w:p>
    <w:p>
      <w:r>
        <w:rPr>
          <w:b/>
        </w:rPr>
        <w:t xml:space="preserve">Ergebnis: </w:t>
      </w:r>
      <w:r>
        <w:t>Wer einen Techniker statt Kliniker sah und Ergebnisse per Post erhielt, benötigte Reduktion der Terminverzögerung um 6,27 Monate (95% KI 4,52–8,03) oder Fahrtzeit um 153 Minuten (95% KI 88–219); techniker-geleitete Modelle könnten kliniker-geleitete Services ergänzen, wenn sie Verzögerungen verkürzen.</w:t>
      </w:r>
    </w:p>
    <w:p>
      <w:r>
        <w:rPr>
          <w:b/>
          <w:sz w:val="19"/>
        </w:rPr>
        <w:t xml:space="preserve">Übertragbarkeit: </w:t>
      </w:r>
      <w:r>
        <w:rPr>
          <w:sz w:val="19"/>
        </w:rPr>
        <w:t>UK NHS-System, teilweise übertragbar auf dezentrale Versorgungsmodelle in Deutschland</w:t>
      </w:r>
    </w:p>
    <w:p>
      <w:r>
        <w:rPr>
          <w:color w:val="5A7D3A"/>
          <w:sz w:val="18"/>
        </w:rPr>
        <w:t>https://pubmed.ncbi.nlm.nih.gov/42743352/</w:t>
      </w:r>
    </w:p>
    <w:p>
      <w:pPr>
        <w:pStyle w:val="Heading2"/>
      </w:pPr>
      <w:r>
        <w:t>Psychische Belastung von Gesundheitsfachkräften in der COVID-19-Pandemie</w:t>
      </w:r>
    </w:p>
    <w:p>
      <w:r>
        <w:rPr>
          <w:i/>
          <w:color w:val="666666"/>
          <w:sz w:val="18"/>
        </w:rPr>
        <w:t>Peters C et al.  ·  Front Public Health  ·  31.08.2026  ·  PMID 42741285</w:t>
      </w:r>
    </w:p>
    <w:p>
      <w:r>
        <w:t>Querschnittstudie zu Arbeitsbedingungen und psychischer Gesundheit von 576 Beschäftigten in deutschen Gesundheits- und Sozialeinrichtungen während COVID-19.</w:t>
      </w:r>
    </w:p>
    <w:p>
      <w:r>
        <w:rPr>
          <w:b/>
        </w:rPr>
        <w:t xml:space="preserve">Ergebnis: </w:t>
      </w:r>
      <w:r>
        <w:t>59% waren Gesundheitsfachkräfte; diese berichteten schlechtere Arbeitsfähigkeit (6,9 vs. 7,3), höhere emotionale Belastung und depressive Symptome; ca. ein Fünftel zeigte moderate bis schwere psychische Belastung.</w:t>
      </w:r>
    </w:p>
    <w:p>
      <w:r>
        <w:rPr>
          <w:b/>
          <w:sz w:val="19"/>
        </w:rPr>
        <w:t xml:space="preserve">Übertragbarkeit: </w:t>
      </w:r>
      <w:r>
        <w:rPr>
          <w:sz w:val="19"/>
        </w:rPr>
        <w:t>Deutsche Routinedaten, Studie in Deutschland durchgeführt</w:t>
      </w:r>
    </w:p>
    <w:p>
      <w:r>
        <w:rPr>
          <w:color w:val="5A7D3A"/>
          <w:sz w:val="18"/>
        </w:rPr>
        <w:t>https://pubmed.ncbi.nlm.nih.gov/42741285/</w:t>
      </w:r>
    </w:p>
    <w:p>
      <w:pPr>
        <w:pStyle w:val="Heading2"/>
      </w:pPr>
      <w:r>
        <w:t>Zugang zur elektronischen Patientenakte über Krankenversicherer-Apps in Deutschland</w:t>
      </w:r>
    </w:p>
    <w:p>
      <w:r>
        <w:rPr>
          <w:i/>
          <w:color w:val="666666"/>
          <w:sz w:val="18"/>
        </w:rPr>
        <w:t>May S et al.  ·  JMIR Mhealth Uhealth  ·  14.09.2026  ·  PMID 42735900</w:t>
      </w:r>
    </w:p>
    <w:p>
      <w:r>
        <w:t>Qualitative Interviewstudie mit 23 Personen zu Nutzererfahrungen beim Einrichten und Authentifizieren des Zugangs zur ePA durch Versicherer-Apps.</w:t>
      </w:r>
    </w:p>
    <w:p>
      <w:r>
        <w:rPr>
          <w:b/>
        </w:rPr>
        <w:t xml:space="preserve">Ergebnis: </w:t>
      </w:r>
      <w:r>
        <w:t>Zugang besteht nicht aus einem einzelnen Schritt, sondern aus fünf interdependenten Phasen (Orientierung, technischer Zugang, Verifizierung, Unterbrechungen, initiale Nutzung); Barrieren akkumulieren sich über Phasen hinweg und führen zu wiederholten Versuchen.</w:t>
      </w:r>
    </w:p>
    <w:p>
      <w:r>
        <w:rPr>
          <w:b/>
          <w:sz w:val="19"/>
        </w:rPr>
        <w:t xml:space="preserve">Übertragbarkeit: </w:t>
      </w:r>
      <w:r>
        <w:rPr>
          <w:sz w:val="19"/>
        </w:rPr>
        <w:t>Deutsche Routinedaten und ePA-Implementierung, direkt für deutsches System anwendbar</w:t>
      </w:r>
    </w:p>
    <w:p>
      <w:r>
        <w:rPr>
          <w:color w:val="5A7D3A"/>
          <w:sz w:val="18"/>
        </w:rPr>
        <w:t>https://pubmed.ncbi.nlm.nih.gov/42735900/</w:t>
      </w:r>
    </w:p>
    <w:p>
      <w:pPr>
        <w:pStyle w:val="Heading1"/>
      </w:pPr>
      <w:r>
        <w:t>Aufgenommen am 15.09.2026</w:t>
      </w:r>
    </w:p>
    <w:p>
      <w:pPr>
        <w:pStyle w:val="Heading2"/>
      </w:pPr>
      <w:r>
        <w:t>Design-Richtlinien für Online-Gesundheitsforen</w:t>
      </w:r>
    </w:p>
    <w:p>
      <w:r>
        <w:rPr>
          <w:i/>
          <w:color w:val="666666"/>
          <w:sz w:val="18"/>
        </w:rPr>
        <w:t>Marshall P et al.  ·  J Med Internet Res  ·  14.09.2026  ·  PMID 42735377</w:t>
      </w:r>
    </w:p>
    <w:p>
      <w:r>
        <w:t>Qualitative Studie mit 54 Interviews und Workshops zur Entwicklung evidenzgestützter Designrichtlinien für sichere Online-Gesundheitsforen basierend auf Selbstbestimmungstheorie.</w:t>
      </w:r>
    </w:p>
    <w:p>
      <w:r>
        <w:rPr>
          <w:b/>
        </w:rPr>
        <w:t xml:space="preserve">Ergebnis: </w:t>
      </w:r>
      <w:r>
        <w:t>Vier übergeordnete Designprinzipien identifiziert (Autonomie, Kompetenz, Zugehörigkeit, Sicherheit) mit pragmatischen Umsetzungsstrategien; Ergebnisse zeigen gemischte Nutzererfahrungen und Bedarf für nutzerzentrierte Weiterentwicklung.</w:t>
      </w:r>
    </w:p>
    <w:p>
      <w:r>
        <w:rPr>
          <w:b/>
          <w:sz w:val="19"/>
        </w:rPr>
        <w:t xml:space="preserve">Übertragbarkeit: </w:t>
      </w:r>
      <w:r>
        <w:rPr>
          <w:sz w:val="19"/>
        </w:rPr>
        <w:t>UK-Studie, aber Fragestellung zu Prozessqualität und Nutzerperspektive systemunabhängig übertragbar.</w:t>
      </w:r>
    </w:p>
    <w:p>
      <w:r>
        <w:rPr>
          <w:color w:val="5A7D3A"/>
          <w:sz w:val="18"/>
        </w:rPr>
        <w:t>https://pubmed.ncbi.nlm.nih.gov/42735377/</w:t>
      </w:r>
    </w:p>
    <w:p>
      <w:pPr>
        <w:pStyle w:val="Heading2"/>
      </w:pPr>
      <w:r>
        <w:t>Hepatitis-B-Disparitäten bei Migranten in Dänemark</w:t>
      </w:r>
    </w:p>
    <w:p>
      <w:r>
        <w:rPr>
          <w:i/>
          <w:color w:val="666666"/>
          <w:sz w:val="18"/>
        </w:rPr>
        <w:t>Deal A et al.  ·  Eur J Public Health  ·  04.08.2026  ·  PMID 42734651</w:t>
      </w:r>
    </w:p>
    <w:p>
      <w:r>
        <w:t>Matched-Cohort-Studie mit 179.110 Migranten und 1.049.345 Dänen über 23 Jahre zur Erfassung von HBV-Diagnoseraten und Verzögerungen.</w:t>
      </w:r>
    </w:p>
    <w:p>
      <w:r>
        <w:rPr>
          <w:b/>
        </w:rPr>
        <w:t xml:space="preserve">Ergebnis: </w:t>
      </w:r>
      <w:r>
        <w:t>Migranten zeigten 30,6-fach erhöhtes HBV-Diagnosrisiko (95%-KI: 26,7–35,2); durchschnittliche Verzögerung von Ankunft bis Diagnose 5,4 Jahre; Unterversorgung bei Personen außerhalb routinemäßiger Screening-Prozesse.</w:t>
      </w:r>
    </w:p>
    <w:p>
      <w:r>
        <w:rPr>
          <w:b/>
          <w:sz w:val="19"/>
        </w:rPr>
        <w:t xml:space="preserve">Übertragbarkeit: </w:t>
      </w:r>
      <w:r>
        <w:rPr>
          <w:sz w:val="19"/>
        </w:rPr>
        <w:t>Dänemark, Sozialversicherungssystem vergleichbar mit Deutschland, aussagekräftig für Migrantenpopulationen.</w:t>
      </w:r>
    </w:p>
    <w:p>
      <w:r>
        <w:rPr>
          <w:color w:val="5A7D3A"/>
          <w:sz w:val="18"/>
        </w:rPr>
        <w:t>https://pubmed.ncbi.nlm.nih.gov/42734651/</w:t>
      </w:r>
    </w:p>
    <w:p>
      <w:pPr>
        <w:pStyle w:val="Heading2"/>
      </w:pPr>
      <w:r>
        <w:t>Indirekte Effektivitätsvergleich Tafamidis vs. Acoramidis bei Transthyretin-Kardiomyopathie</w:t>
      </w:r>
    </w:p>
    <w:p>
      <w:r>
        <w:rPr>
          <w:i/>
          <w:color w:val="666666"/>
          <w:sz w:val="18"/>
        </w:rPr>
        <w:t>Debonnaire P et al.  ·  J Comp Eff Res  ·  14.09.2026  ·  PMID 42734113</w:t>
      </w:r>
    </w:p>
    <w:p>
      <w:r>
        <w:t>Trial-Emulation-Studie mit indirektem Vergleich zweier Transthyretin-Stabilisatoren basierend auf Registerdaten und klinischen Trials.</w:t>
      </w:r>
    </w:p>
    <w:p>
      <w:r>
        <w:rPr>
          <w:b/>
        </w:rPr>
        <w:t xml:space="preserve">Ergebnis: </w:t>
      </w:r>
      <w:r>
        <w:t>Nach Kalibrierung zeigte Acoramidis eine 42-Monats-Mortalitätsrate von 24,0% versus kalibrierte 31,2% für Tafamidis; relatives Mortalitätsrisiko 0,78 (95%-KI: 0,60–0,99), was auf 22% niedrigeres Sterblichkeitsrisiko deutet.</w:t>
      </w:r>
    </w:p>
    <w:p>
      <w:r>
        <w:rPr>
          <w:b/>
          <w:sz w:val="19"/>
        </w:rPr>
        <w:t xml:space="preserve">Übertragbarkeit: </w:t>
      </w:r>
      <w:r>
        <w:rPr>
          <w:sz w:val="19"/>
        </w:rPr>
        <w:t>Gering: US-Registerdaten; aber Fragestellung zur Vergleichbarkeit von Wirkstoffen systemunabhängig relevant.</w:t>
      </w:r>
    </w:p>
    <w:p>
      <w:r>
        <w:rPr>
          <w:color w:val="5A7D3A"/>
          <w:sz w:val="18"/>
        </w:rPr>
        <w:t>https://pubmed.ncbi.nlm.nih.gov/42734113/</w:t>
      </w:r>
    </w:p>
    <w:p>
      <w:pPr>
        <w:pStyle w:val="Heading2"/>
      </w:pPr>
      <w:r>
        <w:t>SESAME-Checkliste für Adverse-Event- und Fehlerberichterstattung</w:t>
      </w:r>
    </w:p>
    <w:p>
      <w:r>
        <w:rPr>
          <w:i/>
          <w:color w:val="666666"/>
          <w:sz w:val="18"/>
        </w:rPr>
        <w:t>Griffey RT et al.  ·  J Patient Saf  ·  11.09.2026  ·  PMID 42725452</w:t>
      </w:r>
    </w:p>
    <w:p>
      <w:r>
        <w:t>Methodisches Konsensuspapier zur Entwicklung einer 44-Item-Checkliste (SESAME) zur Standardisierung der Berichterstattung in Studien zu unerwünschten Ereignissen und medizinischen Fehlern.</w:t>
      </w:r>
    </w:p>
    <w:p>
      <w:r>
        <w:rPr>
          <w:b/>
        </w:rPr>
        <w:t xml:space="preserve">Ergebnis: </w:t>
      </w:r>
      <w:r>
        <w:t>SESAME-Checkliste mit 44 Items deckt alle kritischen Reporting-Domänen ab; Ziel ist Verbesserung der Vollständigkeit, Vergleichbarkeit und Reproduzierbarkeit; Entwicklung nach EQUATOR-Standards mit internationalem Expertenkonsens.</w:t>
      </w:r>
    </w:p>
    <w:p>
      <w:r>
        <w:rPr>
          <w:b/>
          <w:sz w:val="19"/>
        </w:rPr>
        <w:t xml:space="preserve">Übertragbarkeit: </w:t>
      </w:r>
      <w:r>
        <w:rPr>
          <w:sz w:val="19"/>
        </w:rPr>
        <w:t>Internationales Konsensdokument zur Studienqualität, systemunabhängig für Patientensicherheitsforschung relevant.</w:t>
      </w:r>
    </w:p>
    <w:p>
      <w:r>
        <w:rPr>
          <w:color w:val="5A7D3A"/>
          <w:sz w:val="18"/>
        </w:rPr>
        <w:t>https://pubmed.ncbi.nlm.nih.gov/42725452/</w:t>
      </w:r>
    </w:p>
    <w:p>
      <w:pPr>
        <w:pStyle w:val="Heading2"/>
      </w:pPr>
      <w:r>
        <w:t>Koordinierter Ansatz zur integrierten Sturz- und Frakturprävention</w:t>
      </w:r>
    </w:p>
    <w:p>
      <w:r>
        <w:rPr>
          <w:i/>
          <w:color w:val="666666"/>
          <w:sz w:val="18"/>
        </w:rPr>
        <w:t>van der Velde N et al.  ·  Eur Geriatr Med  ·  10.09.2026  ·  PMID 42720850</w:t>
      </w:r>
    </w:p>
    <w:p>
      <w:r>
        <w:t>Position Paper von sieben internationalen Fachgesellschaften zu evidenzgestützter integrierter Versorgung für Sturz- und Frakturprävention bei älteren Menschen.</w:t>
      </w:r>
    </w:p>
    <w:p>
      <w:r>
        <w:rPr>
          <w:b/>
        </w:rPr>
        <w:t xml:space="preserve">Ergebnis: </w:t>
      </w:r>
      <w:r>
        <w:t>Kernerkenntnis: Fragmentierte Versorgungsstrukturen erfordern integrierte Fall- und Frakturprävention als Public-Health-Priorität; Empfehlungen für interdisziplinäre Zusammenarbeit, Trainings und systemische Ressourcenallokation.</w:t>
      </w:r>
    </w:p>
    <w:p>
      <w:r>
        <w:rPr>
          <w:b/>
          <w:sz w:val="19"/>
        </w:rPr>
        <w:t xml:space="preserve">Übertragbarkeit: </w:t>
      </w:r>
      <w:r>
        <w:rPr>
          <w:sz w:val="19"/>
        </w:rPr>
        <w:t>Europäischer Konsens mit Fokus auf Versorgungsprozesse, Qualität und Implementierung in Regelversorgung.</w:t>
      </w:r>
    </w:p>
    <w:p>
      <w:r>
        <w:rPr>
          <w:color w:val="5A7D3A"/>
          <w:sz w:val="18"/>
        </w:rPr>
        <w:t>https://pubmed.ncbi.nlm.nih.gov/42720850/</w:t>
      </w:r>
    </w:p>
    <w:p>
      <w:pPr>
        <w:pStyle w:val="Heading2"/>
      </w:pPr>
      <w:r>
        <w:t>Tabakrauchexposition und Gesundheitsdienstleistungen bei jungen Erwachsenen</w:t>
      </w:r>
    </w:p>
    <w:p>
      <w:r>
        <w:rPr>
          <w:i/>
          <w:color w:val="666666"/>
          <w:sz w:val="18"/>
        </w:rPr>
        <w:t>Akhtar S et al.  ·  BMC Health Serv Res  ·  04.09.2026  ·  PMID 42717348</w:t>
      </w:r>
    </w:p>
    <w:p>
      <w:r>
        <w:t>Querschnittsstudie mit 1.323 Studierenden zur Erfassung von Tabakrauchexposition, Symptomen und Inanspruchnahme von Gesundheitsdienstleistungen.</w:t>
      </w:r>
    </w:p>
    <w:p>
      <w:r>
        <w:rPr>
          <w:b/>
        </w:rPr>
        <w:t xml:space="preserve">Ergebnis: </w:t>
      </w:r>
      <w:r>
        <w:t>Exposition gegenüber Tabakrauch 55,9% (740/1.323); Husten (aOR 2,10; 95%-KI 1,66–2,64), Dyspnoe (aOR 1,30; 95%-KI 1,01–1,67) und Asthma (aOR 1,95; 95%-KI 1,43–2,65) signifikant mit Inanspruchnahme assoziiert.</w:t>
      </w:r>
    </w:p>
    <w:p>
      <w:r>
        <w:rPr>
          <w:b/>
          <w:sz w:val="19"/>
        </w:rPr>
        <w:t xml:space="preserve">Übertragbarkeit: </w:t>
      </w:r>
      <w:r>
        <w:rPr>
          <w:sz w:val="19"/>
        </w:rPr>
        <w:t>Kuwait, aber Fragestellung zu Symptomen, Morbidität und Versorgungsnutzung epidemiologisch aussagekräftig.</w:t>
      </w:r>
    </w:p>
    <w:p>
      <w:r>
        <w:rPr>
          <w:color w:val="5A7D3A"/>
          <w:sz w:val="18"/>
        </w:rPr>
        <w:t>https://pubmed.ncbi.nlm.nih.gov/42717348/</w:t>
      </w:r>
    </w:p>
    <w:p>
      <w:pPr>
        <w:pStyle w:val="Heading1"/>
      </w:pPr>
      <w:r>
        <w:t>Aufgenommen am 14.09.2026</w:t>
      </w:r>
    </w:p>
    <w:p>
      <w:pPr>
        <w:pStyle w:val="Heading2"/>
      </w:pPr>
      <w:r>
        <w:t>Kliniker- und Informatiker-Perspektiven auf Harm-Risk-Vorhersage-Tools</w:t>
      </w:r>
    </w:p>
    <w:p>
      <w:r>
        <w:rPr>
          <w:i/>
          <w:color w:val="666666"/>
          <w:sz w:val="18"/>
        </w:rPr>
        <w:t>Lam JYJ et al.  ·  J Eval Clin Pract  ·  Sept. 2026  ·  PMID 42732558</w:t>
      </w:r>
    </w:p>
    <w:p>
      <w:r>
        <w:t>Qualitative Studie mit 22 Interviews (6 Ärzte, 11 Pharmazeuten, 5 Informatiker) zur Implementierung digitaler Risk-Prediction-Tools für Medikamentenschaden in australischen Krankenhäusern.</w:t>
      </w:r>
    </w:p>
    <w:p>
      <w:r>
        <w:rPr>
          <w:b/>
        </w:rPr>
        <w:t xml:space="preserve">Ergebnis: </w:t>
      </w:r>
      <w:r>
        <w:t>Fünf Themen mit Einfluss auf Adoption: Vertrauen der Kliniker, wahrgenommener Nutzen, organisatorische Bereitschaft, automatisierungsfähigkeit und Workflow-Kompatibilität. Barrieren: schlechte Systemintegration, Unsicherheit über Tool-Zuverlässigkeit; Enabler: umfassende Feedback-Mechanismen, Ressourcenplanung.</w:t>
      </w:r>
    </w:p>
    <w:p>
      <w:r>
        <w:rPr>
          <w:b/>
          <w:sz w:val="19"/>
        </w:rPr>
        <w:t xml:space="preserve">Übertragbarkeit: </w:t>
      </w:r>
      <w:r>
        <w:rPr>
          <w:sz w:val="19"/>
        </w:rPr>
        <w:t>Australien, aber klinische Perspektiven auf digitale Sicherheitstools übertragbar</w:t>
      </w:r>
    </w:p>
    <w:p>
      <w:r>
        <w:rPr>
          <w:color w:val="5A7D3A"/>
          <w:sz w:val="18"/>
        </w:rPr>
        <w:t>https://pubmed.ncbi.nlm.nih.gov/42732558/</w:t>
      </w:r>
    </w:p>
    <w:p>
      <w:pPr>
        <w:pStyle w:val="Heading2"/>
      </w:pPr>
      <w:r>
        <w:t>ADHD-Medikation und Selbstverletzungsrisiko: multinational</w:t>
      </w:r>
    </w:p>
    <w:p>
      <w:r>
        <w:rPr>
          <w:i/>
          <w:color w:val="666666"/>
          <w:sz w:val="18"/>
        </w:rPr>
        <w:t>Chan AYL et al.  ·  BMJ Ment Health  ·  12.09.2026  ·  PMID 42731881</w:t>
      </w:r>
    </w:p>
    <w:p>
      <w:r>
        <w:t>Multinational selbstkontrollierte Fallserie zur Assoziation zwischen ADHD-Medikation und Selbstverletzungen anhand von fünf Ländern-Datenbanken.</w:t>
      </w:r>
    </w:p>
    <w:p>
      <w:r>
        <w:rPr>
          <w:b/>
        </w:rPr>
        <w:t xml:space="preserve">Ergebnis: </w:t>
      </w:r>
      <w:r>
        <w:t>Höchstes Risiko 90 Tage vor Therapiestart (IRR 2,58), dann während ersten 90 Tage (IRR 1,78) und später (IRR 1,27). Muster konsistent über alle Datenbanken – erhöhtes Risiko vor Behandlung deutet auf unbehandelte ADHD-Symptome, nicht auf Medikation hin.</w:t>
      </w:r>
    </w:p>
    <w:p>
      <w:r>
        <w:rPr>
          <w:b/>
          <w:sz w:val="19"/>
        </w:rPr>
        <w:t xml:space="preserve">Übertragbarkeit: </w:t>
      </w:r>
      <w:r>
        <w:rPr>
          <w:sz w:val="19"/>
        </w:rPr>
        <w:t>Multinational, UK, Neuseeland, Taiwan eingeschlossen</w:t>
      </w:r>
    </w:p>
    <w:p>
      <w:r>
        <w:rPr>
          <w:color w:val="5A7D3A"/>
          <w:sz w:val="18"/>
        </w:rPr>
        <w:t>https://pubmed.ncbi.nlm.nih.gov/42731881/</w:t>
      </w:r>
    </w:p>
    <w:p>
      <w:pPr>
        <w:pStyle w:val="Heading2"/>
      </w:pPr>
      <w:r>
        <w:t>Online-Infektionstests: Systemische Vorteile und Barrieren</w:t>
      </w:r>
    </w:p>
    <w:p>
      <w:r>
        <w:rPr>
          <w:i/>
          <w:color w:val="666666"/>
          <w:sz w:val="18"/>
        </w:rPr>
        <w:t>Grace D et al.  ·  BMC Health Serv Res  ·  05.09.2026  ·  PMID 42728588</w:t>
      </w:r>
    </w:p>
    <w:p>
      <w:r>
        <w:t>Qualitative Interviews mit 41 Fachleuten zu Implementierung eines Online-Tests für sexuell übertragbare Infektionen (GetCheckedOnline) in Ontario.</w:t>
      </w:r>
    </w:p>
    <w:p>
      <w:r>
        <w:rPr>
          <w:b/>
        </w:rPr>
        <w:t xml:space="preserve">Ergebnis: </w:t>
      </w:r>
      <w:r>
        <w:t>Fünf zentrale Spannungsfelder identifiziert: Zugang, Datenschutz, Koordination, Agency und Systemauswirkungen. Teilnehmende erkannten Vorteile (besserer Zugang), berichteten aber auch unerwünschte Folgen (Koordinationsverluste zwischen Sektoren, Datenschutzbedenken).</w:t>
      </w:r>
    </w:p>
    <w:p>
      <w:r>
        <w:rPr>
          <w:b/>
          <w:sz w:val="19"/>
        </w:rPr>
        <w:t xml:space="preserve">Übertragbarkeit: </w:t>
      </w:r>
      <w:r>
        <w:rPr>
          <w:sz w:val="19"/>
        </w:rPr>
        <w:t>Kanada, aber Fragestellung zu digitalen Testmodellen systemübergreifend relevant</w:t>
      </w:r>
    </w:p>
    <w:p>
      <w:r>
        <w:rPr>
          <w:color w:val="5A7D3A"/>
          <w:sz w:val="18"/>
        </w:rPr>
        <w:t>https://pubmed.ncbi.nlm.nih.gov/42728588/</w:t>
      </w:r>
    </w:p>
    <w:p>
      <w:pPr>
        <w:pStyle w:val="Heading2"/>
      </w:pPr>
      <w:r>
        <w:t>Notfall- und Katastrophenbereitschaft in Krankenhäusern Äthiopiens</w:t>
      </w:r>
    </w:p>
    <w:p>
      <w:r>
        <w:rPr>
          <w:i/>
          <w:color w:val="666666"/>
          <w:sz w:val="18"/>
        </w:rPr>
        <w:t>Farah B et al.  ·  Res Health Serv Reg  ·  10.09.2026  ·  PMID 42720815</w:t>
      </w:r>
    </w:p>
    <w:p>
      <w:r>
        <w:t>Querschnittsstudie zur Notfall- und Katastrophenbereitschaft in vier öffentlichen Zonal-Krankenhäusern in der Somali-Region mit WHO-Hospital-Safety-Index Modul 4.</w:t>
      </w:r>
    </w:p>
    <w:p>
      <w:r>
        <w:rPr>
          <w:b/>
        </w:rPr>
        <w:t xml:space="preserve">Ergebnis: </w:t>
      </w:r>
      <w:r>
        <w:t>Mittlere Bereitschaftswerte von 45%; tiefste Werte für Notfall- und Katastrophenreaktion/Wiederherstellung (41,3%). Defizite in Reaktionsplanung, logistischer Bereitschaft, Finanzadministration und Kommunikationssystemen; fehlende externe Stakeholder-Koordination.</w:t>
      </w:r>
    </w:p>
    <w:p>
      <w:r>
        <w:rPr>
          <w:b/>
          <w:sz w:val="19"/>
        </w:rPr>
        <w:t xml:space="preserve">Übertragbarkeit: </w:t>
      </w:r>
      <w:r>
        <w:rPr>
          <w:sz w:val="19"/>
        </w:rPr>
        <w:t>Äthiopien (LMIC), aber HTA zur Systemreife allgemein relevant</w:t>
      </w:r>
    </w:p>
    <w:p>
      <w:r>
        <w:rPr>
          <w:color w:val="5A7D3A"/>
          <w:sz w:val="18"/>
        </w:rPr>
        <w:t>https://pubmed.ncbi.nlm.nih.gov/42720815/</w:t>
      </w:r>
    </w:p>
    <w:p>
      <w:pPr>
        <w:pStyle w:val="Heading2"/>
      </w:pPr>
      <w:r>
        <w:t>Risk Adjustment in Medicare Advantage mit Encounter-Daten</w:t>
      </w:r>
    </w:p>
    <w:p>
      <w:r>
        <w:rPr>
          <w:i/>
          <w:color w:val="666666"/>
          <w:sz w:val="18"/>
        </w:rPr>
        <w:t>Carlin CS et al.  ·  Health Serv Res  ·  Okt. 2026  ·  PMID 42720268</w:t>
      </w:r>
    </w:p>
    <w:p>
      <w:r>
        <w:t>Vergleichende Re-Schätzung des CMS-Hierarchical-Condition-Category-Modells mit Traditional-Medicare- vs. Medicare-Advantage-Claims 2016–2022.</w:t>
      </w:r>
    </w:p>
    <w:p>
      <w:r>
        <w:rPr>
          <w:b/>
        </w:rPr>
        <w:t xml:space="preserve">Ergebnis: </w:t>
      </w:r>
      <w:r>
        <w:t>MA-Daten zeigen 8,9% niedrigere durchschnittliche HCC-Scores als TM-Daten; Unterschiede variieren über Scoreverteilung. Keine neuen Anreizverzerrungen zu Lasten von Minoritäten oder ländlichen Versicherten.</w:t>
      </w:r>
    </w:p>
    <w:p>
      <w:r>
        <w:rPr>
          <w:b/>
          <w:sz w:val="19"/>
        </w:rPr>
        <w:t xml:space="preserve">Übertragbarkeit: </w:t>
      </w:r>
      <w:r>
        <w:rPr>
          <w:sz w:val="19"/>
        </w:rPr>
        <w:t>US-System (MA/Medicare), aber relevante Methodologie für Risk-Adjustment</w:t>
      </w:r>
    </w:p>
    <w:p>
      <w:r>
        <w:rPr>
          <w:color w:val="5A7D3A"/>
          <w:sz w:val="18"/>
        </w:rPr>
        <w:t>https://pubmed.ncbi.nlm.nih.gov/42720268/</w:t>
      </w:r>
    </w:p>
    <w:p>
      <w:pPr>
        <w:pStyle w:val="Heading2"/>
      </w:pPr>
      <w:r>
        <w:t>MISSION4Sax: Sektorübergreifende onkologische Versorgungsmodelle</w:t>
      </w:r>
    </w:p>
    <w:p>
      <w:r>
        <w:rPr>
          <w:i/>
          <w:color w:val="666666"/>
          <w:sz w:val="18"/>
        </w:rPr>
        <w:t>Richter C et al.  ·  J Cancer Res Clin Oncol  ·  02.09.2026  ·  PMID 42693346</w:t>
      </w:r>
    </w:p>
    <w:p>
      <w:r>
        <w:t>Studienprotokoll eines multizentrischen Pilotstudien zur Machbarkeit einer integrierten onkologischen Versorgung über Regionaltumorbrett zwischen Maximalversorgung und Landpraxis mit standardisierten Patientenpfaden.</w:t>
      </w:r>
    </w:p>
    <w:p>
      <w:r>
        <w:rPr>
          <w:b/>
        </w:rPr>
        <w:t xml:space="preserve">Ergebnis: </w:t>
      </w:r>
      <w:r>
        <w:t>Geplante Bewertung von Machbarkeit, Akzeptanz, Implementierung und Datenqualität (keine Effektivitätsfrage); Fokus auf Wartezeiten, Adhärenz, klinische und Patient-Reported Outcomes. Routinedaten der Krankenkasse als externe Referenz geplant, keine Individualverlinkung.</w:t>
      </w:r>
    </w:p>
    <w:p>
      <w:r>
        <w:rPr>
          <w:b/>
          <w:sz w:val="19"/>
        </w:rPr>
        <w:t xml:space="preserve">Übertragbarkeit: </w:t>
      </w:r>
      <w:r>
        <w:rPr>
          <w:sz w:val="19"/>
        </w:rPr>
        <w:t>Deutschland (Sachsen), Versorgungsforschungs-Design direkt übertragbar</w:t>
      </w:r>
    </w:p>
    <w:p>
      <w:r>
        <w:rPr>
          <w:color w:val="5A7D3A"/>
          <w:sz w:val="18"/>
        </w:rPr>
        <w:t>https://pubmed.ncbi.nlm.nih.gov/42693346/</w:t>
      </w:r>
    </w:p>
    <w:p>
      <w:pPr>
        <w:pStyle w:val="Heading1"/>
      </w:pPr>
      <w:r>
        <w:t>Aufgenommen am 13.09.2026</w:t>
      </w:r>
    </w:p>
    <w:p>
      <w:pPr>
        <w:pStyle w:val="Heading2"/>
      </w:pPr>
      <w:r>
        <w:t>Direkt-OP-Teledermatologie für Hautkrebs: Sicherheit und Effizienz</w:t>
      </w:r>
    </w:p>
    <w:p>
      <w:r>
        <w:rPr>
          <w:i/>
          <w:color w:val="666666"/>
          <w:sz w:val="18"/>
        </w:rPr>
        <w:t>Nour S et al.  ·  BMJ Open Qual  ·  11.09.2026  ·  PMID 42731848</w:t>
      </w:r>
    </w:p>
    <w:p>
      <w:r>
        <w:t>Evaluierung eines Direct-to-Surgery-Teledermatologie-Pfads für verdächtige Hautkrebs-Referrals in einem großen NHS-Hautkrebs-Service mit 18.587 Patienten.</w:t>
      </w:r>
    </w:p>
    <w:p>
      <w:r>
        <w:rPr>
          <w:b/>
        </w:rPr>
        <w:t xml:space="preserve">Ergebnis: </w:t>
      </w:r>
      <w:r>
        <w:t>Von 5.099 eingeschlossenen Patienten wurde 99,86% die 28-Tage-Faster-Diagnosis-Standard erreicht (Ziel: 75%); 75,5% der Melanom-/Plattenepithel-Karzinom-Patienten begannen Behandlung innerhalb der 62-Tage-Zielmarke. Histologie identifizierte 35,5% maligne und 15,5% prämaligne Pathologie; Diagnostische Konkordanz 41,5% (Cohen's κ=0,34). Komplikationsrate 1,3%. Der Pfad demonstriert sichere hochvolumige Hautkrebs-Chirurgie mit exzellenter Compliance zur Faster Diagnosis Standard.</w:t>
      </w:r>
    </w:p>
    <w:p>
      <w:r>
        <w:rPr>
          <w:b/>
          <w:sz w:val="19"/>
        </w:rPr>
        <w:t xml:space="preserve">Übertragbarkeit: </w:t>
      </w:r>
      <w:r>
        <w:rPr>
          <w:sz w:val="19"/>
        </w:rPr>
        <w:t>UK-NHS-Setting, aber Prozessoptimierung für Versorgung übertragbar</w:t>
      </w:r>
    </w:p>
    <w:p>
      <w:r>
        <w:rPr>
          <w:color w:val="5A7D3A"/>
          <w:sz w:val="18"/>
        </w:rPr>
        <w:t>https://pubmed.ncbi.nlm.nih.gov/42731848/</w:t>
      </w:r>
    </w:p>
    <w:p>
      <w:pPr>
        <w:pStyle w:val="Heading2"/>
      </w:pPr>
      <w:r>
        <w:t>Merkmale von Hausärzten und potenziell unangemessene Medikation bei älteren Patienten</w:t>
      </w:r>
    </w:p>
    <w:p>
      <w:r>
        <w:rPr>
          <w:i/>
          <w:color w:val="666666"/>
          <w:sz w:val="18"/>
        </w:rPr>
        <w:t>Tatsuno Y et al.  ·  Health Aff Sch  ·  28.08.2026  ·  PMID 42730259</w:t>
      </w:r>
    </w:p>
    <w:p>
      <w:r>
        <w:t>Japanische Querschnittsstudie zu Zusammenhängen zwischen Arztmerkmalen (Alter, Patientenvolumen) und der Verschreibung potenziell unangemessener Medikamente (PIMs) bei ≥75-Jährigen.</w:t>
      </w:r>
    </w:p>
    <w:p>
      <w:r>
        <w:rPr>
          <w:b/>
        </w:rPr>
        <w:t xml:space="preserve">Ergebnis: </w:t>
      </w:r>
      <w:r>
        <w:t>Von 184.097 Patienten erhielten 38,2% mindestens eine PIM; zwei Drittel der PIM-Verschreibungen konzentrierten sich auf 20% der Ärzte. Jüngere Ärzte (aOR 1,27; 95%-KI 1,05–1,55), solche mit niedrigerem Volumen älterer Patienten (aOR 1,39; 95%-KI 1,19–1,61) und Ärzte in Ost- oder Mittel-Japan verschrieben häufiger PIMs. Gezielte Interventionen bei Hochverschreibern könnten PIMs effizient reduzieren.</w:t>
      </w:r>
    </w:p>
    <w:p>
      <w:r>
        <w:rPr>
          <w:b/>
          <w:sz w:val="19"/>
        </w:rPr>
        <w:t xml:space="preserve">Übertragbarkeit: </w:t>
      </w:r>
      <w:r>
        <w:rPr>
          <w:sz w:val="19"/>
        </w:rPr>
        <w:t>Japan, aber Fragestellung zur Arztqualität systemunabhängig übertragbar</w:t>
      </w:r>
    </w:p>
    <w:p>
      <w:r>
        <w:rPr>
          <w:color w:val="5A7D3A"/>
          <w:sz w:val="18"/>
        </w:rPr>
        <w:t>https://pubmed.ncbi.nlm.nih.gov/42730259/</w:t>
      </w:r>
    </w:p>
    <w:p>
      <w:pPr>
        <w:pStyle w:val="Heading2"/>
      </w:pPr>
      <w:r>
        <w:t>Integration Flexibles Assertive Community Treatment mit kommunalen Sozialservices</w:t>
      </w:r>
    </w:p>
    <w:p>
      <w:r>
        <w:rPr>
          <w:i/>
          <w:color w:val="666666"/>
          <w:sz w:val="18"/>
        </w:rPr>
        <w:t>Kleijburg A et al.  ·  Int J Integr Care  ·  08.09.2026  ·  PMID 42729928</w:t>
      </w:r>
    </w:p>
    <w:p>
      <w:r>
        <w:t>Qualitative Studie mit 15 Interviews zur Implementierung von FACT+DSS-Teams (Flexible Assertive Community Treatment + District Social Services) in der Niederlande für Patienten mit schwerer psychischer Erkrankung.</w:t>
      </w:r>
    </w:p>
    <w:p>
      <w:r>
        <w:rPr>
          <w:b/>
        </w:rPr>
        <w:t xml:space="preserve">Ergebnis: </w:t>
      </w:r>
      <w:r>
        <w:t>FACT+DSS wurde von Teamkräften als deutlich positiv erlebt und verbesserte Zugangsbarrieren, Kontinuität der Versorgung, Case-Finding und Vernetzungskollaboration. Wichtige Erfolgsfaktoren waren starke Führung, geteilter Besitz, gleichberechtigte Zusammenarbeit und direkte Beziehungen. Barrieren waren unzureichende Ressourcen und fehlende klare Rollenverteilung.</w:t>
      </w:r>
    </w:p>
    <w:p>
      <w:r>
        <w:rPr>
          <w:b/>
          <w:sz w:val="19"/>
        </w:rPr>
        <w:t xml:space="preserve">Übertragbarkeit: </w:t>
      </w:r>
      <w:r>
        <w:rPr>
          <w:sz w:val="19"/>
        </w:rPr>
        <w:t>Niederlande, vergleichbares Sozialversicherungssystem, integrierte Versorgung</w:t>
      </w:r>
    </w:p>
    <w:p>
      <w:r>
        <w:rPr>
          <w:color w:val="5A7D3A"/>
          <w:sz w:val="18"/>
        </w:rPr>
        <w:t>https://pubmed.ncbi.nlm.nih.gov/42729928/</w:t>
      </w:r>
    </w:p>
    <w:p>
      <w:pPr>
        <w:pStyle w:val="Heading2"/>
      </w:pPr>
      <w:r>
        <w:t>Auswirkung Brandon Act auf Suizidversuche im US-Militär</w:t>
      </w:r>
    </w:p>
    <w:p>
      <w:r>
        <w:rPr>
          <w:i/>
          <w:color w:val="666666"/>
          <w:sz w:val="18"/>
        </w:rPr>
        <w:t>Yoon J et al.  ·  Health Serv Res  ·  Okt. 2026  ·  PMID 42728782</w:t>
      </w:r>
    </w:p>
    <w:p>
      <w:r>
        <w:t>Unterbrochene Zeitreihen-Analyse (2018–2024) der Military Health System-Daten zu Effekten des Brandon Acts (Geheime Selbst-Überweisungs-Pathways für psychische Gesundheit) auf Suizidversuche bei Active-Duty-Soldaten.</w:t>
      </w:r>
    </w:p>
    <w:p>
      <w:r>
        <w:rPr>
          <w:b/>
        </w:rPr>
        <w:t xml:space="preserve">Ergebnis: </w:t>
      </w:r>
      <w:r>
        <w:t>Brandon Act im Dezember 2021 assoziiert mit unmittelbare Reduktion von 6,51 pro 100.000 (95%-KI: -10,54, -2,47) und Trendwechsel von -2,25 pro Quartal (95%-KI: -3,81, -0,70). Nach Implementation Mai 2023 weitere Reduktion von 21,19 pro 100.000 (95%-KI: -26,83, -15,55). Über 3 Jahre geschätzt ~3.800 Suizidversuche verhindert. Größte Effekte bei junior Enlisted, Frauen, Army/Marines.</w:t>
      </w:r>
    </w:p>
    <w:p>
      <w:r>
        <w:rPr>
          <w:b/>
          <w:sz w:val="19"/>
        </w:rPr>
        <w:t xml:space="preserve">Übertragbarkeit: </w:t>
      </w:r>
      <w:r>
        <w:rPr>
          <w:sz w:val="19"/>
        </w:rPr>
        <w:t>US-Militärsystem, aber Fragestellung zu Stigma-Reduktion systemunabhängig übertragbar</w:t>
      </w:r>
    </w:p>
    <w:p>
      <w:r>
        <w:rPr>
          <w:color w:val="5A7D3A"/>
          <w:sz w:val="18"/>
        </w:rPr>
        <w:t>https://pubmed.ncbi.nlm.nih.gov/42728782/</w:t>
      </w:r>
    </w:p>
    <w:p>
      <w:pPr>
        <w:pStyle w:val="Heading2"/>
      </w:pPr>
      <w:r>
        <w:t>Subjektive Bedarfserkennung und Inanspruchnahme psychischer Gesundheitsversorgung</w:t>
      </w:r>
    </w:p>
    <w:p>
      <w:r>
        <w:rPr>
          <w:i/>
          <w:color w:val="666666"/>
          <w:sz w:val="18"/>
        </w:rPr>
        <w:t>Reinhold AK et al.  ·  BMC Health Serv Res  ·  10.09.2026  ·  PMID 42728591</w:t>
      </w:r>
    </w:p>
    <w:p>
      <w:r>
        <w:t>Gemischte Methoden-Studie mit 456 Teilnehmern mit depressiven Symptomen (PHQ-9≥5) zur Diskrepanz zwischen objektivem, subjektivem Bedarf und tatsächlicher Inanspruchnahme von psychischer Versorgung.</w:t>
      </w:r>
    </w:p>
    <w:p>
      <w:r>
        <w:rPr>
          <w:b/>
        </w:rPr>
        <w:t xml:space="preserve">Ergebnis: </w:t>
      </w:r>
      <w:r>
        <w:t>Subjektive Bedarfserkennung ist starker Prädiktor für Inanspruchnahme: 38,1% der Negativ-Gescreenten und 45,8% der Positiv-Gescreenten berichteten weniger als "sehr genau" zu Suizid-Gedanken geantwortet zu haben. Qualitative Analyse (n=23) identifizierte eine Sechsteilung-Typologie von subjektivem Bedarf statt binärer Klassifikation.</w:t>
      </w:r>
    </w:p>
    <w:p>
      <w:r>
        <w:rPr>
          <w:b/>
          <w:sz w:val="19"/>
        </w:rPr>
        <w:t xml:space="preserve">Übertragbarkeit: </w:t>
      </w:r>
      <w:r>
        <w:rPr>
          <w:sz w:val="19"/>
        </w:rPr>
        <w:t>Deutsche Routinedaten, populationsbasierte Stichprobe, Hausarzt-nahe Versorgung</w:t>
      </w:r>
    </w:p>
    <w:p>
      <w:r>
        <w:rPr>
          <w:color w:val="5A7D3A"/>
          <w:sz w:val="18"/>
        </w:rPr>
        <w:t>https://pubmed.ncbi.nlm.nih.gov/42728591/</w:t>
      </w:r>
    </w:p>
    <w:p>
      <w:pPr>
        <w:pStyle w:val="Heading2"/>
      </w:pPr>
      <w:r>
        <w:t>Vial-Sharing-Strategie reduziert Arzneimittelabfall bei CT-Kontrastmittel</w:t>
      </w:r>
    </w:p>
    <w:p>
      <w:r>
        <w:rPr>
          <w:i/>
          <w:color w:val="666666"/>
          <w:sz w:val="18"/>
        </w:rPr>
        <w:t>Yin Y et al.  ·  BMC Health Serv Res  ·  30.07.2026  ·  PMID 42723046</w:t>
      </w:r>
    </w:p>
    <w:p>
      <w:r>
        <w:t>Retrospektive Studie in chinesischem Universitätskrankenhaus zur Kostenreduktion durch Umstellung von Einzelvial- auf gemeinsame Vial-Abrechnung für CT-Kontrastmittel mit Prozessoptimierung.</w:t>
      </w:r>
    </w:p>
    <w:p>
      <w:r>
        <w:rPr>
          <w:b/>
        </w:rPr>
        <w:t xml:space="preserve">Ergebnis: </w:t>
      </w:r>
      <w:r>
        <w:t>Vial-Sharing-Strategie führte zu jährlicher Einsparung von 2.906.398,8 mL Kontrastmittel und Kostenreduktion von 9.181.958,83 CNY; durchschnittlich 66,93 CNY Kostenreduktion pro Patient. Multidisziplinäre Prozessoptimierung verbesserte Drug Utilization Efficiency und Ressourcenschonung.</w:t>
      </w:r>
    </w:p>
    <w:p>
      <w:r>
        <w:rPr>
          <w:b/>
          <w:sz w:val="19"/>
        </w:rPr>
        <w:t xml:space="preserve">Übertragbarkeit: </w:t>
      </w:r>
      <w:r>
        <w:rPr>
          <w:sz w:val="19"/>
        </w:rPr>
        <w:t>China, aber Versorgungseffizienz-Ansatz für deutsche Krankenhäuser adaptierbar</w:t>
      </w:r>
    </w:p>
    <w:p>
      <w:r>
        <w:rPr>
          <w:color w:val="5A7D3A"/>
          <w:sz w:val="18"/>
        </w:rPr>
        <w:t>https://pubmed.ncbi.nlm.nih.gov/42723046/</w:t>
      </w:r>
    </w:p>
    <w:p>
      <w:pPr>
        <w:pStyle w:val="Heading1"/>
      </w:pPr>
      <w:r>
        <w:t>Aufgenommen am 12.09.2026</w:t>
      </w:r>
    </w:p>
    <w:p>
      <w:pPr>
        <w:pStyle w:val="Heading2"/>
      </w:pPr>
      <w:r>
        <w:t>Geografische Erreichbarkeit Primärversorgung Schweden</w:t>
      </w:r>
    </w:p>
    <w:p>
      <w:r>
        <w:rPr>
          <w:i/>
          <w:color w:val="666666"/>
          <w:sz w:val="18"/>
        </w:rPr>
        <w:t>Isaksson D et al.  ·  BMJ Open  ·  11.09.2026  ·  PMID 42727971</w:t>
      </w:r>
    </w:p>
    <w:p>
      <w:r>
        <w:t>Landesweite Querschnittsstudie zur Fahrtzeit-Erreichbarkeit von Hausarztpraxen in Schweden anhand von Routinedaten.</w:t>
      </w:r>
    </w:p>
    <w:p>
      <w:r>
        <w:rPr>
          <w:b/>
        </w:rPr>
        <w:t xml:space="preserve">Ergebnis: </w:t>
      </w:r>
      <w:r>
        <w:t>Mittlere Fahrtzeit zur nächsten Praxis: 5,6 Min (SD 6,3), Median 3,3 Min; 15,8% erreichen Praxis nicht in ≤10 Min; deutliche Urban-Rural-Disparität (15,1 Min vs 3,0 Min in Großstädten). Geographischer Zugang hoch im Mittel, aber substantielle Unterschiede bleiben.</w:t>
      </w:r>
    </w:p>
    <w:p>
      <w:r>
        <w:rPr>
          <w:b/>
          <w:sz w:val="19"/>
        </w:rPr>
        <w:t xml:space="preserve">Übertragbarkeit: </w:t>
      </w:r>
      <w:r>
        <w:rPr>
          <w:sz w:val="19"/>
        </w:rPr>
        <w:t>Schweden, steuerfinanziert; Prozessmessungen zur Zugänglichkeit auf deutsche Strukturen gut übertragbar.</w:t>
      </w:r>
    </w:p>
    <w:p>
      <w:r>
        <w:rPr>
          <w:color w:val="5A7D3A"/>
          <w:sz w:val="18"/>
        </w:rPr>
        <w:t>https://pubmed.ncbi.nlm.nih.gov/42727971/</w:t>
      </w:r>
    </w:p>
    <w:p>
      <w:pPr>
        <w:pStyle w:val="Heading2"/>
      </w:pPr>
      <w:r>
        <w:t>Psychische Belastung von Gesundheitsfachkräften durch COVID-19</w:t>
      </w:r>
    </w:p>
    <w:p>
      <w:r>
        <w:rPr>
          <w:i/>
          <w:color w:val="666666"/>
          <w:sz w:val="18"/>
        </w:rPr>
        <w:t>Alonso J et al.  ·  Span J Psychiatry Ment Health  ·  11.09.2026  ·  PMID 42727923</w:t>
      </w:r>
    </w:p>
    <w:p>
      <w:r>
        <w:t>Dreieinhalb-Jahres-Längsschnittstudie zu psychischen Auswirkungen von COVID-19 auf spanische Gesundheitsfachkräfte.</w:t>
      </w:r>
    </w:p>
    <w:p>
      <w:r>
        <w:rPr>
          <w:b/>
        </w:rPr>
        <w:t xml:space="preserve">Ergebnis: </w:t>
      </w:r>
      <w:r>
        <w:t>38,1% der negativ gescreenten und 45,8% der positiv gescreenten Veteranen berichteten unauffällige Disclosure bei Suizidales-Screening. Weniger genaue Angaben assoziiert mit niedrigerem Glauben, Suizid sei Ausweg (OR 0,46 bzw 0,40), und höherer Sorge vor Überreaktion (OR 2,36 bzw 3,73). Screening-Genauigkeit limitiert durch Offenbarungshemmungen.</w:t>
      </w:r>
    </w:p>
    <w:p>
      <w:r>
        <w:rPr>
          <w:b/>
          <w:sz w:val="19"/>
        </w:rPr>
        <w:t xml:space="preserve">Übertragbarkeit: </w:t>
      </w:r>
      <w:r>
        <w:rPr>
          <w:sz w:val="19"/>
        </w:rPr>
        <w:t>Spanische Gesundheitsfachkräfte; Health Services Research-Perspektive auf Implementierungsbarrieren auf deutsche Verhältnisse übertragbar.</w:t>
      </w:r>
    </w:p>
    <w:p>
      <w:r>
        <w:rPr>
          <w:color w:val="5A7D3A"/>
          <w:sz w:val="18"/>
        </w:rPr>
        <w:t>https://pubmed.ncbi.nlm.nih.gov/42727923/</w:t>
      </w:r>
    </w:p>
    <w:p>
      <w:pPr>
        <w:pStyle w:val="Heading2"/>
      </w:pPr>
      <w:r>
        <w:t>Technische Unterstützung für Leitlinien-Implementation in LMICs</w:t>
      </w:r>
    </w:p>
    <w:p>
      <w:r>
        <w:rPr>
          <w:i/>
          <w:color w:val="666666"/>
          <w:sz w:val="18"/>
        </w:rPr>
        <w:t>Fahim C et al.  ·  Health Res Policy Syst  ·  10.09.2026  ·  PMID 42723069</w:t>
      </w:r>
    </w:p>
    <w:p>
      <w:r>
        <w:t>Mixed-Methods-Evaluation eines Unterstützungszentrums zur Stärkung der Forschungskapazität für Health Systems Research und Implementierung in Ländern mit niedrigem und mittlerem Einkommen.</w:t>
      </w:r>
    </w:p>
    <w:p>
      <w:r>
        <w:rPr>
          <w:b/>
        </w:rPr>
        <w:t xml:space="preserve">Ergebnis: </w:t>
      </w:r>
      <w:r>
        <w:t>22 Teilnehmer aus 6 Ländern; 8 von 9 Forschungskapazitäts-Outcomes verbesserten sich signifikant; signifikante Unterschiede in der Fähigkeit zur Entwicklung evidenzgestützter Knowledge-Translation-Interventionen (Z=-2,93, p&lt;0,05). Hauptbarrieren: fragmentierte Dienstleistungen, mangelnde Daten/Ausrüstung; Enabler: Stakeholder-Partnerschaften, multi-sektorale Ansätze.</w:t>
      </w:r>
    </w:p>
    <w:p>
      <w:r>
        <w:rPr>
          <w:b/>
          <w:sz w:val="19"/>
        </w:rPr>
        <w:t xml:space="preserve">Übertragbarkeit: </w:t>
      </w:r>
      <w:r>
        <w:rPr>
          <w:sz w:val="19"/>
        </w:rPr>
        <w:t>Low- and Middle-Income Countries; Implementierungswissenschaft auf deutsche Kapazitätsentwicklung nicht direkt übertragbar.</w:t>
      </w:r>
    </w:p>
    <w:p>
      <w:r>
        <w:rPr>
          <w:color w:val="5A7D3A"/>
          <w:sz w:val="18"/>
        </w:rPr>
        <w:t>https://pubmed.ncbi.nlm.nih.gov/42723069/</w:t>
      </w:r>
    </w:p>
    <w:p>
      <w:pPr>
        <w:pStyle w:val="Heading2"/>
      </w:pPr>
      <w:r>
        <w:t>Conversational Agent für Magenkrebspatienten</w:t>
      </w:r>
    </w:p>
    <w:p>
      <w:r>
        <w:rPr>
          <w:i/>
          <w:color w:val="666666"/>
          <w:sz w:val="18"/>
        </w:rPr>
        <w:t>Kang Y et al.  ·  J Med Internet Res  ·  10.09.2026  ·  PMID 42721321</w:t>
      </w:r>
    </w:p>
    <w:p>
      <w:r>
        <w:t>Action-Research-Studie zur Entwicklung und Usability-Bewertung eines KI-gestützten Conversational Agents für Patientenschulung bei Magenkrebs.</w:t>
      </w:r>
    </w:p>
    <w:p>
      <w:r>
        <w:rPr>
          <w:b/>
        </w:rPr>
        <w:t xml:space="preserve">Ergebnis: </w:t>
      </w:r>
      <w:r>
        <w:t>44 Patienten, 13 Pflegekräfte, 3 Manager, 2 Chirurgen getestet; Accuracy über 3 Testzyklen: 67%, 71%, 82%; RAG-Knowledge-Hit-Rate: 86%, 98%, 100% (signifikante Verbesserung p&lt;0,01). Chatbot-Usability-Score: 91,9 (SD 3,6); Content-Relevanz: 3,75 (SD 0,9). Drei Themen nutzer-zentriert: Wahrgenommene Nützlichkeit, Ease of Use, Nutzungsabsicht.</w:t>
      </w:r>
    </w:p>
    <w:p>
      <w:r>
        <w:rPr>
          <w:b/>
          <w:sz w:val="19"/>
        </w:rPr>
        <w:t xml:space="preserve">Übertragbarkeit: </w:t>
      </w:r>
      <w:r>
        <w:rPr>
          <w:sz w:val="19"/>
        </w:rPr>
        <w:t>China, Krankenhaus-Setting; Technologie-Anwendung für Patientenbildung auf deutsche Systeme prinzipiell übertragbar, Validierung erforderlich.</w:t>
      </w:r>
    </w:p>
    <w:p>
      <w:r>
        <w:rPr>
          <w:color w:val="5A7D3A"/>
          <w:sz w:val="18"/>
        </w:rPr>
        <w:t>https://pubmed.ncbi.nlm.nih.gov/42721321/</w:t>
      </w:r>
    </w:p>
    <w:p>
      <w:pPr>
        <w:pStyle w:val="Heading2"/>
      </w:pPr>
      <w:r>
        <w:t>Lebensqualität bei Krebspatienten in der DR Kongo</w:t>
      </w:r>
    </w:p>
    <w:p>
      <w:r>
        <w:rPr>
          <w:i/>
          <w:color w:val="666666"/>
          <w:sz w:val="18"/>
        </w:rPr>
        <w:t>Pilz MJ et al.  ·  BMJ Open  ·  09.09.2026  ·  PMID 42716684</w:t>
      </w:r>
    </w:p>
    <w:p>
      <w:r>
        <w:t>Querschnitts-Mixed-Methods-Studie zur gesundheitsbezogenen Lebensqualität von Krebspatienten in Lubumbashi, Demokratische Republik Kongo.</w:t>
      </w:r>
    </w:p>
    <w:p>
      <w:r>
        <w:rPr>
          <w:b/>
        </w:rPr>
        <w:t xml:space="preserve">Ergebnis: </w:t>
      </w:r>
      <w:r>
        <w:t>103 Patienten untersucht; 94,1% berichten finanzielle Probleme, 80,4% soziale Isolation, 71,8% Besorgnis. Symptombelastung deutlich höher als in Spanien-Kontrollgruppe (OR 1,18–28,0 für Symptome); nach Adjustierung für Alter, Geschlecht, Komorbiditäten blieben signifikante Unterschiede für 10 von 16 Skalen (p&lt;0,05). Hohe Symptombelastung erfordert Unterstützungsmaßnahmen.</w:t>
      </w:r>
    </w:p>
    <w:p>
      <w:r>
        <w:rPr>
          <w:b/>
          <w:sz w:val="19"/>
        </w:rPr>
        <w:t xml:space="preserve">Übertragbarkeit: </w:t>
      </w:r>
      <w:r>
        <w:rPr>
          <w:sz w:val="19"/>
        </w:rPr>
        <w:t>DR Kongo, Low-Income Setting; Bedeutung für ressourcenlimitierte Systeme, eingeschränkte Übertragbarkeit auf deutsche Verhältnisse.</w:t>
      </w:r>
    </w:p>
    <w:p>
      <w:r>
        <w:rPr>
          <w:color w:val="5A7D3A"/>
          <w:sz w:val="18"/>
        </w:rPr>
        <w:t>https://pubmed.ncbi.nlm.nih.gov/42716684/</w:t>
      </w:r>
    </w:p>
    <w:p>
      <w:pPr>
        <w:pStyle w:val="Heading2"/>
      </w:pPr>
      <w:r>
        <w:t>Verbrauchergesteuerte Forschungspriorität in Australien</w:t>
      </w:r>
    </w:p>
    <w:p>
      <w:r>
        <w:rPr>
          <w:i/>
          <w:color w:val="666666"/>
          <w:sz w:val="18"/>
        </w:rPr>
        <w:t>Catapan SC et al.  ·  Rural Remote Health  ·  01.09.2026  ·  PMID 42716571</w:t>
      </w:r>
    </w:p>
    <w:p>
      <w:r>
        <w:t>Qualitative Studie mit World Café-Methode zur Bestimmung von Forschungsprioritäten für Gesundheit in ruralen australischen Gemeinden.</w:t>
      </w:r>
    </w:p>
    <w:p>
      <w:r>
        <w:rPr>
          <w:b/>
        </w:rPr>
        <w:t xml:space="preserve">Ergebnis: </w:t>
      </w:r>
      <w:r>
        <w:t>Fünf identifizierte Prioritäten: (1) Rekrutierung/Bindung von Hausärzten, (2) multidisziplinäre Versorgung, (3) Bewusstsein für lokale Dienste, (4) erweiterte Chroniker-Betreuung mit Remote-Monitoring, (5) Verbindung zu sozialen Determinanten (Wohnung, Finanzen). Konsens zwischen Verbrauchern und Forschern auf Bedarf für maßgeschneiderte, gemeindegesteuerte Interventionen.</w:t>
      </w:r>
    </w:p>
    <w:p>
      <w:r>
        <w:rPr>
          <w:b/>
          <w:sz w:val="19"/>
        </w:rPr>
        <w:t xml:space="preserve">Übertragbarkeit: </w:t>
      </w:r>
      <w:r>
        <w:rPr>
          <w:sz w:val="19"/>
        </w:rPr>
        <w:t>Australien, steuerfinanziert; Partizipativmethode zur Prioritätensetzung auf deutsche Versorgungsforschung teilweise übertragbar.</w:t>
      </w:r>
    </w:p>
    <w:p>
      <w:r>
        <w:rPr>
          <w:color w:val="5A7D3A"/>
          <w:sz w:val="18"/>
        </w:rPr>
        <w:t>https://pubmed.ncbi.nlm.nih.gov/42716571/</w:t>
      </w:r>
    </w:p>
    <w:p>
      <w:pPr>
        <w:pStyle w:val="Heading1"/>
      </w:pPr>
      <w:r>
        <w:t>Aufgenommen am 11.09.2026</w:t>
      </w:r>
    </w:p>
    <w:p>
      <w:pPr>
        <w:pStyle w:val="Heading2"/>
      </w:pPr>
      <w:r>
        <w:t>Mobile Single-Lead ECG-Screening für Vorhofflimmern in Routine-Settings</w:t>
      </w:r>
    </w:p>
    <w:p>
      <w:r>
        <w:rPr>
          <w:i/>
          <w:color w:val="666666"/>
          <w:sz w:val="18"/>
        </w:rPr>
        <w:t>Fenske R et al.  ·  JMIR Cardio  ·  10.09.2026  ·  PMID 42721301</w:t>
      </w:r>
    </w:p>
    <w:p>
      <w:r>
        <w:t>Deutsche Multizenterstudie zur Machbarkeit von mobiler Single-Lead-EKG-Detektion für Vorhofflimmern in Krankenhaus und Praxis.</w:t>
      </w:r>
    </w:p>
    <w:p>
      <w:r>
        <w:rPr>
          <w:b/>
        </w:rPr>
        <w:t xml:space="preserve">Ergebnis: </w:t>
      </w:r>
      <w:r>
        <w:t>Von 237 Patienten lieferte das Gerät Interpretation bei 95,3% (41/43) der Ambulanten und 85,6% (166/194) der Stationären. Neu vermutetes Vorhofflimmern fand sich bei 1,7% (4/237); technische Probleme bei 16,0% (38/237). Nur 6,3% (15/237) nutzten regelmäßig Telemedizin. Die Machbarkeit ist gegeben, aber systematische Bestätigungstests und höhere Telemedizin-Akzeptanz fehlen.</w:t>
      </w:r>
    </w:p>
    <w:p>
      <w:r>
        <w:rPr>
          <w:b/>
          <w:sz w:val="19"/>
        </w:rPr>
        <w:t xml:space="preserve">Übertragbarkeit: </w:t>
      </w:r>
      <w:r>
        <w:rPr>
          <w:sz w:val="19"/>
        </w:rPr>
        <w:t>Deutsche Multizenterstudie mit lokalem Versorgungskontext</w:t>
      </w:r>
    </w:p>
    <w:p>
      <w:r>
        <w:rPr>
          <w:color w:val="5A7D3A"/>
          <w:sz w:val="18"/>
        </w:rPr>
        <w:t>https://pubmed.ncbi.nlm.nih.gov/42721301/</w:t>
      </w:r>
    </w:p>
    <w:p>
      <w:pPr>
        <w:pStyle w:val="Heading2"/>
      </w:pPr>
      <w:r>
        <w:t>Trends bei Milchpumpen-Verschreibungen in Deutschland 2011-2024</w:t>
      </w:r>
    </w:p>
    <w:p>
      <w:r>
        <w:rPr>
          <w:i/>
          <w:color w:val="666666"/>
          <w:sz w:val="18"/>
        </w:rPr>
        <w:t>Fischer L et al.  ·  Breastfeed Med  ·  10.09.2026  ·  PMID 42720285</w:t>
      </w:r>
    </w:p>
    <w:p>
      <w:r>
        <w:t>Sekundäranalyse von Routinedaten der gesetzlichen Krankenversicherung zu Trends bei Verordnungen von Milchpumpen im ambulanten Sektor.</w:t>
      </w:r>
    </w:p>
    <w:p>
      <w:r>
        <w:rPr>
          <w:b/>
        </w:rPr>
        <w:t xml:space="preserve">Ergebnis: </w:t>
      </w:r>
      <w:r>
        <w:t>Elektrische Milchpumpen-Ansprüche stiegen von 235 auf 605 Ansprüche pro 1.000 Neugeborene (durchschnittliches jährliches Wachstum 8,2%). 2024 betrugen die Krankenkassen-Kosten für Leih-Pumpen €15,3 Millionen. Erhebliche regionale Schwankungen zwischen Bundesländern, aber überall Anstieg.</w:t>
      </w:r>
    </w:p>
    <w:p>
      <w:r>
        <w:rPr>
          <w:b/>
          <w:sz w:val="19"/>
        </w:rPr>
        <w:t xml:space="preserve">Übertragbarkeit: </w:t>
      </w:r>
      <w:r>
        <w:rPr>
          <w:sz w:val="19"/>
        </w:rPr>
        <w:t>Deutsche Routinedaten der gesetzlichen Krankenversicherung, vollständig übertragbar</w:t>
      </w:r>
    </w:p>
    <w:p>
      <w:r>
        <w:rPr>
          <w:color w:val="5A7D3A"/>
          <w:sz w:val="18"/>
        </w:rPr>
        <w:t>https://pubmed.ncbi.nlm.nih.gov/42720285/</w:t>
      </w:r>
    </w:p>
    <w:p>
      <w:pPr>
        <w:pStyle w:val="Heading2"/>
      </w:pPr>
      <w:r>
        <w:t>Medical Invalidation: Systematische Konzeptualisierung eines Versorgungsproblems</w:t>
      </w:r>
    </w:p>
    <w:p>
      <w:r>
        <w:rPr>
          <w:i/>
          <w:color w:val="666666"/>
          <w:sz w:val="18"/>
        </w:rPr>
        <w:t>Lerch SP et al.  ·  BMC Health Serv Res  ·  08.09.2026  ·  PMID 42717341</w:t>
      </w:r>
    </w:p>
    <w:p>
      <w:r>
        <w:t>Scoping Review zur konzeptuellen Klärung von Medical Invalidation, Ursachen, Konsequenzen und Lösungsansätze in der Gesundheitsversorgung.</w:t>
      </w:r>
    </w:p>
    <w:p>
      <w:r>
        <w:rPr>
          <w:b/>
        </w:rPr>
        <w:t xml:space="preserve">Ergebnis: </w:t>
      </w:r>
      <w:r>
        <w:t>158 Studien zeigen inkonsistente Definitionen von Invalidation und Gaslighting. Multifaktorielle Ursachen identifiziert: diagnostische Herausforderungen, strukturelle Faktoren, Stigma, Diagnostikskills-Defizite. Validierung hatte konsistent positive Effekte; Invalidation führte zu Verhaltens-, emotionalen, kognitiven und physischen Schäden. Lösungen: Kommunikationstraining, klinische Schulung, Patientenunterstützung, Forschung, systemische Änderungen.</w:t>
      </w:r>
    </w:p>
    <w:p>
      <w:r>
        <w:rPr>
          <w:b/>
          <w:sz w:val="19"/>
        </w:rPr>
        <w:t xml:space="preserve">Übertragbarkeit: </w:t>
      </w:r>
      <w:r>
        <w:rPr>
          <w:sz w:val="19"/>
        </w:rPr>
        <w:t>Universeller Problembereich, besonders relevant für deutsches Versorgungssystem</w:t>
      </w:r>
    </w:p>
    <w:p>
      <w:r>
        <w:rPr>
          <w:color w:val="5A7D3A"/>
          <w:sz w:val="18"/>
        </w:rPr>
        <w:t>https://pubmed.ncbi.nlm.nih.gov/42717341/</w:t>
      </w:r>
    </w:p>
    <w:p>
      <w:pPr>
        <w:pStyle w:val="Heading2"/>
      </w:pPr>
      <w:r>
        <w:t>Cardiolotse: Transitionales Care-Modell für kardiovaskuläre Patienten</w:t>
      </w:r>
    </w:p>
    <w:p>
      <w:r>
        <w:rPr>
          <w:i/>
          <w:color w:val="666666"/>
          <w:sz w:val="18"/>
        </w:rPr>
        <w:t>Kropp S et al.  ·  BMC Health Serv Res  ·  09.09.2026  ·  PMID 42717334</w:t>
      </w:r>
    </w:p>
    <w:p>
      <w:r>
        <w:t>Prozessevaluation eines Pflegefachpersonen-geführten Transitionscare-Modells in Deutschland zur Verbesserung der Versorgungskoordination nach Krankenhausentlassung.</w:t>
      </w:r>
    </w:p>
    <w:p>
      <w:r>
        <w:rPr>
          <w:b/>
        </w:rPr>
        <w:t xml:space="preserve">Ergebnis: </w:t>
      </w:r>
      <w:r>
        <w:t>Etwa 12.500 Kontakte wurden durchgeführt. Patienten berichteten hohe Zufriedenheit und vertrauten den Cardiolotsen. Jedoch konnten zufriedenheitsscore zwischen Interventions- und Kontrollgruppe hinsichtlich Behandlung nicht unterschieden werden. Nur 10% der niedergelassenen Ärzte erreichten regelmäßigen Kontakt – sektorübergreifende Kommunikation war die Haupthürde.</w:t>
      </w:r>
    </w:p>
    <w:p>
      <w:r>
        <w:rPr>
          <w:b/>
          <w:sz w:val="19"/>
        </w:rPr>
        <w:t xml:space="preserve">Übertragbarkeit: </w:t>
      </w:r>
      <w:r>
        <w:rPr>
          <w:sz w:val="19"/>
        </w:rPr>
        <w:t>Realistische deutsche Versorgungsforschung zu Care Coordination</w:t>
      </w:r>
    </w:p>
    <w:p>
      <w:r>
        <w:rPr>
          <w:color w:val="5A7D3A"/>
          <w:sz w:val="18"/>
        </w:rPr>
        <w:t>https://pubmed.ncbi.nlm.nih.gov/42717334/</w:t>
      </w:r>
    </w:p>
    <w:p>
      <w:pPr>
        <w:pStyle w:val="Heading2"/>
      </w:pPr>
      <w:r>
        <w:t>Patient-Reported Outcomes nach Revaskularisation bei Claudicatio intermittens</w:t>
      </w:r>
    </w:p>
    <w:p>
      <w:r>
        <w:rPr>
          <w:i/>
          <w:color w:val="666666"/>
          <w:sz w:val="18"/>
        </w:rPr>
        <w:t>Peters F et al.  ·  J Vasc Surg  ·  08.09.2026  ·  PMID 42710606</w:t>
      </w:r>
    </w:p>
    <w:p>
      <w:r>
        <w:t>Deutsche prospektive Multizenterstudie zu Patient-Reported Outcomes (PROMs) nach invasiver Revaskularisierung bei Claudicatio intermittens.</w:t>
      </w:r>
    </w:p>
    <w:p>
      <w:r>
        <w:rPr>
          <w:b/>
        </w:rPr>
        <w:t xml:space="preserve">Ergebnis: </w:t>
      </w:r>
      <w:r>
        <w:t>Von 963 Patienten (64% Männer, Median 68 Jahre) verbesserte sich der Physical Component Summary score (SF-12) von median 35 auf 45 (Bereich Q1-Q3: 28-43 auf 39-52). Maximale schmerzfreie Gehstrecke stieg um 20 Minuten, Beinschmerzen im Ruhezustand sank um 10 Punkte. Adipositas, Rentner-Status und Nicht-Erwerbstätigkeit waren mit kleineren Verbesserungen assoziiert.</w:t>
      </w:r>
    </w:p>
    <w:p>
      <w:r>
        <w:rPr>
          <w:b/>
          <w:sz w:val="19"/>
        </w:rPr>
        <w:t xml:space="preserve">Übertragbarkeit: </w:t>
      </w:r>
      <w:r>
        <w:rPr>
          <w:sz w:val="19"/>
        </w:rPr>
        <w:t>Deutsche Multizenterstudie, direkt auf deutsches Gesundheitssystem übertragbar</w:t>
      </w:r>
    </w:p>
    <w:p>
      <w:r>
        <w:rPr>
          <w:color w:val="5A7D3A"/>
          <w:sz w:val="18"/>
        </w:rPr>
        <w:t>https://pubmed.ncbi.nlm.nih.gov/42710606/</w:t>
      </w:r>
    </w:p>
    <w:p>
      <w:pPr>
        <w:pStyle w:val="Heading2"/>
      </w:pPr>
      <w:r>
        <w:t>Gute Praxis Sekundärdatenanalyse Version 4: Leitlinien und Empfehlungen</w:t>
      </w:r>
    </w:p>
    <w:p>
      <w:r>
        <w:rPr>
          <w:i/>
          <w:color w:val="666666"/>
          <w:sz w:val="18"/>
        </w:rPr>
        <w:t>Swart E et al.  ·  Gesundheitswesen  ·  07.09.2026  ·  PMID 42705329</w:t>
      </w:r>
    </w:p>
    <w:p>
      <w:r>
        <w:t>Aktualisierte Richtlinie für methodische Standards bei der Durchführung von Sekundärdatenanalysen in Deutschland mit neuen Empfehlungen.</w:t>
      </w:r>
    </w:p>
    <w:p>
      <w:r>
        <w:rPr>
          <w:b/>
        </w:rPr>
        <w:t xml:space="preserve">Ergebnis: </w:t>
      </w:r>
      <w:r>
        <w:t>Version 4 ergänzt frühere Versionen um Empfehlungen zu Studienpopulation, Auswertestrategie, Registrierung, Zusammenspiel von Datenanalyse und Patient:innenperspektive, Data Dictionaries, Zwischenauswertungen, verteiltem Rechnen, Dokumentation, gepoolten Daten, Rechtrahmen und Wissenschaftskommunikation. Standard für Sekundärdatenanalysen nach wissenschaftlichen Grundsätzen in Deutschland etabliert.</w:t>
      </w:r>
    </w:p>
    <w:p>
      <w:r>
        <w:rPr>
          <w:b/>
          <w:sz w:val="19"/>
        </w:rPr>
        <w:t xml:space="preserve">Übertragbarkeit: </w:t>
      </w:r>
      <w:r>
        <w:rPr>
          <w:sz w:val="19"/>
        </w:rPr>
        <w:t>Deutsche Fachmethodologie, grundlegend für deutsches Versorgungsforschungs-System</w:t>
      </w:r>
    </w:p>
    <w:p>
      <w:r>
        <w:rPr>
          <w:color w:val="5A7D3A"/>
          <w:sz w:val="18"/>
        </w:rPr>
        <w:t>https://pubmed.ncbi.nlm.nih.gov/42705329/</w:t>
      </w:r>
    </w:p>
    <w:p>
      <w:pPr>
        <w:pStyle w:val="Heading1"/>
      </w:pPr>
      <w:r>
        <w:t>Aufgenommen am 10.09.2026</w:t>
      </w:r>
    </w:p>
    <w:p>
      <w:pPr>
        <w:pStyle w:val="Heading2"/>
      </w:pPr>
      <w:r>
        <w:t>Sentiment analysis mit BERT-Modell für Patientenerfahrungen in der Primärversorgung</w:t>
      </w:r>
    </w:p>
    <w:p>
      <w:r>
        <w:rPr>
          <w:i/>
          <w:color w:val="666666"/>
          <w:sz w:val="18"/>
        </w:rPr>
        <w:t>Norman RM et al.  ·  Fam Pract  ·  31.07.2026  ·  PMID 42713859</w:t>
      </w:r>
    </w:p>
    <w:p>
      <w:r>
        <w:t>Fine-tuning eines Sprachmodells (NorBERT3) zur automatisierten Sentimentanalyse von Patientenerfahrungen in norwegischen Hausarztpraxen.</w:t>
      </w:r>
    </w:p>
    <w:p>
      <w:r>
        <w:rPr>
          <w:b/>
        </w:rPr>
        <w:t xml:space="preserve">Ergebnis: </w:t>
      </w:r>
      <w:r>
        <w:t>Das optimierte Modell erzielte hohe F1-Scores auf Testdaten (0,80 AUC für Online-Bewertungen), übertraf traditionelle Methoden und ein großes Sprachmodell. Konstruktvalidität wurde durch erwartete Korrelationen mit Patientenerfahrungsscores und bekannte Subgruppenunterschiede unterstützt.</w:t>
      </w:r>
    </w:p>
    <w:p>
      <w:r>
        <w:rPr>
          <w:b/>
          <w:sz w:val="19"/>
        </w:rPr>
        <w:t xml:space="preserve">Übertragbarkeit: </w:t>
      </w:r>
      <w:r>
        <w:rPr>
          <w:sz w:val="19"/>
        </w:rPr>
        <w:t>Norwegen, ähnliche Primärversorgungsstruktur wie Deutschland</w:t>
      </w:r>
    </w:p>
    <w:p>
      <w:r>
        <w:rPr>
          <w:color w:val="5A7D3A"/>
          <w:sz w:val="18"/>
        </w:rPr>
        <w:t>https://pubmed.ncbi.nlm.nih.gov/42713859/</w:t>
      </w:r>
    </w:p>
    <w:p>
      <w:pPr>
        <w:pStyle w:val="Heading2"/>
      </w:pPr>
      <w:r>
        <w:t>Unterstützungsmodell für sichere Medikamentennutzung bei Migranten mit Sprachbarrieren</w:t>
      </w:r>
    </w:p>
    <w:p>
      <w:r>
        <w:rPr>
          <w:i/>
          <w:color w:val="666666"/>
          <w:sz w:val="18"/>
        </w:rPr>
        <w:t>Hjelm K et al.  ·  BMC Health Serv Res  ·  07.09.2026  ·  PMID 42711692</w:t>
      </w:r>
    </w:p>
    <w:p>
      <w:r>
        <w:t>Co-creation Partizipative Aktionsforschung identifizierte Unterstützungsbedarfe für sichere Medikamentennutzung bei fremdgeborenen Personen mit Sprachschwierigkeiten in Schweden.</w:t>
      </w:r>
    </w:p>
    <w:p>
      <w:r>
        <w:rPr>
          <w:b/>
        </w:rPr>
        <w:t xml:space="preserve">Ergebnis: </w:t>
      </w:r>
      <w:r>
        <w:t>Sieben Handlungsfelder identifiziert: Routinen für sichere Medikamentennutzung, Kontinuität, Sprachenunterstützung, Ressourcen, Patienteneducation, Mitarbeiterschulung und nationale Maßnahmen. Kern: Koordiniertes interdisziplinäres Team in der Primärversorgung mit erreichbarer Kontaktperson.</w:t>
      </w:r>
    </w:p>
    <w:p>
      <w:r>
        <w:rPr>
          <w:b/>
          <w:sz w:val="19"/>
        </w:rPr>
        <w:t xml:space="preserve">Übertragbarkeit: </w:t>
      </w:r>
      <w:r>
        <w:rPr>
          <w:sz w:val="19"/>
        </w:rPr>
        <w:t>Schweden, vergleichbares Sozialversicherungssystem, Migrationskontexte zentral</w:t>
      </w:r>
    </w:p>
    <w:p>
      <w:r>
        <w:rPr>
          <w:color w:val="5A7D3A"/>
          <w:sz w:val="18"/>
        </w:rPr>
        <w:t>https://pubmed.ncbi.nlm.nih.gov/42711692/</w:t>
      </w:r>
    </w:p>
    <w:p>
      <w:pPr>
        <w:pStyle w:val="Heading2"/>
      </w:pPr>
      <w:r>
        <w:t>Dementenangebot und Ergebnisse in japanischen Akutkrankenhäusern nach Finanzierungsanreiz</w:t>
      </w:r>
    </w:p>
    <w:p>
      <w:r>
        <w:rPr>
          <w:i/>
          <w:color w:val="666666"/>
          <w:sz w:val="18"/>
        </w:rPr>
        <w:t>Wu J et al.  ·  Geriatr Gerontol Int  ·  Sept. 2026  ·  PMID 42711657</w:t>
      </w:r>
    </w:p>
    <w:p>
      <w:r>
        <w:t>Nationale Analyse der Patienten, die für Japans Dementatax-Anreiz (DCA) berechtigt sind, und deren klinische Versorgungsergebnisse 2016–2019.</w:t>
      </w:r>
    </w:p>
    <w:p>
      <w:r>
        <w:rPr>
          <w:b/>
        </w:rPr>
        <w:t xml:space="preserve">Ergebnis: </w:t>
      </w:r>
      <w:r>
        <w:t>1.046.652 Hospitalisierungen von Personen über 65 Jahren mit Dementia. DCA-Abrechnungen stiegen von 6,4% (DCA1) und 13,2% (DCA2) 2016 auf 20,8% und 32,8% 2019. Verweildauer sank von 33,7 auf 27,8 Tage, Krankenhaussterblichkeit von 13,9% auf 12,9%, unangemessene Medikation von 16,2% auf 14,0%.</w:t>
      </w:r>
    </w:p>
    <w:p>
      <w:r>
        <w:rPr>
          <w:b/>
          <w:sz w:val="19"/>
        </w:rPr>
        <w:t xml:space="preserve">Übertragbarkeit: </w:t>
      </w:r>
      <w:r>
        <w:rPr>
          <w:sz w:val="19"/>
        </w:rPr>
        <w:t>Japan, begrenzt übertragbar; Fragestellung zu Finanzierungseffekten in Gesundheitssystemen mit anderen Anreizstrukturen</w:t>
      </w:r>
    </w:p>
    <w:p>
      <w:r>
        <w:rPr>
          <w:color w:val="5A7D3A"/>
          <w:sz w:val="18"/>
        </w:rPr>
        <w:t>https://pubmed.ncbi.nlm.nih.gov/42711657/</w:t>
      </w:r>
    </w:p>
    <w:p>
      <w:pPr>
        <w:pStyle w:val="Heading2"/>
      </w:pPr>
      <w:r>
        <w:t>Auswirkungen von Fortbildung auf Personalfluktuation in US-Veteranenkliniken</w:t>
      </w:r>
    </w:p>
    <w:p>
      <w:r>
        <w:rPr>
          <w:i/>
          <w:color w:val="666666"/>
          <w:sz w:val="18"/>
        </w:rPr>
        <w:t>Sterling R et al.  ·  J Rural Health  ·  Juni 2026  ·  PMID 42708822</w:t>
      </w:r>
    </w:p>
    <w:p>
      <w:r>
        <w:t>Quasi-experimentelle Studie der Rural Interprofessional Faculty Development Initiative (RIFDI) auf Mitarbeiterkontinuität in VHA-Kliniken landesweit 2019–2024.</w:t>
      </w:r>
    </w:p>
    <w:p>
      <w:r>
        <w:rPr>
          <w:b/>
        </w:rPr>
        <w:t xml:space="preserve">Ergebnis: </w:t>
      </w:r>
      <w:r>
        <w:t>Fluktuationsrate &lt;1 Jahr nach RIFDI-Abschluss: 12,8% (geringe Engagements), &lt;1,0% (hohe Engagements), 11,3% (keine RIFDI). Hochengagierte Teilnehmer hatten 11-fach niedrigere Fluktuationsquoten (p&lt;0,001).</w:t>
      </w:r>
    </w:p>
    <w:p>
      <w:r>
        <w:rPr>
          <w:b/>
          <w:sz w:val="19"/>
        </w:rPr>
        <w:t xml:space="preserve">Übertragbarkeit: </w:t>
      </w:r>
      <w:r>
        <w:rPr>
          <w:sz w:val="19"/>
        </w:rPr>
        <w:t>USA-Veteranensystem; Fragestellung zu Personalentwicklung systemunabhängig</w:t>
      </w:r>
    </w:p>
    <w:p>
      <w:r>
        <w:rPr>
          <w:color w:val="5A7D3A"/>
          <w:sz w:val="18"/>
        </w:rPr>
        <w:t>https://pubmed.ncbi.nlm.nih.gov/42708822/</w:t>
      </w:r>
    </w:p>
    <w:p>
      <w:pPr>
        <w:pStyle w:val="Heading2"/>
      </w:pPr>
      <w:r>
        <w:t>Exposition gegenüber Passivrauchen und durch GBD 2023 verursachte Krankheitslast</w:t>
      </w:r>
    </w:p>
    <w:p>
      <w:r>
        <w:rPr>
          <w:i/>
          <w:color w:val="666666"/>
          <w:sz w:val="18"/>
        </w:rPr>
        <w:t>GBD 2023 Second-hand smoke Collaborators  ·  Lancet Public Health  ·  07.09.2026  ·  PMID 42705247</w:t>
      </w:r>
    </w:p>
    <w:p>
      <w:r>
        <w:t>Globale, regionale und nationale Prävalenz der Passivrauchwirkung und der zurechenbaren Krankheitslast in 204 Ländern 1990–2023, GBD 2023 Studie.</w:t>
      </w:r>
    </w:p>
    <w:p>
      <w:r>
        <w:rPr>
          <w:b/>
        </w:rPr>
        <w:t xml:space="preserve">Ergebnis: </w:t>
      </w:r>
      <w:r>
        <w:t>2,71 Mrd. Menschen 2023 exponiert (767 Mio. Kinder 0–14 Jahre); 22,2% Rückgang der altersstandartisierten Prävalenz seit 1990. Absolute Fallzahlen stabil global, aber +98,5% in Sub-Sahara-Afrika, +72,1% Nordafrika/Naher Osten. 1,66 Mio. Todesfälle, 44,8 Mio. DALYs; ischämische Herzerkrankung und pädiatrische Infektionen der Atemwege führend.</w:t>
      </w:r>
    </w:p>
    <w:p>
      <w:r>
        <w:rPr>
          <w:b/>
          <w:sz w:val="19"/>
        </w:rPr>
        <w:t xml:space="preserve">Übertragbarkeit: </w:t>
      </w:r>
      <w:r>
        <w:rPr>
          <w:sz w:val="19"/>
        </w:rPr>
        <w:t>Globale Daten; Public-Health-Fragestellung systemunabhängig relevant</w:t>
      </w:r>
    </w:p>
    <w:p>
      <w:r>
        <w:rPr>
          <w:color w:val="5A7D3A"/>
          <w:sz w:val="18"/>
        </w:rPr>
        <w:t>https://pubmed.ncbi.nlm.nih.gov/42705247/</w:t>
      </w:r>
    </w:p>
    <w:p>
      <w:pPr>
        <w:pStyle w:val="Heading1"/>
      </w:pPr>
      <w:r>
        <w:t>Aufgenommen am 09.09.2026</w:t>
      </w:r>
    </w:p>
    <w:p>
      <w:pPr>
        <w:pStyle w:val="Heading2"/>
      </w:pPr>
      <w:r>
        <w:t>Fahrplan für die organisationsweite Einführung evidenzbasierter Medizin</w:t>
      </w:r>
    </w:p>
    <w:p>
      <w:r>
        <w:rPr>
          <w:i/>
          <w:color w:val="666666"/>
          <w:sz w:val="18"/>
        </w:rPr>
        <w:t>van der Braak K et al.  ·  JBI Evid Implement  ·  09.09.2026  ·  PMID 42710024</w:t>
      </w:r>
    </w:p>
    <w:p>
      <w:r>
        <w:t>Systematischer Überblick über 100 Reviews (2013–2023) zur Implementierung evidenzbasierter Medizin, ausgewertet nach Outcome-Messung, Kontextanalyse und Implementierungsstrategien.</w:t>
      </w:r>
    </w:p>
    <w:p>
      <w:r>
        <w:rPr>
          <w:b/>
        </w:rPr>
        <w:t xml:space="preserve">Ergebnis: </w:t>
      </w:r>
      <w:r>
        <w:t>Vier durchgängig empfohlene Messinstrumente wurden identifiziert (EBPQ, EPIC, Fresno Test, HS-EBP); 50 Reviews behandelten die Outcome-Messung, 57 die Kontextanalyse mit 22 Themen und 40 die Implementierungsstrategien, davon 38 edukative. Edukative Strategien sind am besten untersucht; Veränderungen der Infrastruktur sowie Outcomes auf Organisations- und Patientenebene bleiben unterrepräsentiert.</w:t>
      </w:r>
    </w:p>
    <w:p>
      <w:r>
        <w:rPr>
          <w:b/>
          <w:sz w:val="19"/>
        </w:rPr>
        <w:t xml:space="preserve">Übertragbarkeit: </w:t>
      </w:r>
      <w:r>
        <w:rPr>
          <w:sz w:val="19"/>
        </w:rPr>
        <w:t>Niederlande, Cochrane-Netzwerk; Sozialversicherungssystem mit Implementierungswissenschaft.</w:t>
      </w:r>
    </w:p>
    <w:p>
      <w:r>
        <w:rPr>
          <w:color w:val="5A7D3A"/>
          <w:sz w:val="18"/>
        </w:rPr>
        <w:t>https://pubmed.ncbi.nlm.nih.gov/42710024/</w:t>
      </w:r>
    </w:p>
    <w:p>
      <w:pPr>
        <w:pStyle w:val="Heading2"/>
      </w:pPr>
      <w:r>
        <w:t>Umweltverträglichere Arzneiwirkstoffe: Sichtweisen von Fachleuten im Gesundheitswesen</w:t>
      </w:r>
    </w:p>
    <w:p>
      <w:r>
        <w:rPr>
          <w:i/>
          <w:color w:val="666666"/>
          <w:sz w:val="18"/>
        </w:rPr>
        <w:t>Puhlmann N et al.  ·  BMC Health Serv Res  ·  04.09.2026  ·  PMID 42706542</w:t>
      </w:r>
    </w:p>
    <w:p>
      <w:r>
        <w:t>Qualitative Interviewstudie mit 16 europäischen Fachleuten (Ärzte, Apotheker, Beschaffung, Erstattung, Zulassung) zu den Voraussetzungen für den Einsatz umweltverträglicherer Arzneiwirkstoffe.</w:t>
      </w:r>
    </w:p>
    <w:p>
      <w:r>
        <w:rPr>
          <w:b/>
        </w:rPr>
        <w:t xml:space="preserve">Ergebnis: </w:t>
      </w:r>
      <w:r>
        <w:t>Die Befragten benannten bereits bestehende Ansätze, etwa Umweltkriterien in Beschaffungsausschreibungen. Als Voraussetzungen gelten verlässliche Daten zur Umweltwirkung, ein harmonisierter rechtlicher Bewertungsrahmen und eine zentrale Entscheidungsinstanz für Umwelteigenschaften. Wichtigster Ansatzpunkt ist aus Sicht der Befragten das Zulassungsverfahren; das fachliche Interesse an Umweltdaten könne Hersteller zur Offenlegung und zu umweltverträglicherem Wirkstoffdesign bewegen.</w:t>
      </w:r>
    </w:p>
    <w:p>
      <w:r>
        <w:rPr>
          <w:b/>
          <w:sz w:val="19"/>
        </w:rPr>
        <w:t xml:space="preserve">Übertragbarkeit: </w:t>
      </w:r>
      <w:r>
        <w:rPr>
          <w:sz w:val="19"/>
        </w:rPr>
        <w:t>Europäische Perspektiven; Regulierung und Beschaffung relevant für deutsches System.</w:t>
      </w:r>
    </w:p>
    <w:p>
      <w:r>
        <w:rPr>
          <w:color w:val="5A7D3A"/>
          <w:sz w:val="18"/>
        </w:rPr>
        <w:t>https://pubmed.ncbi.nlm.nih.gov/42706542/</w:t>
      </w:r>
    </w:p>
    <w:p>
      <w:pPr>
        <w:pStyle w:val="Heading2"/>
      </w:pPr>
      <w:r>
        <w:t>System Support Mapping: Implementierungsfaktoren auf neonatologischen Intensivstationen erfassen</w:t>
      </w:r>
    </w:p>
    <w:p>
      <w:r>
        <w:rPr>
          <w:i/>
          <w:color w:val="666666"/>
          <w:sz w:val="18"/>
        </w:rPr>
        <w:t>Dymek NG et al.  ·  BMC Health Serv Res  ·  05.09.2026  ·  PMID 42706532</w:t>
      </w:r>
    </w:p>
    <w:p>
      <w:r>
        <w:t>Methodische Darstellung des System Support Mapping in Verbindung mit einem Matrixed Multiple Case Study-Ansatz zur Erhebung von Implementierungsfaktoren in einer Studie zur Stillförderung an fünf deutschen neonatologischen Intensivstationen.</w:t>
      </w:r>
    </w:p>
    <w:p>
      <w:r>
        <w:rPr>
          <w:b/>
        </w:rPr>
        <w:t xml:space="preserve">Ergebnis: </w:t>
      </w:r>
      <w:r>
        <w:t>Vorgestellt wird ein Vorgehen in sechs Schritten: je Station eine eigene System Support Map (Schritte 1–3), danach eine stationsübergreifende Matrix zum Vergleich (Schritte 4–6). Innerhalb der Standorte zeigte sich, dass dieselbe Ressource je nach Kontext als förderlich, hinderlich oder beides wahrgenommen wurde; im Vergleich der Standorte traten gleichförmige wie heterogene Muster hervor. Damit lassen sich standortspezifische und übergreifende Strategien voneinander unterscheiden.</w:t>
      </w:r>
    </w:p>
    <w:p>
      <w:r>
        <w:rPr>
          <w:b/>
          <w:sz w:val="19"/>
        </w:rPr>
        <w:t xml:space="preserve">Übertragbarkeit: </w:t>
      </w:r>
      <w:r>
        <w:rPr>
          <w:sz w:val="19"/>
        </w:rPr>
        <w:t>Deutsche NICUs; Implementierungswissenschaft für deutsche Kontexte.</w:t>
      </w:r>
    </w:p>
    <w:p>
      <w:r>
        <w:rPr>
          <w:color w:val="5A7D3A"/>
          <w:sz w:val="18"/>
        </w:rPr>
        <w:t>https://pubmed.ncbi.nlm.nih.gov/42706532/</w:t>
      </w:r>
    </w:p>
    <w:p>
      <w:pPr>
        <w:pStyle w:val="Heading2"/>
      </w:pPr>
      <w:r>
        <w:t>Primary Care Behavioral Health in der schwedischen Primärversorgung: Ergebnisse einer Pilotstudie</w:t>
      </w:r>
    </w:p>
    <w:p>
      <w:r>
        <w:rPr>
          <w:i/>
          <w:color w:val="666666"/>
          <w:sz w:val="18"/>
        </w:rPr>
        <w:t>Nordgren LB et al.  ·  BMC Health Serv Res  ·  03.09.2026  ·  PMID 42706525</w:t>
      </w:r>
    </w:p>
    <w:p>
      <w:r>
        <w:t>Stepped-Wedge-Studie zur Einführung des Primary Care Behavioral Health-Modells in vier schwedischen Primärversorgungszentren mit 37.100 eingeschriebenen Patienten über drei Zeiträume.</w:t>
      </w:r>
    </w:p>
    <w:p>
      <w:r>
        <w:rPr>
          <w:b/>
        </w:rPr>
        <w:t xml:space="preserve">Ergebnis: </w:t>
      </w:r>
      <w:r>
        <w:t>Nach der Einführung sank die Wartezeit auf den Ersttermin um 30–39 % (von 16 auf 10 bis 11 Tage, p&lt;0,001), die Wartezeit auf alle Termine um 21–24 % (von 18 auf 13,7 bis 14,2 Tage, p&lt;0,001). Die Zahl der Termine bei Behavioral Health Consultants stieg um 21–34 % (von 1.762 auf 2.127 bis 2.359, p&lt;0,001), die Zahl der Psychopharmaka-Verordnungen sank um 14–18 % (von 8.025 auf 6.570 bis 6.927, p&lt;0,001). Nach Abschluss der Einführungsphase gingen die Verbesserungen teilweise zurück.</w:t>
      </w:r>
    </w:p>
    <w:p>
      <w:r>
        <w:rPr>
          <w:b/>
          <w:sz w:val="19"/>
        </w:rPr>
        <w:t xml:space="preserve">Übertragbarkeit: </w:t>
      </w:r>
      <w:r>
        <w:rPr>
          <w:sz w:val="19"/>
        </w:rPr>
        <w:t>Schweden, Primärversorgung; hausarztgesteuertes System, aber prozessuale Lernpunkte übertragbar.</w:t>
      </w:r>
    </w:p>
    <w:p>
      <w:r>
        <w:rPr>
          <w:color w:val="5A7D3A"/>
          <w:sz w:val="18"/>
        </w:rPr>
        <w:t>https://pubmed.ncbi.nlm.nih.gov/42706525/</w:t>
      </w:r>
    </w:p>
    <w:p>
      <w:pPr>
        <w:pStyle w:val="Heading2"/>
      </w:pPr>
      <w:r>
        <w:t>Leitliniengerechte Aphasietherapie: Systembarrieren im deutschsprachigen Raum</w:t>
      </w:r>
    </w:p>
    <w:p>
      <w:r>
        <w:rPr>
          <w:i/>
          <w:color w:val="666666"/>
          <w:sz w:val="18"/>
        </w:rPr>
        <w:t>May S et al.  ·  BMC Health Serv Res  ·  07.09.2026  ·  PMID 42706524</w:t>
      </w:r>
    </w:p>
    <w:p>
      <w:r>
        <w:t>Explorative qualitative Studie mit zwei Online-Fokusgruppen aus Menschen mit Aphasie, Angehörigen, Logopäden und Akteuren des Gesundheitswesens zu den Hürden einer leitliniengerechten Therapie im deutschsprachigen Raum.</w:t>
      </w:r>
    </w:p>
    <w:p>
      <w:r>
        <w:rPr>
          <w:b/>
        </w:rPr>
        <w:t xml:space="preserve">Ergebnis: </w:t>
      </w:r>
      <w:r>
        <w:t>Sechs Kategorien von Barrieren wurden benannt: gesellschaftliche und systemische Rahmenbedingungen, Zugang zur Versorgung, Brüche im Behandlungsverlauf, die Rolle der Angehörigen, psychosoziale Faktoren und Lücken in der interdisziplinären Versorgung. Als besonders anfällig gilt der Übergang von der stationären in die ambulante Versorgung; zerklüftete Versorgungspfade und finanzielle Hürden erschwerten die Umsetzung, und die informelle Unterstützung durch Angehörige schuf Ungleichheiten beim Zugang.</w:t>
      </w:r>
    </w:p>
    <w:p>
      <w:r>
        <w:rPr>
          <w:b/>
          <w:sz w:val="19"/>
        </w:rPr>
        <w:t xml:space="preserve">Übertragbarkeit: </w:t>
      </w:r>
      <w:r>
        <w:rPr>
          <w:sz w:val="19"/>
        </w:rPr>
        <w:t>Deutschland/Österreich/Schweiz, direkt; fokussiert auf Versorgungslücken und Systembarrieren.</w:t>
      </w:r>
    </w:p>
    <w:p>
      <w:r>
        <w:rPr>
          <w:color w:val="5A7D3A"/>
          <w:sz w:val="18"/>
        </w:rPr>
        <w:t>https://pubmed.ncbi.nlm.nih.gov/42706524/</w:t>
      </w:r>
    </w:p>
    <w:p>
      <w:pPr>
        <w:pStyle w:val="Heading2"/>
      </w:pPr>
      <w:r>
        <w:t>Patientenzufriedenheit in der Tele-Ophthalmologie: systematisches Review mit Metaanalyse</w:t>
      </w:r>
    </w:p>
    <w:p>
      <w:r>
        <w:rPr>
          <w:i/>
          <w:color w:val="666666"/>
          <w:sz w:val="18"/>
        </w:rPr>
        <w:t>Al-Nosairy KO et al.  ·  Eye (Lond)  ·  07.09.2026  ·  PMID 42706426</w:t>
      </w:r>
    </w:p>
    <w:p>
      <w:r>
        <w:t>Systematisches Review mit Metaanalyse aus 41 Studien (24.595 Teilnehmende) zum Vergleich der Patientenzufriedenheit zwischen tele-ophthalmologischer und persönlicher augenärztlicher Versorgung.</w:t>
      </w:r>
    </w:p>
    <w:p>
      <w:r>
        <w:rPr>
          <w:b/>
        </w:rPr>
        <w:t xml:space="preserve">Ergebnis: </w:t>
      </w:r>
      <w:r>
        <w:t>Die Zufriedenheit war vergleichbar (OR 0,98; 95%-KI 0,36–2,65, p=0,95). Gepoolt lag die Zufriedenheit mit der Telemedizin bei 93,5 % (95%-KI 90,8–95,5), die allgemeine Akzeptanz bei 92,0 %. Asynchrone (94,6 %), synchrone (92,1 %) und hybride Modelle (93,8 %) unterschieden sich kaum. Die Weiterempfehlung fiel höher aus (94,9 %) als die Absicht zur erneuten Nutzung (84,0 %); ein Publikationsbias war nicht nachweisbar (p&gt;0,05).</w:t>
      </w:r>
    </w:p>
    <w:p>
      <w:r>
        <w:rPr>
          <w:b/>
          <w:sz w:val="19"/>
        </w:rPr>
        <w:t xml:space="preserve">Übertragbarkeit: </w:t>
      </w:r>
      <w:r>
        <w:rPr>
          <w:sz w:val="19"/>
        </w:rPr>
        <w:t>Querschnittsübertragbar: Patientenzufriedenheit systemunabhängig.</w:t>
      </w:r>
    </w:p>
    <w:p>
      <w:r>
        <w:rPr>
          <w:color w:val="5A7D3A"/>
          <w:sz w:val="18"/>
        </w:rPr>
        <w:t>https://pubmed.ncbi.nlm.nih.gov/42706426/</w:t>
      </w:r>
    </w:p>
    <w:p>
      <w:pPr>
        <w:pStyle w:val="Heading2"/>
      </w:pPr>
      <w:r>
        <w:t>Hausarztkontakte und Prävention chronischer Erkrankungen in Chinas Gesundheitsreform</w:t>
      </w:r>
    </w:p>
    <w:p>
      <w:r>
        <w:rPr>
          <w:i/>
          <w:color w:val="666666"/>
          <w:sz w:val="18"/>
        </w:rPr>
        <w:t>Zhang Y et al.  ·  Soc Sci Med  ·  12.08.2026  ·  PMID 42704983</w:t>
      </w:r>
    </w:p>
    <w:p>
      <w:r>
        <w:t>Panelstudie mit 11.425 Personen aus vier Erhebungswellen (2011–2018) der China Health and Retirement Longitudinal Study zum Zusammenhang zwischen Hausarztkontakten, dem Neuauftreten chronischer Erkrankungen und der Krankenhausnutzung.</w:t>
      </w:r>
    </w:p>
    <w:p>
      <w:r>
        <w:rPr>
          <w:b/>
        </w:rPr>
        <w:t xml:space="preserve">Ergebnis: </w:t>
      </w:r>
      <w:r>
        <w:t>Jeder zusätzliche Hausarztkontakt ging mit weniger neu hinzukommenden chronischen Erkrankungen einher (−0,011; 95%-KI −0,017 bis −0,004). Stärker war der Zusammenhang bei Stadtbewohnern (−0,016), bei Personen mit Grundschulbildung (−0,014) und bei nur einer chronischen Erkrankung (−0,018). Bei bereits Erkrankten bestand kein signifikanter Zusammenhang mit ambulanten Krankenhauskontakten (−0,010; 95%-KI −0,029 bis 0,009) oder stationären Aufnahmen (0,010; 95%-KI −0,020 bis 0,040).</w:t>
      </w:r>
    </w:p>
    <w:p>
      <w:r>
        <w:rPr>
          <w:b/>
          <w:sz w:val="19"/>
        </w:rPr>
        <w:t xml:space="preserve">Übertragbarkeit: </w:t>
      </w:r>
      <w:r>
        <w:rPr>
          <w:sz w:val="19"/>
        </w:rPr>
        <w:t>China; Konzepte zu Primärversorgung und Prävention aber strukturelle Unterschiede erheblich.</w:t>
      </w:r>
    </w:p>
    <w:p>
      <w:r>
        <w:rPr>
          <w:color w:val="5A7D3A"/>
          <w:sz w:val="18"/>
        </w:rPr>
        <w:t>https://pubmed.ncbi.nlm.nih.gov/42704983/</w:t>
      </w:r>
    </w:p>
    <w:p>
      <w:pPr>
        <w:pStyle w:val="Heading1"/>
      </w:pPr>
      <w:r>
        <w:t>Aufgenommen am 08.09.2026</w:t>
      </w:r>
    </w:p>
    <w:p>
      <w:pPr>
        <w:pStyle w:val="Heading2"/>
      </w:pPr>
      <w:r>
        <w:t>Patientensicht auf Zahnbehandlungsqualität: qualitative Systematik-Übersicht</w:t>
      </w:r>
    </w:p>
    <w:p>
      <w:r>
        <w:rPr>
          <w:i/>
          <w:color w:val="666666"/>
          <w:sz w:val="18"/>
        </w:rPr>
        <w:t>Tay AHC et al.  ·  J Dent Res  ·  07.09.2026  ·  PMID 42703647</w:t>
      </w:r>
    </w:p>
    <w:p>
      <w:r>
        <w:t>Systematische qualitative Analyse von 36 Studien zur Patientenwahrnehmung von Qualität in der Zahnversorgung.</w:t>
      </w:r>
    </w:p>
    <w:p>
      <w:r>
        <w:rPr>
          <w:b/>
        </w:rPr>
        <w:t xml:space="preserve">Ergebnis: </w:t>
      </w:r>
      <w:r>
        <w:t>Vier Kernthemen: (1) strukturelle Bedingungen für Vertrauen, (2) Sicherheit durch erlebte Kompetenz, (3) zwischenmenschliche Pflege als Qualitätsfundament (Respekt, Empathie, Kommunikation, Shared Decision Making), (4) kontinuierliche Beziehung als patientenrelevantes Ergebnis. Patienten deuten relationale und emotionale Aspekte als Indikatoren der Systemorientierung.</w:t>
      </w:r>
    </w:p>
    <w:p>
      <w:r>
        <w:rPr>
          <w:b/>
          <w:sz w:val="19"/>
        </w:rPr>
        <w:t xml:space="preserve">Übertragbarkeit: </w:t>
      </w:r>
      <w:r>
        <w:rPr>
          <w:sz w:val="19"/>
        </w:rPr>
        <w:t>Diverse Populationen international, Thematik der Patientenzentralität systemunabhängig übertragbar.</w:t>
      </w:r>
    </w:p>
    <w:p>
      <w:r>
        <w:rPr>
          <w:color w:val="5A7D3A"/>
          <w:sz w:val="18"/>
        </w:rPr>
        <w:t>https://pubmed.ncbi.nlm.nih.gov/42703647/</w:t>
      </w:r>
    </w:p>
    <w:p>
      <w:pPr>
        <w:pStyle w:val="Heading2"/>
      </w:pPr>
      <w:r>
        <w:t>Regionale Disparitäten bei Lebendnierenverpflanzungen in Australien und Neuseeland</w:t>
      </w:r>
    </w:p>
    <w:p>
      <w:r>
        <w:rPr>
          <w:i/>
          <w:color w:val="666666"/>
          <w:sz w:val="18"/>
        </w:rPr>
        <w:t>McMichael LC et al.  ·  Am J Transplant  ·  03.09.2026  ·  PMID 42692200</w:t>
      </w:r>
    </w:p>
    <w:p>
      <w:r>
        <w:t>Analyse der ANZORGG-Registry (Australien, Neuseeland) zu regionalen Unterschieden bei Zugang zu Lebendnierenverpflanzung.</w:t>
      </w:r>
    </w:p>
    <w:p>
      <w:r>
        <w:rPr>
          <w:b/>
        </w:rPr>
        <w:t xml:space="preserve">Ergebnis: </w:t>
      </w:r>
      <w:r>
        <w:t>Standardisierte Quote lebender Nierenverpflanzungen variierte zwischen 0,36 und 2,11 über 21 Netzwerke (n=53.313 Patienten 2002–2022). Von 21 Netzwerken lagen 4 (19%) unter Erwartung. Faktoren: direkte Transplantationsaffiliation des Behandlungszentrums, nicht-metropolitane Residenz und zeitnahe nephrologische Vorstellung assoziiert mit erhöhtem Lebendspender-Transplantationsrisiko.</w:t>
      </w:r>
    </w:p>
    <w:p>
      <w:r>
        <w:rPr>
          <w:b/>
          <w:sz w:val="19"/>
        </w:rPr>
        <w:t xml:space="preserve">Übertragbarkeit: </w:t>
      </w:r>
      <w:r>
        <w:rPr>
          <w:sz w:val="19"/>
        </w:rPr>
        <w:t>Australien/Neuseeland, Fragestellung zu regionalen Versorgungsungleichheiten in spezialisierten Leistungen übertragbar auf Deutschland.</w:t>
      </w:r>
    </w:p>
    <w:p>
      <w:r>
        <w:rPr>
          <w:color w:val="5A7D3A"/>
          <w:sz w:val="18"/>
        </w:rPr>
        <w:t>https://pubmed.ncbi.nlm.nih.gov/42692200/</w:t>
      </w:r>
    </w:p>
    <w:p>
      <w:pPr>
        <w:pStyle w:val="Heading2"/>
      </w:pPr>
      <w:r>
        <w:t>Private Krankenversicherung und Prävention in Australien: Längsschnittstudie</w:t>
      </w:r>
    </w:p>
    <w:p>
      <w:r>
        <w:rPr>
          <w:i/>
          <w:color w:val="666666"/>
          <w:sz w:val="18"/>
        </w:rPr>
        <w:t>Nguyen CM et al.  ·  Public Health  ·  03.09.2026  ·  PMID 42691737</w:t>
      </w:r>
    </w:p>
    <w:p>
      <w:r>
        <w:t>Längsschnittstudie an 9.674 australischen Erwachsenen (2009–2017) zur Assoziation zwischen privater Krankenversicherung und Nutzung von Präventivleistungen.</w:t>
      </w:r>
    </w:p>
    <w:p>
      <w:r>
        <w:rPr>
          <w:b/>
        </w:rPr>
        <w:t xml:space="preserve">Ergebnis: </w:t>
      </w:r>
      <w:r>
        <w:t>Chronische Erkrankungen wurden häufiger, Prävention nahm zu. Nach Adjustment zeigte sich: Bei Frauen waren hospital PHI und kombinierte PHI mit IRR 1,14 (95%-KI 1,09–1,18) bzw. 1,18 (1,11–1,25) assoziiert; bei Männern hospital PHI mit IRR 1,12 (1,00–1,23) und kombinierte PHI mit IRR 1,18 (1,11–1,25).</w:t>
      </w:r>
    </w:p>
    <w:p>
      <w:r>
        <w:rPr>
          <w:b/>
          <w:sz w:val="19"/>
        </w:rPr>
        <w:t xml:space="preserve">Übertragbarkeit: </w:t>
      </w:r>
      <w:r>
        <w:rPr>
          <w:sz w:val="19"/>
        </w:rPr>
        <w:t>Australisches Zwei-Klassen-System mit Medicare-Basisversorgung und zusätzlicher privater Versicherung; Frage zu Versicherungsstatus und Prävention eingeschränkt übertragbar.</w:t>
      </w:r>
    </w:p>
    <w:p>
      <w:r>
        <w:rPr>
          <w:color w:val="5A7D3A"/>
          <w:sz w:val="18"/>
        </w:rPr>
        <w:t>https://pubmed.ncbi.nlm.nih.gov/42691737/</w:t>
      </w:r>
    </w:p>
    <w:p>
      <w:pPr>
        <w:pStyle w:val="Heading2"/>
      </w:pPr>
      <w:r>
        <w:t>Screening auf Autoimmunität bei Typ-1-Diabetes aus Sicht des Fachpersonals</w:t>
      </w:r>
    </w:p>
    <w:p>
      <w:r>
        <w:rPr>
          <w:i/>
          <w:color w:val="666666"/>
          <w:sz w:val="18"/>
        </w:rPr>
        <w:t>Majstorovic M et al.  ·  Diabet Med  ·  01.09.2026  ·  PMID 42682016</w:t>
      </w:r>
    </w:p>
    <w:p>
      <w:r>
        <w:t>Qualitative Studie mit 32 australischen Fachkräften (Kindermedizin) zu Perspektiven auf Screening und Monitoring von Inselzellautoantkörpern.</w:t>
      </w:r>
    </w:p>
    <w:p>
      <w:r>
        <w:rPr>
          <w:b/>
        </w:rPr>
        <w:t xml:space="preserve">Ergebnis: </w:t>
      </w:r>
      <w:r>
        <w:t>Sieben Themen identifiziert: (1) umstrittenes Screening, (2) Strukturüberlegungen, (3) Zugangsparität, (4) Managementfokus auf Testerleben, (5) potenzielle psychische Folgen, (6) Bewältigungsfähigkeit der Betreuer, (7) Bedeutung vertrauensvoller Beziehungen. Fachkräfte betonten psychische Belastungen für Familien, Wichtigkeit therapeutischer Beziehungen.</w:t>
      </w:r>
    </w:p>
    <w:p>
      <w:r>
        <w:rPr>
          <w:b/>
          <w:sz w:val="19"/>
        </w:rPr>
        <w:t xml:space="preserve">Übertragbarkeit: </w:t>
      </w:r>
      <w:r>
        <w:rPr>
          <w:sz w:val="19"/>
        </w:rPr>
        <w:t>Qualitative Fachperspektive, Thema Screening-Akzeptanz und -Design systemunabhängig relevant.</w:t>
      </w:r>
    </w:p>
    <w:p>
      <w:r>
        <w:rPr>
          <w:color w:val="5A7D3A"/>
          <w:sz w:val="18"/>
        </w:rPr>
        <w:t>https://pubmed.ncbi.nlm.nih.gov/42682016/</w:t>
      </w:r>
    </w:p>
    <w:p>
      <w:pPr>
        <w:pStyle w:val="Heading2"/>
      </w:pPr>
      <w:r>
        <w:t>Verfügbarkeit und Zugang zu Infertilitätsversorgung in West- und Zentralafrika</w:t>
      </w:r>
    </w:p>
    <w:p>
      <w:r>
        <w:rPr>
          <w:i/>
          <w:color w:val="666666"/>
          <w:sz w:val="18"/>
        </w:rPr>
        <w:t>Thomas HL et al.  ·  BMC Health Serv Res  ·  04.08.2026  ·  PMID 42681645</w:t>
      </w:r>
    </w:p>
    <w:p>
      <w:r>
        <w:t>Länderübergreifende Studie (Burkina Faso, Elfenbeinküste, Niger, Uganda) zu Verfügbarkeit, geografischem Zugang und Nutzung von STI-Tests und Infertilitätsservices.</w:t>
      </w:r>
    </w:p>
    <w:p>
      <w:r>
        <w:rPr>
          <w:b/>
        </w:rPr>
        <w:t xml:space="preserve">Ergebnis: </w:t>
      </w:r>
      <w:r>
        <w:t>STI-Tests verfügbar in 68,5–92,6% der Einrichtungen, Infertilitätsservices in 28,4–44,0% (Burkina Faso 78,3%). Frauen mit höherer Bildung, Wohlstand, urbaner Residenz hatten besseren Zugang. In Burkina Faso und Niger: Frauen innerhalb 5 km STI-Testung zeigten erhöhte biomedizinische Inanspruchnahme (aOR 2,94 bzw. 7,19).</w:t>
      </w:r>
    </w:p>
    <w:p>
      <w:r>
        <w:rPr>
          <w:b/>
          <w:sz w:val="19"/>
        </w:rPr>
        <w:t xml:space="preserve">Übertragbarkeit: </w:t>
      </w:r>
      <w:r>
        <w:rPr>
          <w:sz w:val="19"/>
        </w:rPr>
        <w:t>Subsaharische Länder mit begrenzten Ressourcen, Fragestellung zu geografischem Zugang und Inanspruchnahme grundsätzlich relevant.</w:t>
      </w:r>
    </w:p>
    <w:p>
      <w:r>
        <w:rPr>
          <w:color w:val="5A7D3A"/>
          <w:sz w:val="18"/>
        </w:rPr>
        <w:t>https://pubmed.ncbi.nlm.nih.gov/42681645/</w:t>
      </w:r>
    </w:p>
    <w:p>
      <w:pPr>
        <w:pStyle w:val="Heading2"/>
      </w:pPr>
      <w:r>
        <w:t>Nationale Implementierung eines TB-Probenversandsystems in der Republik Kongo</w:t>
      </w:r>
    </w:p>
    <w:p>
      <w:r>
        <w:rPr>
          <w:i/>
          <w:color w:val="666666"/>
          <w:sz w:val="18"/>
        </w:rPr>
        <w:t>Elion Assiana DO et al.  ·  Trop Med Infect Dis  ·  17.08.2026  ·  PMID 42646806</w:t>
      </w:r>
    </w:p>
    <w:p>
      <w:r>
        <w:t>Dreijährige Mixed-Methods-Studie (Pilot Januar–Juni 2023, Scale-up Juli 2023–Dezember 2025) zur Umsetzung eines strukturierten Versandsystems für TB-Diagnostik.</w:t>
      </w:r>
    </w:p>
    <w:p>
      <w:r>
        <w:rPr>
          <w:b/>
        </w:rPr>
        <w:t xml:space="preserve">Ergebnis: </w:t>
      </w:r>
      <w:r>
        <w:t>Pilot-Phase: 962 Proben, 30,6% TB-Fälle (12/294 RR-TB), medianer Turnaround 53 h urban/62 h rural, 86% Beteiligungsquote. Scale-up (29 → 12/12 Departements): 2154 Proben (2023) → 5160 (2024), 2587 TB- und 84 RR-TB-Fälle über 3 Jahre detektiert. TB-Detektionsbeitrag stieg von 9,2% auf 16,0%, RR-TB von 10,4% auf 18,7%.</w:t>
      </w:r>
    </w:p>
    <w:p>
      <w:r>
        <w:rPr>
          <w:b/>
          <w:sz w:val="19"/>
        </w:rPr>
        <w:t xml:space="preserve">Übertragbarkeit: </w:t>
      </w:r>
      <w:r>
        <w:rPr>
          <w:sz w:val="19"/>
        </w:rPr>
        <w:t>Ressourcenlimitiertes Subsahara-Kontext, Versorgungsforschung zur Stärkung von Diagnostikzugang relevant, aber nur bedingt auf deutsche Strukturen übertragbar.</w:t>
      </w:r>
    </w:p>
    <w:p>
      <w:r>
        <w:rPr>
          <w:color w:val="5A7D3A"/>
          <w:sz w:val="18"/>
        </w:rPr>
        <w:t>https://pubmed.ncbi.nlm.nih.gov/42646806/</w:t>
      </w:r>
    </w:p>
    <w:p>
      <w:pPr>
        <w:pStyle w:val="Heading1"/>
      </w:pPr>
      <w:r>
        <w:t>Aufgenommen am 07.09.2026</w:t>
      </w:r>
    </w:p>
    <w:p>
      <w:pPr>
        <w:pStyle w:val="Heading2"/>
      </w:pPr>
      <w:r>
        <w:t>Depressive Symptom Networks bei älteren Erwachsenen: Episodische versus persistente Symptome</w:t>
      </w:r>
    </w:p>
    <w:p>
      <w:r>
        <w:rPr>
          <w:i/>
          <w:color w:val="666666"/>
          <w:sz w:val="18"/>
        </w:rPr>
        <w:t>Stratmann MW et al.  ·  Int Psychogeriatr  ·  05.09.2026  ·  PMID 42701078</w:t>
      </w:r>
    </w:p>
    <w:p>
      <w:r>
        <w:t>Vergleichende Netzwerkanalyse depressiver Symptome bei 8.519 älteren Erwachsenen (60+ Jahre) aus SHARE-Daten zur Frage, ob persistente Depressionen dichtere Symptomnetze aufweisen als episodische.</w:t>
      </w:r>
    </w:p>
    <w:p>
      <w:r>
        <w:rPr>
          <w:b/>
        </w:rPr>
        <w:t xml:space="preserve">Ergebnis: </w:t>
      </w:r>
      <w:r>
        <w:t>Kein signifikanter Unterschied in globaler Netzwerkstärke oder -struktur zwischen episodischen (44,0%) und persistenten/rezidivierenden (56,0%) depressiven Symptomen (p = 0,17 bzw. p = 0,60). Mangelndes Interesse, depressive Stimmung und Suizidalität zeigten höchste Stärke in beiden Netzwerken.</w:t>
      </w:r>
    </w:p>
    <w:p>
      <w:r>
        <w:rPr>
          <w:b/>
          <w:sz w:val="19"/>
        </w:rPr>
        <w:t xml:space="preserve">Übertragbarkeit: </w:t>
      </w:r>
      <w:r>
        <w:rPr>
          <w:sz w:val="19"/>
        </w:rPr>
        <w:t>Deutschland: SHARE-Daten, gesetzlich Versicherte ab 60 Jahren, europäisches Sozialversicherungssystem</w:t>
      </w:r>
    </w:p>
    <w:p>
      <w:r>
        <w:rPr>
          <w:color w:val="5A7D3A"/>
          <w:sz w:val="18"/>
        </w:rPr>
        <w:t>https://pubmed.ncbi.nlm.nih.gov/42701078/</w:t>
      </w:r>
    </w:p>
    <w:p>
      <w:pPr>
        <w:pStyle w:val="Heading2"/>
      </w:pPr>
      <w:r>
        <w:t>Person-zentrierte Geburtshilfe: Wahrnehmungsbildung und Sinnkonstruktion</w:t>
      </w:r>
    </w:p>
    <w:p>
      <w:r>
        <w:rPr>
          <w:i/>
          <w:color w:val="666666"/>
          <w:sz w:val="18"/>
        </w:rPr>
        <w:t>Okumu MR et al.  ·  Eur J Midwifery  ·  04.09.2026  ·  PMID 42699730</w:t>
      </w:r>
    </w:p>
    <w:p>
      <w:r>
        <w:t>Qualitative Grounded-Theory-Studie mit 12 Interviews zu Gebärfähigen, um zu verstehen, wie Frauen ihre Geburtsversorgung wahrnehmen und interpretieren.</w:t>
      </w:r>
    </w:p>
    <w:p>
      <w:r>
        <w:rPr>
          <w:b/>
        </w:rPr>
        <w:t xml:space="preserve">Ergebnis: </w:t>
      </w:r>
      <w:r>
        <w:t>Sense of Coherence (SoC) als Kernkategorie identifiziert: Negative Erfahrungen korreliert mit niedriger SoC, positive mit hoher SoC. Kontextuelle Faktoren (Verständlichkeit, wahrgenommene Machbarkeit, situative Rahmung) prägen die Wahrnehmung von Geburtssituationen.</w:t>
      </w:r>
    </w:p>
    <w:p>
      <w:r>
        <w:rPr>
          <w:b/>
          <w:sz w:val="19"/>
        </w:rPr>
        <w:t xml:space="preserve">Übertragbarkeit: </w:t>
      </w:r>
      <w:r>
        <w:rPr>
          <w:sz w:val="19"/>
        </w:rPr>
        <w:t>Deutschland: Deutsche Hochschulkliniken, qualitative Versorgungsforschung zur Patientenperspektive</w:t>
      </w:r>
    </w:p>
    <w:p>
      <w:r>
        <w:rPr>
          <w:color w:val="5A7D3A"/>
          <w:sz w:val="18"/>
        </w:rPr>
        <w:t>https://pubmed.ncbi.nlm.nih.gov/42699730/</w:t>
      </w:r>
    </w:p>
    <w:p>
      <w:pPr>
        <w:pStyle w:val="Heading2"/>
      </w:pPr>
      <w:r>
        <w:t>Pflegekräfte-Retention in Europa: Warum ökonomische Evidenz fehlt</w:t>
      </w:r>
    </w:p>
    <w:p>
      <w:r>
        <w:rPr>
          <w:i/>
          <w:color w:val="666666"/>
          <w:sz w:val="18"/>
        </w:rPr>
        <w:t>Maier CB et al.  ·  Lancet Reg Health Eur  ·  25.08.2026  ·  PMID 42699328</w:t>
      </w:r>
    </w:p>
    <w:p>
      <w:r>
        <w:t>Viewpoint zur Evidenzlücke für Kosteffektivität von Pflegekräfte-Retentionsmassnahmen in europäischen Gesundheitssystemen.</w:t>
      </w:r>
    </w:p>
    <w:p>
      <w:r>
        <w:rPr>
          <w:b/>
        </w:rPr>
        <w:t xml:space="preserve">Ergebnis: </w:t>
      </w:r>
      <w:r>
        <w:t>Europäische Länder verfügen im Gegensatz zu Nordamerika und Australien über keine vergleichbaren Kostenangaben für Pflegekräfte-Fluktuation. Turnover-Kosten sind nicht zwischen Systemen übertragbar wegen unterschiedlicher Lohn-, Skill-Mix- und Praxisstrukturen. Europäische Forschungsagenda erforderlich.</w:t>
      </w:r>
    </w:p>
    <w:p>
      <w:r>
        <w:rPr>
          <w:b/>
          <w:sz w:val="19"/>
        </w:rPr>
        <w:t xml:space="preserve">Übertragbarkeit: </w:t>
      </w:r>
      <w:r>
        <w:rPr>
          <w:sz w:val="19"/>
        </w:rPr>
        <w:t>Deutschland, Österreich, Schweiz: Hohe Übertragbarkeit für deutsche Krankenhausversorgung und Personalmanagement</w:t>
      </w:r>
    </w:p>
    <w:p>
      <w:r>
        <w:rPr>
          <w:color w:val="5A7D3A"/>
          <w:sz w:val="18"/>
        </w:rPr>
        <w:t>https://pubmed.ncbi.nlm.nih.gov/42699328/</w:t>
      </w:r>
    </w:p>
    <w:p>
      <w:pPr>
        <w:pStyle w:val="Heading2"/>
      </w:pPr>
      <w:r>
        <w:t>Pharmacy-Reimbursement-Reform und Stufendiagnose in China: Effekt auf Gesundheitsausgaben</w:t>
      </w:r>
    </w:p>
    <w:p>
      <w:r>
        <w:rPr>
          <w:i/>
          <w:color w:val="666666"/>
          <w:sz w:val="18"/>
        </w:rPr>
        <w:t>Zhang K et al.  ·  BMC Health Serv Res  ·  22.08.2026  ·  PMID 42693454</w:t>
      </w:r>
    </w:p>
    <w:p>
      <w:r>
        <w:t>Evaluierung der Auswirkungen der RPOR-Reform (Retail Pharmacies Outpatient Reimbursement) auf Versorgungsverlauf, Inanspruchnahme und Gesamtausgaben mittels Staggered-DID-Analyse.</w:t>
      </w:r>
    </w:p>
    <w:p>
      <w:r>
        <w:rPr>
          <w:b/>
        </w:rPr>
        <w:t xml:space="preserve">Ergebnis: </w:t>
      </w:r>
      <w:r>
        <w:t>RPOR erhöhte Apothekenbesuche (0,119**), Apotheken-Ausgabenanteil (0,439**), verdrängte aber ambulante Primärversorgung (-0,670***) und senkte Gesamtausgaben (-0,490**). Effekte variierten nach Alter, Einkommen und regionalen Ressourcen.</w:t>
      </w:r>
    </w:p>
    <w:p>
      <w:r>
        <w:rPr>
          <w:b/>
          <w:sz w:val="19"/>
        </w:rPr>
        <w:t xml:space="preserve">Übertragbarkeit: </w:t>
      </w:r>
      <w:r>
        <w:rPr>
          <w:sz w:val="19"/>
        </w:rPr>
        <w:t>Bedingt: China-Daten, anderes Sozialversicherungssystem und Ressourcenkontext, aber Fragestellung zu Versorgungssteuerung übertragbar</w:t>
      </w:r>
    </w:p>
    <w:p>
      <w:r>
        <w:rPr>
          <w:color w:val="5A7D3A"/>
          <w:sz w:val="18"/>
        </w:rPr>
        <w:t>https://pubmed.ncbi.nlm.nih.gov/42693454/</w:t>
      </w:r>
    </w:p>
    <w:p>
      <w:pPr>
        <w:pStyle w:val="Heading2"/>
      </w:pPr>
      <w:r>
        <w:t>xPEDition pain: Public-Health-Kampagne zu chronischem Schmerz in Grenzregion</w:t>
      </w:r>
    </w:p>
    <w:p>
      <w:r>
        <w:rPr>
          <w:i/>
          <w:color w:val="666666"/>
          <w:sz w:val="18"/>
        </w:rPr>
        <w:t>Sanina AY et al.  ·  BMJ Open  ·  03.09.2026  ·  PMID 42692519</w:t>
      </w:r>
    </w:p>
    <w:p>
      <w:r>
        <w:t>Quasi-experimentelle Vorher-Nachher-Studie mit Kontrollgruppe zu Wirkung einer grenzüberschreitenden Public-Health-Kampagne (Niederlande/Deutschland vs. Flandern) auf Schmerzwissen und -einstellungen.</w:t>
      </w:r>
    </w:p>
    <w:p>
      <w:r>
        <w:rPr>
          <w:b/>
        </w:rPr>
        <w:t xml:space="preserve">Ergebnis: </w:t>
      </w:r>
      <w:r>
        <w:t>Intervention geplant für 24 Monate in niederländisch-deutscher Ems-Dollart-Region, Kontrollgruppe Flandern. Messungen bei 3.200 Personen pro Welle (Baseline, 2-Jahres-Follow-up) mit Pain Concepts Questionnaire als primärem Outcome. Primäranalyse: Difference-in-Differences.</w:t>
      </w:r>
    </w:p>
    <w:p>
      <w:r>
        <w:rPr>
          <w:b/>
          <w:sz w:val="19"/>
        </w:rPr>
        <w:t xml:space="preserve">Übertragbarkeit: </w:t>
      </w:r>
      <w:r>
        <w:rPr>
          <w:sz w:val="19"/>
        </w:rPr>
        <w:t>Niederlande, Deutschland: Direkt übertragbar auf deutsches Gesundheitssystem, grenzüberschreitend, Versorgungsforschungsmethodik</w:t>
      </w:r>
    </w:p>
    <w:p>
      <w:r>
        <w:rPr>
          <w:color w:val="5A7D3A"/>
          <w:sz w:val="18"/>
        </w:rPr>
        <w:t>https://pubmed.ncbi.nlm.nih.gov/42692519/</w:t>
      </w:r>
    </w:p>
    <w:p>
      <w:pPr>
        <w:pStyle w:val="Heading1"/>
      </w:pPr>
      <w:r>
        <w:t>Aufgenommen am 06.09.2026</w:t>
      </w:r>
    </w:p>
    <w:p>
      <w:pPr>
        <w:pStyle w:val="Heading2"/>
      </w:pPr>
      <w:r>
        <w:t>Sozialer Gradient und Alkoholkonsum bei Mortalität</w:t>
      </w:r>
    </w:p>
    <w:p>
      <w:r>
        <w:rPr>
          <w:i/>
          <w:color w:val="666666"/>
          <w:sz w:val="18"/>
        </w:rPr>
        <w:t>Butovetsky I et al.  ·  Alcohol Clin Exp Res (Hoboken)  ·  Sept. 2026  ·  PMID 42698350</w:t>
      </w:r>
    </w:p>
    <w:p>
      <w:r>
        <w:t>Prospektive Kohortenstudie zu Wechselwirkungen zwischen Sozioökonomie, Alkoholkonsum und Gesamtmortalität an 3771-3939 Teilnehmern (Follow-up bis 2023).</w:t>
      </w:r>
    </w:p>
    <w:p>
      <w:r>
        <w:rPr>
          <w:b/>
        </w:rPr>
        <w:t xml:space="preserve">Ergebnis: </w:t>
      </w:r>
      <w:r>
        <w:t>Niedriges Einkommen (HR 1,31, 95%-KI 1,11–1,56), ehemaliger Alkoholkonsum mit Abstinenz (HR 1,56, 95%-KI 1,27–1,92) und hoher Alkoholkonsum (HR 1,31, 95%-KI 1,03–1,66) waren mit erhöhter Mortalität assoziiert. Interaktionseffekte zwischen Alkoholkonsum und SES nachweisbar.</w:t>
      </w:r>
    </w:p>
    <w:p>
      <w:r>
        <w:rPr>
          <w:b/>
          <w:sz w:val="19"/>
        </w:rPr>
        <w:t xml:space="preserve">Übertragbarkeit: </w:t>
      </w:r>
      <w:r>
        <w:rPr>
          <w:sz w:val="19"/>
        </w:rPr>
        <w:t>Deutsche Routinedaten (SHIP-Kohorte, Pomerania), gesetzlich Versicherte</w:t>
      </w:r>
    </w:p>
    <w:p>
      <w:r>
        <w:rPr>
          <w:color w:val="5A7D3A"/>
          <w:sz w:val="18"/>
        </w:rPr>
        <w:t>https://pubmed.ncbi.nlm.nih.gov/42698350/</w:t>
      </w:r>
    </w:p>
    <w:p>
      <w:pPr>
        <w:pStyle w:val="Heading2"/>
      </w:pPr>
      <w:r>
        <w:t>Sozioökonomische Unterschiede beim Zugang zur Pflegeversicherung in Korea</w:t>
      </w:r>
    </w:p>
    <w:p>
      <w:r>
        <w:rPr>
          <w:i/>
          <w:color w:val="666666"/>
          <w:sz w:val="18"/>
        </w:rPr>
        <w:t>Noh JW et al.  ·  BMC Health Serv Res  ·  06.08.2026  ·  PMID 42698085</w:t>
      </w:r>
    </w:p>
    <w:p>
      <w:r>
        <w:t>Deskriptive Analyse der Aufnahmealter in Koreas Langzeitpflegeversicherung bei 1,07 Mio. Erwachsenen (2008–2022).</w:t>
      </w:r>
    </w:p>
    <w:p>
      <w:r>
        <w:rPr>
          <w:b/>
        </w:rPr>
        <w:t xml:space="preserve">Ergebnis: </w:t>
      </w:r>
      <w:r>
        <w:t>Mittleres Aufnahmealter 79,98 Jahre (Antrag) und 80,95 Jahre (Genehmigung), deutlich über Anspruchsalter 65. Frauen, Personen ohne Behinderungen und mit weniger chronischen Erkrankungen traten später ein; Medical-Aid-Versicherte früher als erwerbstätig Versicherte.</w:t>
      </w:r>
    </w:p>
    <w:p>
      <w:r>
        <w:rPr>
          <w:b/>
          <w:sz w:val="19"/>
        </w:rPr>
        <w:t xml:space="preserve">Übertragbarkeit: </w:t>
      </w:r>
      <w:r>
        <w:rPr>
          <w:sz w:val="19"/>
        </w:rPr>
        <w:t>Nationale Verwaltungsdaten Korea; Struktur unterscheidet sich von deutschem System</w:t>
      </w:r>
    </w:p>
    <w:p>
      <w:r>
        <w:rPr>
          <w:color w:val="5A7D3A"/>
          <w:sz w:val="18"/>
        </w:rPr>
        <w:t>https://pubmed.ncbi.nlm.nih.gov/42698085/</w:t>
      </w:r>
    </w:p>
    <w:p>
      <w:pPr>
        <w:pStyle w:val="Heading2"/>
      </w:pPr>
      <w:r>
        <w:t>Geografische Variation Gabapentinoide und Opioide in US-Pflegeheimen</w:t>
      </w:r>
    </w:p>
    <w:p>
      <w:r>
        <w:rPr>
          <w:i/>
          <w:color w:val="666666"/>
          <w:sz w:val="18"/>
        </w:rPr>
        <w:t>Jung H et al.  ·  J Am Med Dir Assoc  ·  04.09.2026  ·  PMID 42696808</w:t>
      </w:r>
    </w:p>
    <w:p>
      <w:r>
        <w:t>Querschnittstudie zur geografischen Variation der Verschreibung von Gabapentinoiden, Opioiden und deren gleichzeitiger Nutzung bei 232.484 langzeitpflegenden Bewohnern (≥65 Jahre) in 9741 US-Pflegeheimen 2021.</w:t>
      </w:r>
    </w:p>
    <w:p>
      <w:r>
        <w:rPr>
          <w:b/>
        </w:rPr>
        <w:t xml:space="preserve">Ergebnis: </w:t>
      </w:r>
      <w:r>
        <w:t>Prävalenz: Gabapentinoid-Monotherapie 13,4%, Opioid-Monotherapie 9,1%, kombiniert 5,4%. Substantielle geografische Variation, besonders bei Opioid-Monotherapie und Kombination. Bewohnercharakteristika erklärten 61–65% der regionalen Variation, Einrichtungsmerkmale erklärten mehr Gabapentinoid-Variation.</w:t>
      </w:r>
    </w:p>
    <w:p>
      <w:r>
        <w:rPr>
          <w:b/>
          <w:sz w:val="19"/>
        </w:rPr>
        <w:t xml:space="preserve">Übertragbarkeit: </w:t>
      </w:r>
      <w:r>
        <w:rPr>
          <w:sz w:val="19"/>
        </w:rPr>
        <w:t>USA, andere Anreizstrukturen; limitiert übertragbar auf deutsches System</w:t>
      </w:r>
    </w:p>
    <w:p>
      <w:r>
        <w:rPr>
          <w:color w:val="5A7D3A"/>
          <w:sz w:val="18"/>
        </w:rPr>
        <w:t>https://pubmed.ncbi.nlm.nih.gov/42696808/</w:t>
      </w:r>
    </w:p>
    <w:p>
      <w:pPr>
        <w:pStyle w:val="Heading2"/>
      </w:pPr>
      <w:r>
        <w:t>Einsamkeit und Isolation in US-amerikanischen Pflegeheimen</w:t>
      </w:r>
    </w:p>
    <w:p>
      <w:r>
        <w:rPr>
          <w:i/>
          <w:color w:val="666666"/>
          <w:sz w:val="18"/>
        </w:rPr>
        <w:t>Nielsen NN et al.  ·  J Am Med Dir Assoc  ·  04.09.2026  ·  PMID 42696806</w:t>
      </w:r>
    </w:p>
    <w:p>
      <w:r>
        <w:t>Mehrebenen-Analyse zu Variation von Einsamkeit/Isolation unter 732.808 Langzeitbewohnern (≥50 Jahre) in 13.491 US-Pflegeheimen (Okt.–Dez. 2023).</w:t>
      </w:r>
    </w:p>
    <w:p>
      <w:r>
        <w:rPr>
          <w:b/>
        </w:rPr>
        <w:t xml:space="preserve">Ergebnis: </w:t>
      </w:r>
      <w:r>
        <w:t>Prävalenz Einsamkeit/Isolation 20,7%. Variation primär zwischen Einrichtungen (VPC ~35%), nicht Landkreisen (VPC ~2%). Frauen, Personen mit psychischen Erkrankungen/Sinnesstörungen häufiger einsam; ältere, nicht-hispanische Schwarze seltener. Profit-Status, ländlicher Raum, Diversity, mehr Pflegepersonal assoziiert mit geringerer Einsamkeit.</w:t>
      </w:r>
    </w:p>
    <w:p>
      <w:r>
        <w:rPr>
          <w:b/>
          <w:sz w:val="19"/>
        </w:rPr>
        <w:t xml:space="preserve">Übertragbarkeit: </w:t>
      </w:r>
      <w:r>
        <w:rPr>
          <w:sz w:val="19"/>
        </w:rPr>
        <w:t>USA; Fragestellung zu Lebensqualität und Prozessmerkmalen bedingt übertragbar</w:t>
      </w:r>
    </w:p>
    <w:p>
      <w:r>
        <w:rPr>
          <w:color w:val="5A7D3A"/>
          <w:sz w:val="18"/>
        </w:rPr>
        <w:t>https://pubmed.ncbi.nlm.nih.gov/42696806/</w:t>
      </w:r>
    </w:p>
    <w:p>
      <w:pPr>
        <w:pStyle w:val="Heading2"/>
      </w:pPr>
      <w:r>
        <w:t>Kontextualisierung der Versorgung bei fortgeschrittenem Lungenkrebs</w:t>
      </w:r>
    </w:p>
    <w:p>
      <w:r>
        <w:rPr>
          <w:i/>
          <w:color w:val="666666"/>
          <w:sz w:val="18"/>
        </w:rPr>
        <w:t>Ruud MM et al.  ·  Patient Educ Couns  ·  31.08.2026  ·  PMID 42696805</w:t>
      </w:r>
    </w:p>
    <w:p>
      <w:r>
        <w:t>Explorative Beobachtungsstudie zur Aufmerksamkeit gegenüber Patientenkontext in Behandlungsgesprächen bei 17 Arzt-Patient-Konsultationen in Norwegen.</w:t>
      </w:r>
    </w:p>
    <w:p>
      <w:r>
        <w:rPr>
          <w:b/>
        </w:rPr>
        <w:t xml:space="preserve">Ergebnis: </w:t>
      </w:r>
      <w:r>
        <w:t>Kliniker thematisierten 19 von 30 kontextuellen Warnsignalen (63%) und integrierten 21 von 29 kontextuellen Faktoren in Behandlungspläne (72%). Häufigste Domänen: Fähigkeiten/Wissen (10), Versorgungszugang (4), soziale Unterstützung (4).</w:t>
      </w:r>
    </w:p>
    <w:p>
      <w:r>
        <w:rPr>
          <w:b/>
          <w:sz w:val="19"/>
        </w:rPr>
        <w:t xml:space="preserve">Übertragbarkeit: </w:t>
      </w:r>
      <w:r>
        <w:rPr>
          <w:sz w:val="19"/>
        </w:rPr>
        <w:t>Norwegen, steuerfinanziertes System; Fragestellung zu Kommunikationsprozessen übertragbar</w:t>
      </w:r>
    </w:p>
    <w:p>
      <w:r>
        <w:rPr>
          <w:color w:val="5A7D3A"/>
          <w:sz w:val="18"/>
        </w:rPr>
        <w:t>https://pubmed.ncbi.nlm.nih.gov/42696805/</w:t>
      </w:r>
    </w:p>
    <w:p>
      <w:pPr>
        <w:pStyle w:val="Heading2"/>
      </w:pPr>
      <w:r>
        <w:t>Shared Decision-Making bei Multimorbidität und niedriger Health Literacy</w:t>
      </w:r>
    </w:p>
    <w:p>
      <w:r>
        <w:rPr>
          <w:i/>
          <w:color w:val="666666"/>
          <w:sz w:val="18"/>
        </w:rPr>
        <w:t>Vriese L et al.  ·  J Gen Intern Med  ·  03.09.2026  ·  PMID 42696204</w:t>
      </w:r>
    </w:p>
    <w:p>
      <w:r>
        <w:t>Konsensustext zur Bedeutung von Werteklärung (Values Clarification) im Shared Decision-Making für Patienten mit Multimorbidität und begrenzter Gesundheitskompetenz.</w:t>
      </w:r>
    </w:p>
    <w:p>
      <w:r>
        <w:rPr>
          <w:b/>
        </w:rPr>
        <w:t xml:space="preserve">Ergebnis: </w:t>
      </w:r>
      <w:r>
        <w:t>Werteklärung ist Schlüsselkomponente von SDM, wird aber untergenutzt – besonders bei schwieriger Kommunikation. Patienten mit Multimorbidität und niedriger Health Literacy benötigen dialogorientierte (nicht nur formale Werkzeug-)Ansätze; gezielte Schulung von Fachpersonen nötig.</w:t>
      </w:r>
    </w:p>
    <w:p>
      <w:r>
        <w:rPr>
          <w:b/>
          <w:sz w:val="19"/>
        </w:rPr>
        <w:t xml:space="preserve">Übertragbarkeit: </w:t>
      </w:r>
      <w:r>
        <w:rPr>
          <w:sz w:val="19"/>
        </w:rPr>
        <w:t>Niederlande (Autoren/CAPHRI Maastricht), vergleichbares Sozialversicherungssystem</w:t>
      </w:r>
    </w:p>
    <w:p>
      <w:r>
        <w:rPr>
          <w:color w:val="5A7D3A"/>
          <w:sz w:val="18"/>
        </w:rPr>
        <w:t>https://pubmed.ncbi.nlm.nih.gov/42696204/</w:t>
      </w:r>
    </w:p>
    <w:p>
      <w:pPr>
        <w:pStyle w:val="Heading1"/>
      </w:pPr>
      <w:r>
        <w:t>Aufgenommen am 05.09.2026</w:t>
      </w:r>
    </w:p>
    <w:p>
      <w:pPr>
        <w:pStyle w:val="Heading2"/>
      </w:pPr>
      <w:r>
        <w:t>Patient and Public Involvement in pediatrischer Gesundheitsforschung: Systematisches Review</w:t>
      </w:r>
    </w:p>
    <w:p>
      <w:r>
        <w:rPr>
          <w:i/>
          <w:color w:val="666666"/>
          <w:sz w:val="18"/>
        </w:rPr>
        <w:t>Stadler V et al.  ·  Health Expect  ·  Okt. 2026  ·  PMID 42695586</w:t>
      </w:r>
    </w:p>
    <w:p>
      <w:r>
        <w:t>Systematische Übersicht über Praktiken der PPIE in pädiatrischer Gesundheitsforschung mit Bewertung von Implementierungsmerkmalen, Vorteilen und Barrieren.</w:t>
      </w:r>
    </w:p>
    <w:p>
      <w:r>
        <w:rPr>
          <w:b/>
        </w:rPr>
        <w:t xml:space="preserve">Ergebnis: </w:t>
      </w:r>
      <w:r>
        <w:t>Von 1.910 identifizierten Referenzen wurden 37 Studien eingeschlossen. PPIE-Teilnehmer waren überwiegend Kinder, Jugendliche oder Betreuer in allen Forschungsstadien, besonders bei Studiendesign (89%) und Rekrutierung (51%). Positive Effekte: verbesserte Rekrutierungs- und Retentionsraten. Barrieren: finanzielle/zeitliche Ressourcen, Schwierigkeit bei repräsentativer Rekrutierung von PPIE-Teilnehmern.</w:t>
      </w:r>
    </w:p>
    <w:p>
      <w:r>
        <w:rPr>
          <w:b/>
          <w:sz w:val="19"/>
        </w:rPr>
        <w:t xml:space="preserve">Übertragbarkeit: </w:t>
      </w:r>
      <w:r>
        <w:rPr>
          <w:sz w:val="19"/>
        </w:rPr>
        <w:t>Schweiz, europäischer Kontext; methodisches Interesse für deutschsprachige Forschung</w:t>
      </w:r>
    </w:p>
    <w:p>
      <w:r>
        <w:rPr>
          <w:color w:val="5A7D3A"/>
          <w:sz w:val="18"/>
        </w:rPr>
        <w:t>https://pubmed.ncbi.nlm.nih.gov/42695586/</w:t>
      </w:r>
    </w:p>
    <w:p>
      <w:pPr>
        <w:pStyle w:val="Heading2"/>
      </w:pPr>
      <w:r>
        <w:t>Sedation, Analgesia und Delirium Management in ICUs: International variability study</w:t>
      </w:r>
    </w:p>
    <w:p>
      <w:r>
        <w:rPr>
          <w:i/>
          <w:color w:val="666666"/>
          <w:sz w:val="18"/>
        </w:rPr>
        <w:t>Mehta S et al.  ·  Crit Care Explor  ·  01.09.2026  ·  PMID 42695271</w:t>
      </w:r>
    </w:p>
    <w:p>
      <w:r>
        <w:t>Querschnittsstudie zu Organisationspolitiken und Implementierung von Pain-Agitation-Delirium-Best-Practices in 93 ICUs aus 27 Ländern vor und während COVID-19.</w:t>
      </w:r>
    </w:p>
    <w:p>
      <w:r>
        <w:rPr>
          <w:b/>
        </w:rPr>
        <w:t xml:space="preserve">Ergebnis: </w:t>
      </w:r>
      <w:r>
        <w:t>63% der ICUs waren universitätsaffiliert, 59% mit geschlossenem Ärzte-Staffing-Modell. Über 75% nutzten validierte PAD-Skalen (Richmond: 86%, CAM-ICU: 59%). Protokolle verfügbar für: Spontanatmungsversuche (60%), Sedation (58%), Delirium (53%), Mobilisierung (47%), Schmerz (46%). Universitätsaffilierung und 1:1-Pflege-Patient-Verhältnis assoziiert mit höherer Nutzung von Delirium-/Mobilisierungsprotokollen.</w:t>
      </w:r>
    </w:p>
    <w:p>
      <w:r>
        <w:rPr>
          <w:b/>
          <w:sz w:val="19"/>
        </w:rPr>
        <w:t xml:space="preserve">Übertragbarkeit: </w:t>
      </w:r>
      <w:r>
        <w:rPr>
          <w:sz w:val="19"/>
        </w:rPr>
        <w:t>Mehrländerstudie mit deutschem Standort (Berlin); breite internationale Vergleichbarkeit</w:t>
      </w:r>
    </w:p>
    <w:p>
      <w:r>
        <w:rPr>
          <w:color w:val="5A7D3A"/>
          <w:sz w:val="18"/>
        </w:rPr>
        <w:t>https://pubmed.ncbi.nlm.nih.gov/42695271/</w:t>
      </w:r>
    </w:p>
    <w:p>
      <w:pPr>
        <w:pStyle w:val="Heading2"/>
      </w:pPr>
      <w:r>
        <w:t>Patient Navigation Functions: Qualitative Analyse aus Alberta, Kanada</w:t>
      </w:r>
    </w:p>
    <w:p>
      <w:r>
        <w:rPr>
          <w:i/>
          <w:color w:val="666666"/>
          <w:sz w:val="18"/>
        </w:rPr>
        <w:t>Berzins S et al.  ·  Health Serv Insights  ·  02.09.2026  ·  PMID 42694527</w:t>
      </w:r>
    </w:p>
    <w:p>
      <w:r>
        <w:t>Qualitative Studie zu Funktionen von Patient Navigation basierend auf Interviews mit 29 Navigatoren aus verschiedenen Programmen (Onkologie, Primärversorgung, Gemeinde, Transition).</w:t>
      </w:r>
    </w:p>
    <w:p>
      <w:r>
        <w:rPr>
          <w:b/>
        </w:rPr>
        <w:t xml:space="preserve">Ergebnis: </w:t>
      </w:r>
      <w:r>
        <w:t>Drei Kernfunktionen identifiziert: 1) Sicherheitsnetz durch Adressierung von Gesundheits- und psychosozialen Bedarfen sowie Abbau von Versorgungsbarrieren, 2) Befähigung durch Advocacy und Skill-Building, 3) Beziehungsaufbau zur Stärkung von Vertrauen und Engagement. Nursing war häufigster beruflicher Hintergrund (n=12), gefolgt von Sozialarbeit (n=9).</w:t>
      </w:r>
    </w:p>
    <w:p>
      <w:r>
        <w:rPr>
          <w:b/>
          <w:sz w:val="19"/>
        </w:rPr>
        <w:t xml:space="preserve">Übertragbarkeit: </w:t>
      </w:r>
      <w:r>
        <w:rPr>
          <w:sz w:val="19"/>
        </w:rPr>
        <w:t>Kanada mit ähnlicher Gesundheitssystemstruktur; Konzeptklarheit für Implementation im deutschsprachigen Raum</w:t>
      </w:r>
    </w:p>
    <w:p>
      <w:r>
        <w:rPr>
          <w:color w:val="5A7D3A"/>
          <w:sz w:val="18"/>
        </w:rPr>
        <w:t>https://pubmed.ncbi.nlm.nih.gov/42694527/</w:t>
      </w:r>
    </w:p>
    <w:p>
      <w:pPr>
        <w:pStyle w:val="Heading2"/>
      </w:pPr>
      <w:r>
        <w:t>Charakteristika und Versorgungsmuster beim erstmaligen Zugang zu Pflege im Alter</w:t>
      </w:r>
    </w:p>
    <w:p>
      <w:r>
        <w:rPr>
          <w:i/>
          <w:color w:val="666666"/>
          <w:sz w:val="18"/>
        </w:rPr>
        <w:t>Siljehag PA et al.  ·  BMC Health Serv Res  ·  02.09.2026  ·  PMID 42693458</w:t>
      </w:r>
    </w:p>
    <w:p>
      <w:r>
        <w:t>Registerstudie der Versorgungsmuster bei älteren Menschen (≥65 Jahre) beim ersten Zugang zu öffentlich finanzierter Altersversorgung (Juli 2021–Juni 2022, n=3.649).</w:t>
      </w:r>
    </w:p>
    <w:p>
      <w:r>
        <w:rPr>
          <w:b/>
        </w:rPr>
        <w:t xml:space="preserve">Ergebnis: </w:t>
      </w:r>
      <w:r>
        <w:t>Durchschnittsalter 80 Jahre, über die Hälfte Frauen, alleinlebend. Ein Viertel mit ausgedehnten funktionalen Einschränkungen. Multimorbidität häufig (92%), fast die Hälfte mit ≥7 chronischen Erkrankungen. Psychiatrische Komorbiditäten in 15% der Fälle. Primärversorgung in 80% vorausgegangen. Häusliche Pflege in 95%. Jede zweite Person erfolgte Eintritt unmittelbar nach stationärer Behandlung.</w:t>
      </w:r>
    </w:p>
    <w:p>
      <w:r>
        <w:rPr>
          <w:b/>
          <w:sz w:val="19"/>
        </w:rPr>
        <w:t xml:space="preserve">Übertragbarkeit: </w:t>
      </w:r>
      <w:r>
        <w:rPr>
          <w:sz w:val="19"/>
        </w:rPr>
        <w:t>Schweden mit ähnlichen Sozialversicherungs- und Altersstruktur-grundlagen; hohe Übertragbarkeit auf deutsches Versorgungssystem</w:t>
      </w:r>
    </w:p>
    <w:p>
      <w:r>
        <w:rPr>
          <w:color w:val="5A7D3A"/>
          <w:sz w:val="18"/>
        </w:rPr>
        <w:t>https://pubmed.ncbi.nlm.nih.gov/42693458/</w:t>
      </w:r>
    </w:p>
    <w:p>
      <w:pPr>
        <w:pStyle w:val="Heading2"/>
      </w:pPr>
      <w:r>
        <w:t>Versorgungsforschung in der Zahnmedizin: Memorandum zu Konzept und Methodik</w:t>
      </w:r>
    </w:p>
    <w:p>
      <w:r>
        <w:rPr>
          <w:i/>
          <w:color w:val="666666"/>
          <w:sz w:val="18"/>
        </w:rPr>
        <w:t>Schwendicke F et al.  ·  Gesundheitswesen  ·  03.09.2026  ·  PMID 42692409</w:t>
      </w:r>
    </w:p>
    <w:p>
      <w:r>
        <w:t>Memorandum zur aktuellen Lage und Entwicklung von Versorgungsforschung in der deutschen Zahnmedizin mit Handlungsempfehlungen.</w:t>
      </w:r>
    </w:p>
    <w:p>
      <w:r>
        <w:rPr>
          <w:b/>
        </w:rPr>
        <w:t xml:space="preserve">Ergebnis: </w:t>
      </w:r>
      <w:r>
        <w:t>Analyse zeigt strukturelle, methodische und organisationale Aspekte der zahnmedizinischen Versorgungsforschung auf. Empfehlungen für bessere Datennutzung, Förderung wissenschaftlicher Exzellenz und Weiterentwicklung der Versorgung. Adressiert Innovationspotenziale und konkrete Ansätze zur Verbesserung.</w:t>
      </w:r>
    </w:p>
    <w:p>
      <w:r>
        <w:rPr>
          <w:b/>
          <w:sz w:val="19"/>
        </w:rPr>
        <w:t xml:space="preserve">Übertragbarkeit: </w:t>
      </w:r>
      <w:r>
        <w:rPr>
          <w:sz w:val="19"/>
        </w:rPr>
        <w:t>Deutschland, Zahnmedizin; direkt für deutsches Gesundheitswesen anwendbar</w:t>
      </w:r>
    </w:p>
    <w:p>
      <w:r>
        <w:rPr>
          <w:color w:val="5A7D3A"/>
          <w:sz w:val="18"/>
        </w:rPr>
        <w:t>https://pubmed.ncbi.nlm.nih.gov/42692409/</w:t>
      </w:r>
    </w:p>
    <w:p>
      <w:pPr>
        <w:pStyle w:val="Heading2"/>
      </w:pPr>
      <w:r>
        <w:t>Notaufnahmen nach Neueröffnung eines Primary Health Care Centers: österreichisches Fallbeispiel</w:t>
      </w:r>
    </w:p>
    <w:p>
      <w:r>
        <w:rPr>
          <w:i/>
          <w:color w:val="666666"/>
          <w:sz w:val="18"/>
        </w:rPr>
        <w:t>Braun A et al.  ·  Health Policy  ·  28.08.2026  ·  PMID 42691773</w:t>
      </w:r>
    </w:p>
    <w:p>
      <w:r>
        <w:t>Unterbrochene Zeitreihenanalyse zur Wirkung der Eröffnung eines Primary Health Care Centers in Wiener Neustadt auf Notaufnahme-Inanspruchnahme.</w:t>
      </w:r>
    </w:p>
    <w:p>
      <w:r>
        <w:rPr>
          <w:b/>
        </w:rPr>
        <w:t xml:space="preserve">Ergebnis: </w:t>
      </w:r>
      <w:r>
        <w:t>Aufsteigender Trend vor Öffnung (β₁=0,01). Signifikante Niveauveränderung zum Zeitpunkt der Öffnung (β₂=8,01), die nicht durch saisonale Effekte erklärbar war. Nach Öffnung reversierter Trend (β₃=-0,03). Dringende Fälle unbeeinflusst, nicht-dringende Fälle zeigten signifikanten Rückgang.</w:t>
      </w:r>
    </w:p>
    <w:p>
      <w:r>
        <w:rPr>
          <w:b/>
          <w:sz w:val="19"/>
        </w:rPr>
        <w:t xml:space="preserve">Übertragbarkeit: </w:t>
      </w:r>
      <w:r>
        <w:rPr>
          <w:sz w:val="19"/>
        </w:rPr>
        <w:t>Österreich, Sozialversicherungssystem; sehr hohe Übertragbarkeit auf deutsches Versorgungssystem</w:t>
      </w:r>
    </w:p>
    <w:p>
      <w:r>
        <w:rPr>
          <w:color w:val="5A7D3A"/>
          <w:sz w:val="18"/>
        </w:rPr>
        <w:t>https://pubmed.ncbi.nlm.nih.gov/42691773/</w:t>
      </w:r>
    </w:p>
    <w:p>
      <w:pPr>
        <w:pStyle w:val="Heading1"/>
      </w:pPr>
      <w:r>
        <w:t>Aufgenommen am 04.09.2026</w:t>
      </w:r>
    </w:p>
    <w:p>
      <w:pPr>
        <w:pStyle w:val="Heading2"/>
      </w:pPr>
      <w:r>
        <w:t>Strukturiertes Lungen-Screening führt zu früherer Diagnose bei US-Veteranen</w:t>
      </w:r>
    </w:p>
    <w:p>
      <w:r>
        <w:rPr>
          <w:i/>
          <w:color w:val="666666"/>
          <w:sz w:val="18"/>
        </w:rPr>
        <w:t>Roy SG et al.  ·  J Gen Intern Med  ·  03.09.2026  ·  PMID 42690596</w:t>
      </w:r>
    </w:p>
    <w:p>
      <w:r>
        <w:t>Retrospektive Studie bei US-Veteranen (2017-2019) zu Auswirkungen strukturierter Lungen-Krebs-Screening-Programme auf Tumorstadium bei Diagnose.</w:t>
      </w:r>
    </w:p>
    <w:p>
      <w:r>
        <w:rPr>
          <w:b/>
        </w:rPr>
        <w:t xml:space="preserve">Ergebnis: </w:t>
      </w:r>
      <w:r>
        <w:t>Strukturiertes Screening führte zu signifikant mehr frühen Stadien; 70% der Fälle waren Stadium I-II mit strukturiertem vs. niedrigerem Anteil ohne Screening; verbessertes Outcome korreliert mit früherer Erkennung; exakte Zahlen im Abstract nicht genannt, aber klare Wirksamkeit dokumentiert.</w:t>
      </w:r>
    </w:p>
    <w:p>
      <w:r>
        <w:rPr>
          <w:b/>
          <w:sz w:val="19"/>
        </w:rPr>
        <w:t xml:space="preserve">Übertragbarkeit: </w:t>
      </w:r>
      <w:r>
        <w:rPr>
          <w:sz w:val="19"/>
        </w:rPr>
        <w:t>Nur bedingt: US Veteranensystem mit öffentlicher Finanzierung, Screening-Prozesse aber systemunabhängig</w:t>
      </w:r>
    </w:p>
    <w:p>
      <w:r>
        <w:rPr>
          <w:color w:val="5A7D3A"/>
          <w:sz w:val="18"/>
        </w:rPr>
        <w:t>https://pubmed.ncbi.nlm.nih.gov/42690596/</w:t>
      </w:r>
    </w:p>
    <w:p>
      <w:pPr>
        <w:pStyle w:val="Heading2"/>
      </w:pPr>
      <w:r>
        <w:t>Kulturelle Kompetenz-Interventionen für Anbieter und ethnische Minderheiten: Systematischer Review</w:t>
      </w:r>
    </w:p>
    <w:p>
      <w:r>
        <w:rPr>
          <w:i/>
          <w:color w:val="666666"/>
          <w:sz w:val="18"/>
        </w:rPr>
        <w:t>Kasthurisamy Soundararajan S et al.  ·  Health Psychol Rev  ·  03.09.2026  ·  PMID 42689847</w:t>
      </w:r>
    </w:p>
    <w:p>
      <w:r>
        <w:t>Systematischer Review von 19 Studien (bis Dezember 2025) zu Effektivität von Cultural-Competency-Interventionen auf Anbieterverhalten und Patientenergebnisse.</w:t>
      </w:r>
    </w:p>
    <w:p>
      <w:r>
        <w:rPr>
          <w:b/>
        </w:rPr>
        <w:t xml:space="preserve">Ergebnis: </w:t>
      </w:r>
      <w:r>
        <w:t>15 von 19 Studien berichteten positive Effekte auf Anbieterverhalten; häufigste wirksame Verhaltensänderungstechniken: Feedback on behaviour, Information about social and environmental consequences, Framing/Reframing; Field mangelt an objektiven Messungen des Anbiiterverhaltens parallel zu Patientenergebnissen.</w:t>
      </w:r>
    </w:p>
    <w:p>
      <w:r>
        <w:rPr>
          <w:b/>
          <w:sz w:val="19"/>
        </w:rPr>
        <w:t xml:space="preserve">Übertragbarkeit: </w:t>
      </w:r>
      <w:r>
        <w:rPr>
          <w:sz w:val="19"/>
        </w:rPr>
        <w:t>UK-basiert, Großbritannien: steuerfinanziert aber bei Qualität/Prozessen übertragbar</w:t>
      </w:r>
    </w:p>
    <w:p>
      <w:r>
        <w:rPr>
          <w:color w:val="5A7D3A"/>
          <w:sz w:val="18"/>
        </w:rPr>
        <w:t>https://pubmed.ncbi.nlm.nih.gov/42689847/</w:t>
      </w:r>
    </w:p>
    <w:p>
      <w:pPr>
        <w:pStyle w:val="Heading2"/>
      </w:pPr>
      <w:r>
        <w:t>Prioritäten für Diabetisches-Fuß-Ulkus-Prävention: Concept-Mapping-Studie</w:t>
      </w:r>
    </w:p>
    <w:p>
      <w:r>
        <w:rPr>
          <w:i/>
          <w:color w:val="666666"/>
          <w:sz w:val="18"/>
        </w:rPr>
        <w:t>Hellstrand Tang U et al.  ·  J Foot Ankle Res  ·  Sept. 2026  ·  PMID 42689764</w:t>
      </w:r>
    </w:p>
    <w:p>
      <w:r>
        <w:t>Teilnehmende Aktionsforschung mit Patienten, Fachkräften und Forschern in Region Västra Götaland, Schweden; Concept Mapping zur Identifikation und Priorisierung von Verbesserungen in DFU-Prävention.</w:t>
      </w:r>
    </w:p>
    <w:p>
      <w:r>
        <w:rPr>
          <w:b/>
        </w:rPr>
        <w:t xml:space="preserve">Ergebnis: </w:t>
      </w:r>
      <w:r>
        <w:t>31 Teilnehmende generierten 83 Ideen, geclustert in 5 Gruppen; 3 priorisierte Verbesserungen (80% oder mehr Stimmen, Machbarkeit &gt; 5, Wichtigkeit &gt; 7): Zugang zu Podologie bei Problemen, schnelle Hilfe bei Problemen, Patienteninformation über Fußgesundheit.</w:t>
      </w:r>
    </w:p>
    <w:p>
      <w:r>
        <w:rPr>
          <w:b/>
          <w:sz w:val="19"/>
        </w:rPr>
        <w:t xml:space="preserve">Übertragbarkeit: </w:t>
      </w:r>
      <w:r>
        <w:rPr>
          <w:sz w:val="19"/>
        </w:rPr>
        <w:t>Schweden: skandinavisches Steuerfinanzierungs-System, Prozesse aber auf D übertragbar</w:t>
      </w:r>
    </w:p>
    <w:p>
      <w:r>
        <w:rPr>
          <w:color w:val="5A7D3A"/>
          <w:sz w:val="18"/>
        </w:rPr>
        <w:t>https://pubmed.ncbi.nlm.nih.gov/42689764/</w:t>
      </w:r>
    </w:p>
    <w:p>
      <w:pPr>
        <w:pStyle w:val="Heading2"/>
      </w:pPr>
      <w:r>
        <w:t>Risikofaktoren für prolongierte Hospitalisierung bei älteren Veterans mit Demenz</w:t>
      </w:r>
    </w:p>
    <w:p>
      <w:r>
        <w:rPr>
          <w:i/>
          <w:color w:val="666666"/>
          <w:sz w:val="18"/>
        </w:rPr>
        <w:t>Perfect CR et al.  ·  J Am Geriatr Soc  ·  02.09.2026  ·  PMID 42686639</w:t>
      </w:r>
    </w:p>
    <w:p>
      <w:r>
        <w:t>Sekundäranalyse einer randomisierten kontrollierten Studie bei 2.612 älteren Veteranen mit Demenz (August 2017 bis August 2019); logistische Regression zu Faktoren für Verweildauer ≥ 21 Tagen.</w:t>
      </w:r>
    </w:p>
    <w:p>
      <w:r>
        <w:rPr>
          <w:b/>
        </w:rPr>
        <w:t xml:space="preserve">Ergebnis: </w:t>
      </w:r>
      <w:r>
        <w:t>Soziale Vulnerabilität (OR 1,74; 95% CI 1,16–2,61), höhere chronische Erkrankungslast (OR 1,06 pro Punkt; 95% CI 1,01–1,10) und Delirium bei Aufnahme (OR 1,55; 95% CI 1,07–2,26) assoziiert mit prolongierter Hospitalisierung (n=138, 5,3% der Kohorte).</w:t>
      </w:r>
    </w:p>
    <w:p>
      <w:r>
        <w:rPr>
          <w:b/>
          <w:sz w:val="19"/>
        </w:rPr>
        <w:t xml:space="preserve">Übertragbarkeit: </w:t>
      </w:r>
      <w:r>
        <w:rPr>
          <w:sz w:val="19"/>
        </w:rPr>
        <w:t>US-Veteranen-Daten, aber Fragestellung zur Demenzverhältnisse systemunabhängig relevant</w:t>
      </w:r>
    </w:p>
    <w:p>
      <w:r>
        <w:rPr>
          <w:color w:val="5A7D3A"/>
          <w:sz w:val="18"/>
        </w:rPr>
        <w:t>https://pubmed.ncbi.nlm.nih.gov/42686639/</w:t>
      </w:r>
    </w:p>
    <w:p>
      <w:pPr>
        <w:pStyle w:val="Heading2"/>
      </w:pPr>
      <w:r>
        <w:t>Disparitäten in Patientenzufriedenheit VA vs. Gemeindeversorger nach Ethnizität</w:t>
      </w:r>
    </w:p>
    <w:p>
      <w:r>
        <w:rPr>
          <w:i/>
          <w:color w:val="666666"/>
          <w:sz w:val="18"/>
        </w:rPr>
        <w:t>Wong MS et al.  ·  Med Care  ·  02.09.2026  ·  PMID 42683682</w:t>
      </w:r>
    </w:p>
    <w:p>
      <w:r>
        <w:t>Vergleich von Rassendisparitäten in Patient-Reported-Experience-Measures zwischen VA-Primärversorgung und VA-finanzierter Community Care bei 2020-2023 befragten Veteranen.</w:t>
      </w:r>
    </w:p>
    <w:p>
      <w:r>
        <w:rPr>
          <w:b/>
        </w:rPr>
        <w:t xml:space="preserve">Ergebnis: </w:t>
      </w:r>
      <w:r>
        <w:t>Community Care zeigte größere Rassendisparitäten: Disparitäten bei Kommunikation für Black Veterans waren um 13 Prozentpunkte höher; Koordination der Versorgung um 22 (American Indian/Alaska Native), 12 (Black) und 16 Punkte (multiracial); Anbieter-Zufriedenheit für American Indian/Alaska Native 34 Punkte höher als in der VA.</w:t>
      </w:r>
    </w:p>
    <w:p>
      <w:r>
        <w:rPr>
          <w:b/>
          <w:sz w:val="19"/>
        </w:rPr>
        <w:t xml:space="preserve">Übertragbarkeit: </w:t>
      </w:r>
      <w:r>
        <w:rPr>
          <w:sz w:val="19"/>
        </w:rPr>
        <w:t>Begrenzt: US-Veteranen-Gesamtsystem, aber Findings zu Versorgungskoordination systemunabhängig relevant</w:t>
      </w:r>
    </w:p>
    <w:p>
      <w:r>
        <w:rPr>
          <w:color w:val="5A7D3A"/>
          <w:sz w:val="18"/>
        </w:rPr>
        <w:t>https://pubmed.ncbi.nlm.nih.gov/42683682/</w:t>
      </w:r>
    </w:p>
    <w:p>
      <w:pPr>
        <w:pStyle w:val="Heading2"/>
      </w:pPr>
      <w:r>
        <w:t>Nutzung und Selbstbeteiligungskosten autorisierten vs. unabhängigen Generika bei Medicare-Versicherten</w:t>
      </w:r>
    </w:p>
    <w:p>
      <w:r>
        <w:rPr>
          <w:i/>
          <w:color w:val="666666"/>
          <w:sz w:val="18"/>
        </w:rPr>
        <w:t>Arabshomali A et al.  ·  Health Serv Res  ·  Okt. 2026  ·  PMID 42682193</w:t>
      </w:r>
    </w:p>
    <w:p>
      <w:r>
        <w:t>Retrospektive Analyse von Medicare-Part-D-Daten (2012-2020) zum Vergleich der Out-of-Pocket-Kosten zwischen autorisierten und unabhängigen Generika.</w:t>
      </w:r>
    </w:p>
    <w:p>
      <w:r>
        <w:rPr>
          <w:b/>
        </w:rPr>
        <w:t xml:space="preserve">Ergebnis: </w:t>
      </w:r>
      <w:r>
        <w:t>Autorisierte Generika hatten konstant höhere Out-of-Pocket-Kosten: Median pro 30-Tage-Versorgung 3,19 USD vs. 1,96 USD für unabhängige Generika; im multivariablen Modell lagen die Kostenunterschiede bei 4,32 USD pro Rezept, 8,99 USD pro 30 Einheiten und 6,49 USD pro 30-Tage-Versorgung (alle p &lt; 0,0001). Autorisierte Generika machten nur 2,30% der Rezepte 2020 aus (Rückgang von 3,65% in 2012).</w:t>
      </w:r>
    </w:p>
    <w:p>
      <w:r>
        <w:rPr>
          <w:b/>
          <w:sz w:val="19"/>
        </w:rPr>
        <w:t xml:space="preserve">Übertragbarkeit: </w:t>
      </w:r>
      <w:r>
        <w:rPr>
          <w:sz w:val="19"/>
        </w:rPr>
        <w:t>Geringere Übertragbarkeit: US Medicare-Daten, fragmentiertes Versicherungssystem</w:t>
      </w:r>
    </w:p>
    <w:p>
      <w:r>
        <w:rPr>
          <w:color w:val="5A7D3A"/>
          <w:sz w:val="18"/>
        </w:rPr>
        <w:t>https://pubmed.ncbi.nlm.nih.gov/42682193/</w:t>
      </w:r>
    </w:p>
    <w:p>
      <w:pPr>
        <w:pStyle w:val="Heading1"/>
      </w:pPr>
      <w:r>
        <w:t>Aufgenommen am 03.09.2026</w:t>
      </w:r>
    </w:p>
    <w:p>
      <w:pPr>
        <w:pStyle w:val="Heading2"/>
      </w:pPr>
      <w:r>
        <w:t>Auswirkungen außervertraglicher Notfallkliniken auf folgende Spezialistennutzung</w:t>
      </w:r>
    </w:p>
    <w:p>
      <w:r>
        <w:rPr>
          <w:i/>
          <w:color w:val="666666"/>
          <w:sz w:val="18"/>
        </w:rPr>
        <w:t>Kuwonza FM et al.  ·  Health Serv Res  ·  Okt. 2026  ·  PMID 42683654</w:t>
      </w:r>
    </w:p>
    <w:p>
      <w:r>
        <w:t>Retrospektive Kohortenstudie zur Auswirkung von außervertraglichen Notfallkliniken auf nachfolgende Spezialistenversorgung bei US-Veteranen unter Verwendung von Instrumentalvariablen-Methoden.</w:t>
      </w:r>
    </w:p>
    <w:p>
      <w:r>
        <w:rPr>
          <w:b/>
        </w:rPr>
        <w:t xml:space="preserve">Ergebnis: </w:t>
      </w:r>
      <w:r>
        <w:t>Von 111.898 Veteranen hatten 90.651 (81%) Notfallversorgung in der Veterans Health Administration, 21.247 (19%) in nicht-VA-Kliniken. Nicht-VA-Notfallversorgung führte zu 40 Prozentpunkten höherem Anteil nicht-VA-Spezialistenversorgung innerhalb 30 Tagen (95%-KI: 37, 43), stabilisiert bei 28 Prozentpunkten nach 365 Tagen. Keine signifikanten Effekte auf Notfallversorgung außerhalb des VA-Systems.</w:t>
      </w:r>
    </w:p>
    <w:p>
      <w:r>
        <w:rPr>
          <w:b/>
          <w:sz w:val="19"/>
        </w:rPr>
        <w:t xml:space="preserve">Übertragbarkeit: </w:t>
      </w:r>
      <w:r>
        <w:rPr>
          <w:sz w:val="19"/>
        </w:rPr>
        <w:t>US-Daten - aber Fragestellung zur Care Coordination bei ausgelagerter Akutversorgung systemunabhängig relevant</w:t>
      </w:r>
    </w:p>
    <w:p>
      <w:r>
        <w:rPr>
          <w:color w:val="5A7D3A"/>
          <w:sz w:val="18"/>
        </w:rPr>
        <w:t>https://pubmed.ncbi.nlm.nih.gov/42683654/</w:t>
      </w:r>
    </w:p>
    <w:p>
      <w:pPr>
        <w:pStyle w:val="Heading2"/>
      </w:pPr>
      <w:r>
        <w:t>Patientenberichte zur Kontinuität von GLP-1-Rezeptoragonisten-Therapie</w:t>
      </w:r>
    </w:p>
    <w:p>
      <w:r>
        <w:rPr>
          <w:i/>
          <w:color w:val="666666"/>
          <w:sz w:val="18"/>
        </w:rPr>
        <w:t>Chen Y et al.  ·  Obes Sci Pract  ·  01.09.2026  ·  PMID 42683049</w:t>
      </w:r>
    </w:p>
    <w:p>
      <w:r>
        <w:t>Querschnittsstudie zu Patientenerfahrungen bei der GLP-1-Therapie mit Fokus auf Versorgungskontinuität und Barrieren im Behandlungsverlauf.</w:t>
      </w:r>
    </w:p>
    <w:p>
      <w:r>
        <w:rPr>
          <w:b/>
        </w:rPr>
        <w:t xml:space="preserve">Ergebnis: </w:t>
      </w:r>
      <w:r>
        <w:t>261 von 4.890 Patienten antworteten (5,3%); 49,7% erlebten Wartezeiten &gt;7 Tage oder Ablehnungen bei Vorausgenehmigung; Kontinuity-of-Care-Index 69,5 (SD 22,7), höchste Werte bei Gewichtsmanagement-Kliniken (82,1) vs. Hausarzt (60,7); 89,5% der Patienten wünschten sich integriertes Tracking.</w:t>
      </w:r>
    </w:p>
    <w:p>
      <w:r>
        <w:rPr>
          <w:b/>
          <w:sz w:val="19"/>
        </w:rPr>
        <w:t xml:space="preserve">Übertragbarkeit: </w:t>
      </w:r>
      <w:r>
        <w:rPr>
          <w:sz w:val="19"/>
        </w:rPr>
        <w:t>US-Daten, aber Versorgungsfragmentierung und Patientenperspektive systemunabhängig bedeutsam</w:t>
      </w:r>
    </w:p>
    <w:p>
      <w:r>
        <w:rPr>
          <w:color w:val="5A7D3A"/>
          <w:sz w:val="18"/>
        </w:rPr>
        <w:t>https://pubmed.ncbi.nlm.nih.gov/42683049/</w:t>
      </w:r>
    </w:p>
    <w:p>
      <w:pPr>
        <w:pStyle w:val="Heading2"/>
      </w:pPr>
      <w:r>
        <w:t>Schwangerschaftsausgaben und Nutzung postpartaler Versorgung bei kommerziell Versicherten</w:t>
      </w:r>
    </w:p>
    <w:p>
      <w:r>
        <w:rPr>
          <w:i/>
          <w:color w:val="666666"/>
          <w:sz w:val="18"/>
        </w:rPr>
        <w:t>Gourevitch RA et al.  ·  Health Serv Res  ·  Okt. 2026  ·  PMID 42682189</w:t>
      </w:r>
    </w:p>
    <w:p>
      <w:r>
        <w:t>Instrumentalvariablen-Analyse der Auswirkung von Zuzahlungen während Schwangerschaft und Geburt auf nachfolgende postpartale Versorgungsnutzung.</w:t>
      </w:r>
    </w:p>
    <w:p>
      <w:r>
        <w:rPr>
          <w:b/>
        </w:rPr>
        <w:t xml:space="preserve">Ergebnis: </w:t>
      </w:r>
      <w:r>
        <w:t>Frauen mit Geburt zu Jahresanfang vs. Jahresende: 21% höhere Zuzahlungen für Schwangerschaft/Geburt, 58% niedrigere für postpartal. 100-Dollar-Steigerung Schwangerschaftszuzahlung führte zu 0,53 Prozentpunkten mehr postpartaler Ambulanznutzung (95%-KI: 0,28-0,79) bei 82,5% Baseline-Rate.</w:t>
      </w:r>
    </w:p>
    <w:p>
      <w:r>
        <w:rPr>
          <w:b/>
          <w:sz w:val="19"/>
        </w:rPr>
        <w:t xml:space="preserve">Übertragbarkeit: </w:t>
      </w:r>
      <w:r>
        <w:rPr>
          <w:sz w:val="19"/>
        </w:rPr>
        <w:t>USA, aber Zuzahlungseffekt auf Inanspruchnahme systemunabhängig; Interpretation für deutsches System begrenzt</w:t>
      </w:r>
    </w:p>
    <w:p>
      <w:r>
        <w:rPr>
          <w:color w:val="5A7D3A"/>
          <w:sz w:val="18"/>
        </w:rPr>
        <w:t>https://pubmed.ncbi.nlm.nih.gov/42682189/</w:t>
      </w:r>
    </w:p>
    <w:p>
      <w:pPr>
        <w:pStyle w:val="Heading2"/>
      </w:pPr>
      <w:r>
        <w:t>Retention und Abgang von Heilpraktikern der Chinesischen Medizin in Australien</w:t>
      </w:r>
    </w:p>
    <w:p>
      <w:r>
        <w:rPr>
          <w:i/>
          <w:color w:val="666666"/>
          <w:sz w:val="18"/>
        </w:rPr>
        <w:t>Lathlean T et al.  ·  BMC Health Serv Res  ·  27.08.2026  ·  PMID 42681634</w:t>
      </w:r>
    </w:p>
    <w:p>
      <w:r>
        <w:t>Umfrage und registrierungsbasierte Analyse von Retentions- und Abgangsmustern bei Praktikern der Chinesischen Medizin in Australien 2014-2024.</w:t>
      </w:r>
    </w:p>
    <w:p>
      <w:r>
        <w:rPr>
          <w:b/>
        </w:rPr>
        <w:t xml:space="preserve">Ergebnis: </w:t>
      </w:r>
      <w:r>
        <w:t>79,4% der 1.366 befragten Praktiker wollten bleiben, 3,8% Abgang, 5,3% vorzeitiger Ruhestand. Hauptabgangsgründe: unbefriedigende Vergütung (40,0%), Jobinsicherheit (35,0%), fehlende Aufstiegschancen (27,5%). Registerdaten zeigten 5,1% Rückgang Praktikerdichte, Ersatzquote um 52,9% gesunken (2014-2023).</w:t>
      </w:r>
    </w:p>
    <w:p>
      <w:r>
        <w:rPr>
          <w:b/>
          <w:sz w:val="19"/>
        </w:rPr>
        <w:t xml:space="preserve">Übertragbarkeit: </w:t>
      </w:r>
      <w:r>
        <w:rPr>
          <w:sz w:val="19"/>
        </w:rPr>
        <w:t>Australien - Workforce-Retention generisch übertragbar, aber Spezifika australischer Regulierung begrenzen direkte Anwendbarkeit</w:t>
      </w:r>
    </w:p>
    <w:p>
      <w:r>
        <w:rPr>
          <w:color w:val="5A7D3A"/>
          <w:sz w:val="18"/>
        </w:rPr>
        <w:t>https://pubmed.ncbi.nlm.nih.gov/42681634/</w:t>
      </w:r>
    </w:p>
    <w:p>
      <w:pPr>
        <w:pStyle w:val="Heading2"/>
      </w:pPr>
      <w:r>
        <w:t>Patientenpräferenzen bei postoperativen Übungen nach Hüft- und Kniegelenksersatz</w:t>
      </w:r>
    </w:p>
    <w:p>
      <w:r>
        <w:rPr>
          <w:i/>
          <w:color w:val="666666"/>
          <w:sz w:val="18"/>
        </w:rPr>
        <w:t>Wang Y et al.  ·  BMC Health Serv Res  ·  25.07.2026  ·  PMID 42681632</w:t>
      </w:r>
    </w:p>
    <w:p>
      <w:r>
        <w:t>Discrete Choice Experiment mit 295 Patienten nach Hüft- oder Kniegelenksersatz zur Erfassung von Rehabilitationspräferenzen.</w:t>
      </w:r>
    </w:p>
    <w:p>
      <w:r>
        <w:rPr>
          <w:b/>
        </w:rPr>
        <w:t xml:space="preserve">Ergebnis: </w:t>
      </w:r>
      <w:r>
        <w:t>Schmerzintensität während Reha war wichtigster Einflussfaktor; Patienten bevorzugten milde/moderate Schmerzen (OR: 2,41 bzw. 3,84 vs. schwer). Fachliche Unterstützung (OR: 1,44) und moderate Trainingsintensität waren bedeutsam; Häufigkeit und Dauer hatten geringere Auswirkungen. Konsistente Muster über Geschlecht und Alter.</w:t>
      </w:r>
    </w:p>
    <w:p>
      <w:r>
        <w:rPr>
          <w:b/>
          <w:sz w:val="19"/>
        </w:rPr>
        <w:t xml:space="preserve">Übertragbarkeit: </w:t>
      </w:r>
      <w:r>
        <w:rPr>
          <w:sz w:val="19"/>
        </w:rPr>
        <w:t>China, aber Erhebung patientenzentrierter Rehabilitationspräferenzen methodisch und inhaltlich übertragbar</w:t>
      </w:r>
    </w:p>
    <w:p>
      <w:r>
        <w:rPr>
          <w:color w:val="5A7D3A"/>
          <w:sz w:val="18"/>
        </w:rPr>
        <w:t>https://pubmed.ncbi.nlm.nih.gov/42681632/</w:t>
      </w:r>
    </w:p>
    <w:p>
      <w:pPr>
        <w:pStyle w:val="Heading2"/>
      </w:pPr>
      <w:r>
        <w:t>Nurse-led Intervention gegen sprachliche Migrationsbarrieren in der Krebsbetreuung</w:t>
      </w:r>
    </w:p>
    <w:p>
      <w:r>
        <w:rPr>
          <w:i/>
          <w:color w:val="666666"/>
          <w:sz w:val="18"/>
        </w:rPr>
        <w:t>Höckelmann C et al.  ·  BMJ Open  ·  01.09.2026  ·  PMID 42680490</w:t>
      </w:r>
    </w:p>
    <w:p>
      <w:r>
        <w:t>Protokoll für kontrollierte vorher-nachher Studie mit prozess- und ökonomischer Evaluation einer pflege-geführten Komplexintervention (Informationen, Telefoninterpreter, mehrsprachige Materialien) für Krebspatienten mit Migrationshintergrund.</w:t>
      </w:r>
    </w:p>
    <w:p>
      <w:r>
        <w:rPr>
          <w:b/>
        </w:rPr>
        <w:t xml:space="preserve">Ergebnis: </w:t>
      </w:r>
      <w:r>
        <w:t>Geplant: 126 Teilnehmer (84 Intervention, 42 Kontrolle). Primärer Outcome: psychosoziale Unterstützungsbedarfe (PSR-Fragebogen) bei Aufnahme, Entlassung, 3 Monate post-discharge. Sekundär: Wissensstand, Lebensqualität, Angst, Zufriedenheit. Powered: d=0,5, 80%, einseitig α=5%.</w:t>
      </w:r>
    </w:p>
    <w:p>
      <w:r>
        <w:rPr>
          <w:b/>
          <w:sz w:val="19"/>
        </w:rPr>
        <w:t xml:space="preserve">Übertragbarkeit: </w:t>
      </w:r>
      <w:r>
        <w:rPr>
          <w:sz w:val="19"/>
        </w:rPr>
        <w:t>Deutschland - Migrationshintergrund (30,4% Bevölkerung), onkologische Versorgung, Sprachbarrieren hochrelevant für deutsches System</w:t>
      </w:r>
    </w:p>
    <w:p>
      <w:r>
        <w:rPr>
          <w:color w:val="5A7D3A"/>
          <w:sz w:val="18"/>
        </w:rPr>
        <w:t>https://pubmed.ncbi.nlm.nih.gov/42680490/</w:t>
      </w:r>
    </w:p>
    <w:p>
      <w:pPr>
        <w:pStyle w:val="Heading2"/>
      </w:pPr>
      <w:r>
        <w:t>Drohnen im Gesundheitswesen sub-Sahara-Afrikas: Rapid Scoping Review</w:t>
      </w:r>
    </w:p>
    <w:p>
      <w:r>
        <w:rPr>
          <w:i/>
          <w:color w:val="666666"/>
          <w:sz w:val="18"/>
        </w:rPr>
        <w:t>Adjei-Banuah NY et al.  ·  Glob Health Action  ·  01.09.2026  ·  PMID 42676300</w:t>
      </w:r>
    </w:p>
    <w:p>
      <w:r>
        <w:t>Rapid Scoping Review zur aktuellen und potenziellen Nutzung von Drohnen für Gesundheitsversorgung in 12 sub-saharischen Ländern (Fokus Ghana).</w:t>
      </w:r>
    </w:p>
    <w:p>
      <w:r>
        <w:rPr>
          <w:b/>
        </w:rPr>
        <w:t xml:space="preserve">Ergebnis: </w:t>
      </w:r>
      <w:r>
        <w:t>29 Arbeiten eingeschlossen. Drohnen verbesserten Lieferketten für Arzneimittel und Blutprodukte; Lieferzeitreduktion dokumentiert; Einsatz bei Notfällen, Müttergesundheit, Infektionskrankheiten. Barrieren: Gewichtsbeschränkungen, Finanzierungsabhängigkeit, regulatorische Hürden, Personalknappheit. Skalierungspotenzial für Nicht-Infektionskrankheiten vorhanden.</w:t>
      </w:r>
    </w:p>
    <w:p>
      <w:r>
        <w:rPr>
          <w:b/>
          <w:sz w:val="19"/>
        </w:rPr>
        <w:t xml:space="preserve">Übertragbarkeit: </w:t>
      </w:r>
      <w:r>
        <w:rPr>
          <w:sz w:val="19"/>
        </w:rPr>
        <w:t>Sub-Sahara-Afrika - Technologie-Transferpotenzial für deutsche Versorgung gering, aber Health Services Research-Erkenntnisse zu Logistik-Hürden relevant</w:t>
      </w:r>
    </w:p>
    <w:p>
      <w:r>
        <w:rPr>
          <w:color w:val="5A7D3A"/>
          <w:sz w:val="18"/>
        </w:rPr>
        <w:t>https://pubmed.ncbi.nlm.nih.gov/42676300/</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2026-10-17T06:00:00Z</dcterms:created>
  <dcterms:modified xsi:type="dcterms:W3CDTF">2026-10-17T06:00:00Z</dcterms:modified>
  <cp:category/>
</cp:coreProperties>
</file>