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19.10.2026  |  7 Studien  |  wissen.m-vf.de</w:t>
      </w:r>
    </w:p>
    <w:p>
      <w:pPr>
        <w:pStyle w:val="Heading1"/>
      </w:pPr>
      <w:r>
        <w:t>Aufgenommen am 19.10.2026</w:t>
      </w:r>
    </w:p>
    <w:p>
      <w:pPr>
        <w:pStyle w:val="Heading2"/>
      </w:pPr>
      <w:r>
        <w:t>Inanspruchnahme von Gesundheitsleistungen bei Demenz: Medicare Advantage vs. Traditional Medicare</w:t>
      </w:r>
    </w:p>
    <w:p>
      <w:r>
        <w:rPr>
          <w:i/>
          <w:color w:val="666666"/>
          <w:sz w:val="18"/>
        </w:rPr>
        <w:t>Joseph JM et al.  ·  Health Serv Res  ·  Okt. 2026  ·  PMID 42885186</w:t>
      </w:r>
    </w:p>
    <w:p>
      <w:r>
        <w:t>Vergleichende Analyse der Gesundheitsleistungsnutzung zwischen Medicare-Advantage- und Traditional-Medicare-Versicherten, stratifiziert nach Demenzstatus (ADRD).</w:t>
      </w:r>
    </w:p>
    <w:p>
      <w:r>
        <w:rPr>
          <w:b/>
        </w:rPr>
        <w:t xml:space="preserve">Ergebnis: </w:t>
      </w:r>
      <w:r>
        <w:t>Bei Versicherten mit ADRD waren sieben von acht adjustierten Unterschiede nicht signifikant. Spezialistenbesuche waren bei MA mit ADRD häufiger (5,2 Prozentpunkte, 95%-KI -0,1 bis 10,2). Ohne ADRD war MA mit niedrigeren stationären ambulanten Besuchen (-2,6; -3,7 bis -1,6) und weniger Bedarf für häusliche Krankenpflege (-0,9; -1,5 bis -0,3)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US-Daten; Fragestellung zu Leistungsunterschieden aber systemunabhängig relevant</w:t>
      </w:r>
    </w:p>
    <w:p>
      <w:r>
        <w:rPr>
          <w:color w:val="5A7D3A"/>
          <w:sz w:val="18"/>
        </w:rPr>
        <w:t>https://pubmed.ncbi.nlm.nih.gov/42885186/</w:t>
      </w:r>
    </w:p>
    <w:p>
      <w:pPr>
        <w:pStyle w:val="Heading2"/>
      </w:pPr>
      <w:r>
        <w:t>Patientenperspektiven zu Notaufnahme vs. Hausarzt: qualitative Analyse des GPFirst-Programms</w:t>
      </w:r>
    </w:p>
    <w:p>
      <w:r>
        <w:rPr>
          <w:i/>
          <w:color w:val="666666"/>
          <w:sz w:val="18"/>
        </w:rPr>
        <w:t>Lee CYR et al.  ·  Singapore Med J  ·  15.10.2026  ·  PMID 42879300</w:t>
      </w:r>
    </w:p>
    <w:p>
      <w:r>
        <w:t>Qualitative Studie mit 16 Tiefeninterviews zu Determinanten der Arztwahl bei nicht-dringlichen Erkrankungen und zur Akzeptanz eines Steuerungsprogramms (GPFirst).</w:t>
      </w:r>
    </w:p>
    <w:p>
      <w:r>
        <w:rPr>
          <w:b/>
        </w:rPr>
        <w:t xml:space="preserve">Ergebnis: </w:t>
      </w:r>
      <w:r>
        <w:t>Vier Hauptthemen identifiziert: (1) Bestimmungsfaktoren der Arztwahl (wahrgenommene Schwere, Vertrauen in Krankenhausressourcen, Öffnungszeiten); (2) ED-Präferenz vs. GP-Vorzüge (Wartezeiten, Zugänglichkeit, personalisierte Versorgung); (3) GPFirst-Teilnahmebereitschaft trotz Barrieren (schlechte Selbsteinschätzung, mangelndes Wissen); (4) Verbesserungsvorschläge (Bewusstseinsförderung, Prozessklarheit, Anreizverstärkung).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Singapur-Studie; Steuerungsmechanismen bei hausarztlicher Gatekeeper-Funktion übertragbar</w:t>
      </w:r>
    </w:p>
    <w:p>
      <w:r>
        <w:rPr>
          <w:color w:val="5A7D3A"/>
          <w:sz w:val="18"/>
        </w:rPr>
        <w:t>https://pubmed.ncbi.nlm.nih.gov/42879300/</w:t>
      </w:r>
    </w:p>
    <w:p>
      <w:pPr>
        <w:pStyle w:val="Heading2"/>
      </w:pPr>
      <w:r>
        <w:t>Kardiovaskuläre Gesundheit und Nierenversagen: Life's Essential 8 als Risikofaktor</w:t>
      </w:r>
    </w:p>
    <w:p>
      <w:r>
        <w:rPr>
          <w:i/>
          <w:color w:val="666666"/>
          <w:sz w:val="18"/>
        </w:rPr>
        <w:t>Ma C et al.  ·  Clin J Am Soc Nephrol  ·  15.10.2026  ·  PMID 42879211</w:t>
      </w:r>
    </w:p>
    <w:p>
      <w:r>
        <w:t>Prospektive Kohortenstudie zur Assoziation zwischen Life's Essential 8 (CVH-Metrik) und Inzidenz von Nierenersatztherapie-Bedürftigkeit (ESKD) in 276.494 Biobank-Teilnehmern.</w:t>
      </w:r>
    </w:p>
    <w:p>
      <w:r>
        <w:rPr>
          <w:b/>
        </w:rPr>
        <w:t xml:space="preserve">Ergebnis: </w:t>
      </w:r>
      <w:r>
        <w:t>Jeder 10-Punkte-Rückgang im LE8-Score erhöhte ESKD-Risiko (HR 1,47; 95%-KI 1,34–1,60). Niedriger LE8 war mit über fünffach erhöhtem Risiko assoziiert (HR 5,57; 95%-KI 3,42–9,07) vs. hohem LE8. Blutdruck und Blutglukose hatten größte populationsattribuierbare Fraktionen.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UK-Daten; Primärversorgung und präventive Ansätze übertragbar</w:t>
      </w:r>
    </w:p>
    <w:p>
      <w:r>
        <w:rPr>
          <w:color w:val="5A7D3A"/>
          <w:sz w:val="18"/>
        </w:rPr>
        <w:t>https://pubmed.ncbi.nlm.nih.gov/42879211/</w:t>
      </w:r>
    </w:p>
    <w:p>
      <w:pPr>
        <w:pStyle w:val="Heading2"/>
      </w:pPr>
      <w:r>
        <w:t>Validität von EQ-5D-5L und EQ-HWB-9 zur Messung von Carer-Outcomes in gesundheitsökonomischen Evaluationen</w:t>
      </w:r>
    </w:p>
    <w:p>
      <w:r>
        <w:rPr>
          <w:i/>
          <w:color w:val="666666"/>
          <w:sz w:val="18"/>
        </w:rPr>
        <w:t>Faller J et al.  ·  Qual Life Res  ·  15.10.2026  ·  PMID 42879005</w:t>
      </w:r>
    </w:p>
    <w:p>
      <w:r>
        <w:t>Psychometrische Bewertung zweier Nutzen-Messinstrumente (EQ-5D-5L, EQ-HWB-9) bei 6.743 pflegenden Angehörigen aus fünf englischsprachigen Ländern.</w:t>
      </w:r>
    </w:p>
    <w:p>
      <w:r>
        <w:rPr>
          <w:b/>
        </w:rPr>
        <w:t xml:space="preserve">Ergebnis: </w:t>
      </w:r>
      <w:r>
        <w:t>EQ-5D-5L zeigte Deckeneffekt (19%), EQ-HWB-9 nicht (5%). Beide Instrumente korrelieren moderat mit WHO-5, PROMIS-10 und anderen Validierungsinstrumenten und zeigten Known-Group-Validität. EQ-HWB-9 erfasst breiteres Spektrum der Carer-Belastung.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Multi-nationale Studie mit deutschsprachigen Ländern; ökonomische Evaluationen übertragbar</w:t>
      </w:r>
    </w:p>
    <w:p>
      <w:r>
        <w:rPr>
          <w:color w:val="5A7D3A"/>
          <w:sz w:val="18"/>
        </w:rPr>
        <w:t>https://pubmed.ncbi.nlm.nih.gov/42879005/</w:t>
      </w:r>
    </w:p>
    <w:p>
      <w:pPr>
        <w:pStyle w:val="Heading2"/>
      </w:pPr>
      <w:r>
        <w:t>Psychische Gesundheit von Ärzten und Pflegepersonen in der Ukraine während des Krieges</w:t>
      </w:r>
    </w:p>
    <w:p>
      <w:r>
        <w:rPr>
          <w:i/>
          <w:color w:val="666666"/>
          <w:sz w:val="18"/>
        </w:rPr>
        <w:t>Arrona Gómez VA et al.  ·  Br J Psychiatry  ·  15.10.2026  ·  PMID 42876069</w:t>
      </w:r>
    </w:p>
    <w:p>
      <w:r>
        <w:t>Landesweite Cross-sectional-Befragung von 23.805 Ärzten und Pflegepersonen zur Prävalenz von Depression, Angststörungen und suizidalen Gedanken sowie Assoziation mit Arbeitsplatzrisiken (Gewalt, Mobbing).</w:t>
      </w:r>
    </w:p>
    <w:p>
      <w:r>
        <w:rPr>
          <w:b/>
        </w:rPr>
        <w:t xml:space="preserve">Ergebnis: </w:t>
      </w:r>
      <w:r>
        <w:t>1 von 3 Ärzten und 1 von 4 Pflegepersonen berichteten Depressionssymptome; 1 von 4 Ärzte und 1 von 6 Pfleger Angstsymptome; ~1 von 10 suizidale Gedanken. Mobbing am stärksten mit Depression/Angst assoziiert (alle P&lt;0,001), physische Gewalt mit suizidalen Gedanken. Sinnvolle Arbeit schützend.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Ukraine-Daten, Fragenstellung aber zu Workforce-Wohlbefinden systemunabhängig relevant</w:t>
      </w:r>
    </w:p>
    <w:p>
      <w:r>
        <w:rPr>
          <w:color w:val="5A7D3A"/>
          <w:sz w:val="18"/>
        </w:rPr>
        <w:t>https://pubmed.ncbi.nlm.nih.gov/42876069/</w:t>
      </w:r>
    </w:p>
    <w:p>
      <w:pPr>
        <w:pStyle w:val="Heading2"/>
      </w:pPr>
      <w:r>
        <w:t>Generative-AI-Nutzung bei älteren Menschen mit Multimorbidität: qualitative Analyse von Barrieren und Chancen</w:t>
      </w:r>
    </w:p>
    <w:p>
      <w:r>
        <w:rPr>
          <w:i/>
          <w:color w:val="666666"/>
          <w:sz w:val="18"/>
        </w:rPr>
        <w:t>Lin Q et al.  ·  BMC Health Serv Res  ·  23.07.2026  ·  PMID 42875768</w:t>
      </w:r>
    </w:p>
    <w:p>
      <w:r>
        <w:t>Qualitative Studie mit 16 semistrukturierten Interviews zu Erfahrungen älterer Menschen mit Multimorbidität bei der Nutzung von Generative-AI-Tools für Gesundheitsentscheidungen in China.</w:t>
      </w:r>
    </w:p>
    <w:p>
      <w:r>
        <w:rPr>
          <w:b/>
        </w:rPr>
        <w:t xml:space="preserve">Ergebnis: </w:t>
      </w:r>
      <w:r>
        <w:t>Vier Themen: (1) Wahrgenommener Nutzen (Informationszugang, integrierte Unterstützung, Entscheidungssicherheit); (2) Ease-of-Use mit großen individuellen Unterschieden; (3) Notwendigkeit von Ressourcenmobilisierung (soziale Unterstützung, technische Hilfe); (4) Dynamische, nicht-lineare Nutzungsmuster (Versuche, Unterbrechnungen, Wiederaufnahme oder Abbruch) statt einfache Adoption.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China-Studie; Fragen zur technologischen Inklusion und Digital-Divide bei älteren Menschen relevant</w:t>
      </w:r>
    </w:p>
    <w:p>
      <w:r>
        <w:rPr>
          <w:color w:val="5A7D3A"/>
          <w:sz w:val="18"/>
        </w:rPr>
        <w:t>https://pubmed.ncbi.nlm.nih.gov/42875768/</w:t>
      </w:r>
    </w:p>
    <w:p>
      <w:pPr>
        <w:pStyle w:val="Heading2"/>
      </w:pPr>
      <w:r>
        <w:t>Hausarztbeteiligung in der onkologischen Nachsorge: Studienprotokoll zur mixed-methods-Analyse</w:t>
      </w:r>
    </w:p>
    <w:p>
      <w:r>
        <w:rPr>
          <w:i/>
          <w:color w:val="666666"/>
          <w:sz w:val="18"/>
        </w:rPr>
        <w:t>van Baal K et al.  ·  BMC Prim Care  ·  13.10.2026  ·  PMID 42875748</w:t>
      </w:r>
    </w:p>
    <w:p>
      <w:r>
        <w:t>Studienprotokoll zur Untersuchung der Hausarzt-Beteiligung in der onkologischen Nachsorge in Deutschland mittels Routinedaten, Surveys und qualitativen Interviews.</w:t>
      </w:r>
    </w:p>
    <w:p>
      <w:r>
        <w:rPr>
          <w:b/>
        </w:rPr>
        <w:t xml:space="preserve">Ergebnis: </w:t>
      </w:r>
      <w:r>
        <w:t>Geplante Analyse von AOK-Routinedaten und Niedersächsischem Krebsregister, Befragung von 300+ Hausärzten und Onkologen, 30 Patienteninterviews sowie Expert-Workshop zur Konsensfindung für strukturierte Empfehlungen.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 mit deutschem Versorgungssystem; direkt auf deutsche Versorgung übertragbar</w:t>
      </w:r>
    </w:p>
    <w:p>
      <w:r>
        <w:rPr>
          <w:color w:val="5A7D3A"/>
          <w:sz w:val="18"/>
        </w:rPr>
        <w:t>https://pubmed.ncbi.nlm.nih.gov/42875748/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2026-10-19T06:00:00Z</dcterms:created>
  <dcterms:modified xsi:type="dcterms:W3CDTF">2026-10-19T06:00:00Z</dcterms:modified>
  <cp:category/>
</cp:coreProperties>
</file>