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Versorgungsforschung</w:t>
      </w:r>
    </w:p>
    <w:p>
      <w:r>
        <w:rPr>
          <w:i/>
          <w:color w:val="666666"/>
          <w:sz w:val="18"/>
        </w:rPr>
        <w:t>Stand: 19.10.2026  |  394 Studien  |  wissen.m-vf.de</w:t>
      </w:r>
    </w:p>
    <w:p>
      <w:pPr>
        <w:pStyle w:val="Heading1"/>
      </w:pPr>
      <w:r>
        <w:t>Aufgenommen am 19.10.2026</w:t>
      </w:r>
    </w:p>
    <w:p>
      <w:pPr>
        <w:pStyle w:val="Heading2"/>
      </w:pPr>
      <w:r>
        <w:t>Inanspruchnahme von Gesundheitsleistungen bei Demenz: Medicare Advantage vs. Traditional Medicare</w:t>
      </w:r>
    </w:p>
    <w:p>
      <w:r>
        <w:rPr>
          <w:i/>
          <w:color w:val="666666"/>
          <w:sz w:val="18"/>
        </w:rPr>
        <w:t>Joseph JM et al.  ·  Health Serv Res  ·  Okt. 2026  ·  PMID 42885186</w:t>
      </w:r>
    </w:p>
    <w:p>
      <w:r>
        <w:t>Vergleichende Analyse der Gesundheitsleistungsnutzung zwischen Medicare-Advantage- und Traditional-Medicare-Versicherten, stratifiziert nach Demenzstatus (ADRD).</w:t>
      </w:r>
    </w:p>
    <w:p>
      <w:r>
        <w:rPr>
          <w:b/>
        </w:rPr>
        <w:t xml:space="preserve">Ergebnis: </w:t>
      </w:r>
      <w:r>
        <w:t>Bei Versicherten mit ADRD waren sieben von acht adjustierten Unterschiede nicht signifikant. Spezialistenbesuche waren bei MA mit ADRD häufiger (5,2 Prozentpunkte, 95%-KI -0,1 bis 10,2). Ohne ADRD war MA mit niedrigeren stationären ambulanten Besuchen (-2,6; -3,7 bis -1,6) und weniger Bedarf für häusliche Krankenpflege (-0,9; -1,5 bis -0,3) assoziiert.</w:t>
      </w:r>
    </w:p>
    <w:p>
      <w:r>
        <w:rPr>
          <w:b/>
          <w:sz w:val="19"/>
        </w:rPr>
        <w:t xml:space="preserve">Übertragbarkeit: </w:t>
      </w:r>
      <w:r>
        <w:rPr>
          <w:sz w:val="19"/>
        </w:rPr>
        <w:t>US-Daten; Fragestellung zu Leistungsunterschieden aber systemunabhängig relevant</w:t>
      </w:r>
    </w:p>
    <w:p>
      <w:r>
        <w:rPr>
          <w:color w:val="5A7D3A"/>
          <w:sz w:val="18"/>
        </w:rPr>
        <w:t>https://pubmed.ncbi.nlm.nih.gov/42885186/</w:t>
      </w:r>
    </w:p>
    <w:p>
      <w:pPr>
        <w:pStyle w:val="Heading2"/>
      </w:pPr>
      <w:r>
        <w:t>Patientenperspektiven zu Notaufnahme vs. Hausarzt: qualitative Analyse des GPFirst-Programms</w:t>
      </w:r>
    </w:p>
    <w:p>
      <w:r>
        <w:rPr>
          <w:i/>
          <w:color w:val="666666"/>
          <w:sz w:val="18"/>
        </w:rPr>
        <w:t>Lee CYR et al.  ·  Singapore Med J  ·  15.10.2026  ·  PMID 42879300</w:t>
      </w:r>
    </w:p>
    <w:p>
      <w:r>
        <w:t>Qualitative Studie mit 16 Tiefeninterviews zu Determinanten der Arztwahl bei nicht-dringlichen Erkrankungen und zur Akzeptanz eines Steuerungsprogramms (GPFirst).</w:t>
      </w:r>
    </w:p>
    <w:p>
      <w:r>
        <w:rPr>
          <w:b/>
        </w:rPr>
        <w:t xml:space="preserve">Ergebnis: </w:t>
      </w:r>
      <w:r>
        <w:t>Vier Hauptthemen identifiziert: (1) Bestimmungsfaktoren der Arztwahl (wahrgenommene Schwere, Vertrauen in Krankenhausressourcen, Öffnungszeiten); (2) ED-Präferenz vs. GP-Vorzüge (Wartezeiten, Zugänglichkeit, personalisierte Versorgung); (3) GPFirst-Teilnahmebereitschaft trotz Barrieren (schlechte Selbsteinschätzung, mangelndes Wissen); (4) Verbesserungsvorschläge (Bewusstseinsförderung, Prozessklarheit, Anreizverstärkung).</w:t>
      </w:r>
    </w:p>
    <w:p>
      <w:r>
        <w:rPr>
          <w:b/>
          <w:sz w:val="19"/>
        </w:rPr>
        <w:t xml:space="preserve">Übertragbarkeit: </w:t>
      </w:r>
      <w:r>
        <w:rPr>
          <w:sz w:val="19"/>
        </w:rPr>
        <w:t>Singapur-Studie; Steuerungsmechanismen bei hausarztlicher Gatekeeper-Funktion übertragbar</w:t>
      </w:r>
    </w:p>
    <w:p>
      <w:r>
        <w:rPr>
          <w:color w:val="5A7D3A"/>
          <w:sz w:val="18"/>
        </w:rPr>
        <w:t>https://pubmed.ncbi.nlm.nih.gov/42879300/</w:t>
      </w:r>
    </w:p>
    <w:p>
      <w:pPr>
        <w:pStyle w:val="Heading2"/>
      </w:pPr>
      <w:r>
        <w:t>Kardiovaskuläre Gesundheit und Nierenversagen: Life's Essential 8 als Risikofaktor</w:t>
      </w:r>
    </w:p>
    <w:p>
      <w:r>
        <w:rPr>
          <w:i/>
          <w:color w:val="666666"/>
          <w:sz w:val="18"/>
        </w:rPr>
        <w:t>Ma C et al.  ·  Clin J Am Soc Nephrol  ·  15.10.2026  ·  PMID 42879211</w:t>
      </w:r>
    </w:p>
    <w:p>
      <w:r>
        <w:t>Prospektive Kohortenstudie zur Assoziation zwischen Life's Essential 8 (CVH-Metrik) und Inzidenz von Nierenersatztherapie-Bedürftigkeit (ESKD) in 276.494 Biobank-Teilnehmern.</w:t>
      </w:r>
    </w:p>
    <w:p>
      <w:r>
        <w:rPr>
          <w:b/>
        </w:rPr>
        <w:t xml:space="preserve">Ergebnis: </w:t>
      </w:r>
      <w:r>
        <w:t>Jeder 10-Punkte-Rückgang im LE8-Score erhöhte ESKD-Risiko (HR 1,47; 95%-KI 1,34–1,60). Niedriger LE8 war mit über fünffach erhöhtem Risiko assoziiert (HR 5,57; 95%-KI 3,42–9,07) vs. hohem LE8. Blutdruck und Blutglukose hatten größte populationsattribuierbare Fraktionen.</w:t>
      </w:r>
    </w:p>
    <w:p>
      <w:r>
        <w:rPr>
          <w:b/>
          <w:sz w:val="19"/>
        </w:rPr>
        <w:t xml:space="preserve">Übertragbarkeit: </w:t>
      </w:r>
      <w:r>
        <w:rPr>
          <w:sz w:val="19"/>
        </w:rPr>
        <w:t>UK-Daten; Primärversorgung und präventive Ansätze übertragbar</w:t>
      </w:r>
    </w:p>
    <w:p>
      <w:r>
        <w:rPr>
          <w:color w:val="5A7D3A"/>
          <w:sz w:val="18"/>
        </w:rPr>
        <w:t>https://pubmed.ncbi.nlm.nih.gov/42879211/</w:t>
      </w:r>
    </w:p>
    <w:p>
      <w:pPr>
        <w:pStyle w:val="Heading2"/>
      </w:pPr>
      <w:r>
        <w:t>Validität von EQ-5D-5L und EQ-HWB-9 zur Messung von Carer-Outcomes in gesundheitsökonomischen Evaluationen</w:t>
      </w:r>
    </w:p>
    <w:p>
      <w:r>
        <w:rPr>
          <w:i/>
          <w:color w:val="666666"/>
          <w:sz w:val="18"/>
        </w:rPr>
        <w:t>Faller J et al.  ·  Qual Life Res  ·  15.10.2026  ·  PMID 42879005</w:t>
      </w:r>
    </w:p>
    <w:p>
      <w:r>
        <w:t>Psychometrische Bewertung zweier Nutzen-Messinstrumente (EQ-5D-5L, EQ-HWB-9) bei 6.743 pflegenden Angehörigen aus fünf englischsprachigen Ländern.</w:t>
      </w:r>
    </w:p>
    <w:p>
      <w:r>
        <w:rPr>
          <w:b/>
        </w:rPr>
        <w:t xml:space="preserve">Ergebnis: </w:t>
      </w:r>
      <w:r>
        <w:t>EQ-5D-5L zeigte Deckeneffekt (19%), EQ-HWB-9 nicht (5%). Beide Instrumente korrelieren moderat mit WHO-5, PROMIS-10 und anderen Validierungsinstrumenten und zeigten Known-Group-Validität. EQ-HWB-9 erfasst breiteres Spektrum der Carer-Belastung.</w:t>
      </w:r>
    </w:p>
    <w:p>
      <w:r>
        <w:rPr>
          <w:b/>
          <w:sz w:val="19"/>
        </w:rPr>
        <w:t xml:space="preserve">Übertragbarkeit: </w:t>
      </w:r>
      <w:r>
        <w:rPr>
          <w:sz w:val="19"/>
        </w:rPr>
        <w:t>Multi-nationale Studie mit deutschsprachigen Ländern; ökonomische Evaluationen übertragbar</w:t>
      </w:r>
    </w:p>
    <w:p>
      <w:r>
        <w:rPr>
          <w:color w:val="5A7D3A"/>
          <w:sz w:val="18"/>
        </w:rPr>
        <w:t>https://pubmed.ncbi.nlm.nih.gov/42879005/</w:t>
      </w:r>
    </w:p>
    <w:p>
      <w:pPr>
        <w:pStyle w:val="Heading2"/>
      </w:pPr>
      <w:r>
        <w:t>Psychische Gesundheit von Ärzten und Pflegepersonen in der Ukraine während des Krieges</w:t>
      </w:r>
    </w:p>
    <w:p>
      <w:r>
        <w:rPr>
          <w:i/>
          <w:color w:val="666666"/>
          <w:sz w:val="18"/>
        </w:rPr>
        <w:t>Arrona Gómez VA et al.  ·  Br J Psychiatry  ·  15.10.2026  ·  PMID 42876069</w:t>
      </w:r>
    </w:p>
    <w:p>
      <w:r>
        <w:t>Landesweite Cross-sectional-Befragung von 23.805 Ärzten und Pflegepersonen zur Prävalenz von Depression, Angststörungen und suizidalen Gedanken sowie Assoziation mit Arbeitsplatzrisiken (Gewalt, Mobbing).</w:t>
      </w:r>
    </w:p>
    <w:p>
      <w:r>
        <w:rPr>
          <w:b/>
        </w:rPr>
        <w:t xml:space="preserve">Ergebnis: </w:t>
      </w:r>
      <w:r>
        <w:t>1 von 3 Ärzten und 1 von 4 Pflegepersonen berichteten Depressionssymptome; 1 von 4 Ärzte und 1 von 6 Pfleger Angstsymptome; ~1 von 10 suizidale Gedanken. Mobbing am stärksten mit Depression/Angst assoziiert (alle P&lt;0,001), physische Gewalt mit suizidalen Gedanken. Sinnvolle Arbeit schützend.</w:t>
      </w:r>
    </w:p>
    <w:p>
      <w:r>
        <w:rPr>
          <w:b/>
          <w:sz w:val="19"/>
        </w:rPr>
        <w:t xml:space="preserve">Übertragbarkeit: </w:t>
      </w:r>
      <w:r>
        <w:rPr>
          <w:sz w:val="19"/>
        </w:rPr>
        <w:t>Ukraine-Daten, Fragenstellung aber zu Workforce-Wohlbefinden systemunabhängig relevant</w:t>
      </w:r>
    </w:p>
    <w:p>
      <w:r>
        <w:rPr>
          <w:color w:val="5A7D3A"/>
          <w:sz w:val="18"/>
        </w:rPr>
        <w:t>https://pubmed.ncbi.nlm.nih.gov/42876069/</w:t>
      </w:r>
    </w:p>
    <w:p>
      <w:pPr>
        <w:pStyle w:val="Heading2"/>
      </w:pPr>
      <w:r>
        <w:t>Generative-AI-Nutzung bei älteren Menschen mit Multimorbidität: qualitative Analyse von Barrieren und Chancen</w:t>
      </w:r>
    </w:p>
    <w:p>
      <w:r>
        <w:rPr>
          <w:i/>
          <w:color w:val="666666"/>
          <w:sz w:val="18"/>
        </w:rPr>
        <w:t>Lin Q et al.  ·  BMC Health Serv Res  ·  23.07.2026  ·  PMID 42875768</w:t>
      </w:r>
    </w:p>
    <w:p>
      <w:r>
        <w:t>Qualitative Studie mit 16 semistrukturierten Interviews zu Erfahrungen älterer Menschen mit Multimorbidität bei der Nutzung von Generative-AI-Tools für Gesundheitsentscheidungen in China.</w:t>
      </w:r>
    </w:p>
    <w:p>
      <w:r>
        <w:rPr>
          <w:b/>
        </w:rPr>
        <w:t xml:space="preserve">Ergebnis: </w:t>
      </w:r>
      <w:r>
        <w:t>Vier Themen: (1) Wahrgenommener Nutzen (Informationszugang, integrierte Unterstützung, Entscheidungssicherheit); (2) Ease-of-Use mit großen individuellen Unterschieden; (3) Notwendigkeit von Ressourcenmobilisierung (soziale Unterstützung, technische Hilfe); (4) Dynamische, nicht-lineare Nutzungsmuster (Versuche, Unterbrechnungen, Wiederaufnahme oder Abbruch) statt einfache Adoption.</w:t>
      </w:r>
    </w:p>
    <w:p>
      <w:r>
        <w:rPr>
          <w:b/>
          <w:sz w:val="19"/>
        </w:rPr>
        <w:t xml:space="preserve">Übertragbarkeit: </w:t>
      </w:r>
      <w:r>
        <w:rPr>
          <w:sz w:val="19"/>
        </w:rPr>
        <w:t>China-Studie; Fragen zur technologischen Inklusion und Digital-Divide bei älteren Menschen relevant</w:t>
      </w:r>
    </w:p>
    <w:p>
      <w:r>
        <w:rPr>
          <w:color w:val="5A7D3A"/>
          <w:sz w:val="18"/>
        </w:rPr>
        <w:t>https://pubmed.ncbi.nlm.nih.gov/42875768/</w:t>
      </w:r>
    </w:p>
    <w:p>
      <w:pPr>
        <w:pStyle w:val="Heading2"/>
      </w:pPr>
      <w:r>
        <w:t>Hausarztbeteiligung in der onkologischen Nachsorge: Studienprotokoll zur mixed-methods-Analyse</w:t>
      </w:r>
    </w:p>
    <w:p>
      <w:r>
        <w:rPr>
          <w:i/>
          <w:color w:val="666666"/>
          <w:sz w:val="18"/>
        </w:rPr>
        <w:t>van Baal K et al.  ·  BMC Prim Care  ·  13.10.2026  ·  PMID 42875748</w:t>
      </w:r>
    </w:p>
    <w:p>
      <w:r>
        <w:t>Studienprotokoll zur Untersuchung der Hausarzt-Beteiligung in der onkologischen Nachsorge in Deutschland mittels Routinedaten, Surveys und qualitativen Interviews.</w:t>
      </w:r>
    </w:p>
    <w:p>
      <w:r>
        <w:rPr>
          <w:b/>
        </w:rPr>
        <w:t xml:space="preserve">Ergebnis: </w:t>
      </w:r>
      <w:r>
        <w:t>Geplante Analyse von AOK-Routinedaten und Niedersächsischem Krebsregister, Befragung von 300+ Hausärzten und Onkologen, 30 Patienteninterviews sowie Expert-Workshop zur Konsensfindung für strukturierte Empfehlungen.</w:t>
      </w:r>
    </w:p>
    <w:p>
      <w:r>
        <w:rPr>
          <w:b/>
          <w:sz w:val="19"/>
        </w:rPr>
        <w:t xml:space="preserve">Übertragbarkeit: </w:t>
      </w:r>
      <w:r>
        <w:rPr>
          <w:sz w:val="19"/>
        </w:rPr>
        <w:t>Deutsche Studie mit deutschem Versorgungssystem; direkt auf deutsche Versorgung übertragbar</w:t>
      </w:r>
    </w:p>
    <w:p>
      <w:r>
        <w:rPr>
          <w:color w:val="5A7D3A"/>
          <w:sz w:val="18"/>
        </w:rPr>
        <w:t>https://pubmed.ncbi.nlm.nih.gov/42875748/</w:t>
      </w:r>
    </w:p>
    <w:p>
      <w:pPr>
        <w:pStyle w:val="Heading1"/>
      </w:pPr>
      <w:r>
        <w:t>Aufgenommen am 18.10.2026</w:t>
      </w:r>
    </w:p>
    <w:p>
      <w:pPr>
        <w:pStyle w:val="Heading2"/>
      </w:pPr>
      <w:r>
        <w:t>Enzalutamid bei metastatischem hormonsensitivem Prostatakarzinom: Kosteneffektivitätsanalyse</w:t>
      </w:r>
    </w:p>
    <w:p>
      <w:r>
        <w:rPr>
          <w:i/>
          <w:color w:val="666666"/>
          <w:sz w:val="18"/>
        </w:rPr>
        <w:t>Law CK et al.  ·  EClinicalMedicine  ·  05.10.2026  ·  PMID 42890411</w:t>
      </w:r>
    </w:p>
    <w:p>
      <w:r>
        <w:t>Australische within-trial-Kosteneffektivitätsanalyse der ENZAMET-Studie verglich Enzalutamid plus Testosteronsuppression mit Standard-Nicht-Steroiden für Patienten mit metastatischem hormonsensitivem Prostatakarzinom über 60 Monate.</w:t>
      </w:r>
    </w:p>
    <w:p>
      <w:r>
        <w:rPr>
          <w:b/>
        </w:rPr>
        <w:t xml:space="preserve">Ergebnis: </w:t>
      </w:r>
      <w:r>
        <w:t>Enzalutamid führte zu AUD 127.262 zusätzlichen Kosten pro Patient, 0,24 Lebensjahren und 0,15 QALYs-Gewinn; ICER AUD 835.580 pro QALY. Kosteneffizienz nur bei Kaufpreis von AUD 6,73 pro Tablette erreichbar (Schwellenwert AUD 50.000/QALY). Erhöhte Hospitalisierungen und Muskel-Skelett-Medikationen in Enzalutamid-Gruppe.</w:t>
      </w:r>
    </w:p>
    <w:p>
      <w:r>
        <w:rPr>
          <w:b/>
          <w:sz w:val="19"/>
        </w:rPr>
        <w:t xml:space="preserve">Übertragbarkeit: </w:t>
      </w:r>
      <w:r>
        <w:rPr>
          <w:sz w:val="19"/>
        </w:rPr>
        <w:t>Australisches Gesundheitssystem, aber Analyse-Methodik auf deutsches System übertragbar.</w:t>
      </w:r>
    </w:p>
    <w:p>
      <w:r>
        <w:rPr>
          <w:color w:val="5A7D3A"/>
          <w:sz w:val="18"/>
        </w:rPr>
        <w:t>https://pubmed.ncbi.nlm.nih.gov/42890411/</w:t>
      </w:r>
    </w:p>
    <w:p>
      <w:pPr>
        <w:pStyle w:val="Heading2"/>
      </w:pPr>
      <w:r>
        <w:t>Nutzen von klinischen Qualitätsregistern: Governance und Systemintegration</w:t>
      </w:r>
    </w:p>
    <w:p>
      <w:r>
        <w:rPr>
          <w:i/>
          <w:color w:val="666666"/>
          <w:sz w:val="18"/>
        </w:rPr>
        <w:t>Bessen T et al.  ·  Med J Aust  ·  Okt. 2026  ·  PMID 42888857</w:t>
      </w:r>
    </w:p>
    <w:p>
      <w:r>
        <w:t>Konferenzbeitrag diskutiert, wie klinische Qualitätsregister (CQRs) zur Qualitätsverbesserung in Gesundheitssystemen beitragen und beschreibt Organizational-Infrastructure-Elemente für Systemintegration.</w:t>
      </w:r>
    </w:p>
    <w:p>
      <w:r>
        <w:rPr>
          <w:b/>
        </w:rPr>
        <w:t xml:space="preserve">Ergebnis: </w:t>
      </w:r>
      <w:r>
        <w:t>CQRs erfassen systematisch Sicherheits- und Qualitätsdaten mit Risikoanpassung und Benchmarking; Daten treiben Qualitätsverbesserungen. Zentrale Erkenntnis: Daten bleiben oft in Facheinheiten statt Organisation/System-weit integriert. Erforderlich: Governance-Infrastruktur zur Systemintegration auf Gesundheits- und Behördenebene.</w:t>
      </w:r>
    </w:p>
    <w:p>
      <w:r>
        <w:rPr>
          <w:b/>
          <w:sz w:val="19"/>
        </w:rPr>
        <w:t xml:space="preserve">Übertragbarkeit: </w:t>
      </w:r>
      <w:r>
        <w:rPr>
          <w:sz w:val="19"/>
        </w:rPr>
        <w:t>Australien; Registries-Governance-Ansätze auf deutsches Qualitätsmanagement übertragbar.</w:t>
      </w:r>
    </w:p>
    <w:p>
      <w:r>
        <w:rPr>
          <w:color w:val="5A7D3A"/>
          <w:sz w:val="18"/>
        </w:rPr>
        <w:t>https://pubmed.ncbi.nlm.nih.gov/42888857/</w:t>
      </w:r>
    </w:p>
    <w:p>
      <w:pPr>
        <w:pStyle w:val="Heading2"/>
      </w:pPr>
      <w:r>
        <w:t>Wartezeiten und Verzögerungen bei Kopf-Hals-Krebs in England</w:t>
      </w:r>
    </w:p>
    <w:p>
      <w:r>
        <w:rPr>
          <w:i/>
          <w:color w:val="666666"/>
          <w:sz w:val="18"/>
        </w:rPr>
        <w:t>Jashek-Ahmed F et al.  ·  Br J Cancer  ·  16.10.2026  ·  PMID 42888204</w:t>
      </w:r>
    </w:p>
    <w:p>
      <w:r>
        <w:t>Britische Kohortenstudie mit verlinkten nationalen Datenregistern untersuchte Wartezeiten von Überweisung bis zur ersten Krebsbehandlung (Chirurgie oder Strahlenchemotherapie) bei 30.506 Kopf-Hals-Karzinom-Patienten.</w:t>
      </w:r>
    </w:p>
    <w:p>
      <w:r>
        <w:rPr>
          <w:b/>
        </w:rPr>
        <w:t xml:space="preserve">Ergebnis: </w:t>
      </w:r>
      <w:r>
        <w:t>43 % erlebten Behandlungsverzögerung (&gt;62 Tage), 11 % bei Chirurgie und 20 % bei (Chemo-)Strahlung &gt;90 Tage. Nicht-dringende Überweisung (30 % der Patienten) war stärkster Prädiktor für lange Verzögerung (aOR 4,07; 95 %-KI 3,54–4,68). Zusätzliche Risikofaktoren: initiale Bewertung in Nicht-Spezialist-Kliniken, Non-Oropharynx-Karzinome, höhere Deprivation.</w:t>
      </w:r>
    </w:p>
    <w:p>
      <w:r>
        <w:rPr>
          <w:b/>
          <w:sz w:val="19"/>
        </w:rPr>
        <w:t xml:space="preserve">Übertragbarkeit: </w:t>
      </w:r>
      <w:r>
        <w:rPr>
          <w:sz w:val="19"/>
        </w:rPr>
        <w:t>England, NHS-System; Methodik zu Zugangssteuerung begrenzt übertragbar auf Deutschland.</w:t>
      </w:r>
    </w:p>
    <w:p>
      <w:r>
        <w:rPr>
          <w:color w:val="5A7D3A"/>
          <w:sz w:val="18"/>
        </w:rPr>
        <w:t>https://pubmed.ncbi.nlm.nih.gov/42888204/</w:t>
      </w:r>
    </w:p>
    <w:p>
      <w:pPr>
        <w:pStyle w:val="Heading2"/>
      </w:pPr>
      <w:r>
        <w:t>Zugang zu Versorgung bei Niereninsuffizienz: Sicht von Medicare-Advantage-Organisationen</w:t>
      </w:r>
    </w:p>
    <w:p>
      <w:r>
        <w:rPr>
          <w:i/>
          <w:color w:val="666666"/>
          <w:sz w:val="18"/>
        </w:rPr>
        <w:t>Tyler DA et al.  ·  Health Serv Res  ·  Okt. 2026  ·  PMID 42888180</w:t>
      </w:r>
    </w:p>
    <w:p>
      <w:r>
        <w:t>Qualitative Studie mit 56 Teilnehmern aus 8 Medicare-Advantage-Plänen, 6 Dialyse- und 5 Nierenbetreu-Unternehmen in den USA untersuchte Perspektiven zum Versorgungszugang nach Medicare-Advantage-Einschreibung bei Dialysepatienten.</w:t>
      </w:r>
    </w:p>
    <w:p>
      <w:r>
        <w:rPr>
          <w:b/>
        </w:rPr>
        <w:t xml:space="preserve">Ergebnis: </w:t>
      </w:r>
      <w:r>
        <w:t>Perspektiven differieren nach Organisation und Mitarbeiter-Funktion. MA-Plankvertreter berichten keine Zugangsbarrieren zu Dialyse; kleine Dialyse-Anbieter berichten Patienten-Fahrtweite zu In-Network-Einrichtungen. Informationen über Netzwerkbeschränkungen für Spezialisten oft nicht Patienten-bewusst. MA wählt ‚Centers of Excellence', andere berichten Transplant-Zugangs-Behinderung. Zusatzleistungen von Exekutive betont, von Frontline-Personal als begrenzt berichtet.</w:t>
      </w:r>
    </w:p>
    <w:p>
      <w:r>
        <w:rPr>
          <w:b/>
          <w:sz w:val="19"/>
        </w:rPr>
        <w:t xml:space="preserve">Übertragbarkeit: </w:t>
      </w:r>
      <w:r>
        <w:rPr>
          <w:sz w:val="19"/>
        </w:rPr>
        <w:t>USA; stark systemabhängig von Medicare-Struktur, begrenzte Übertragbarkeit.</w:t>
      </w:r>
    </w:p>
    <w:p>
      <w:r>
        <w:rPr>
          <w:color w:val="5A7D3A"/>
          <w:sz w:val="18"/>
        </w:rPr>
        <w:t>https://pubmed.ncbi.nlm.nih.gov/42888180/</w:t>
      </w:r>
    </w:p>
    <w:p>
      <w:pPr>
        <w:pStyle w:val="Heading2"/>
      </w:pPr>
      <w:r>
        <w:t>Konsensusdefinition schwere COPD: internationale Delphi-Studie</w:t>
      </w:r>
    </w:p>
    <w:p>
      <w:r>
        <w:rPr>
          <w:i/>
          <w:color w:val="666666"/>
          <w:sz w:val="18"/>
        </w:rPr>
        <w:t>Melles MC et al.  ·  Ann Am Thorac Soc  ·  16.10.2026  ·  PMID 42885566</w:t>
      </w:r>
    </w:p>
    <w:p>
      <w:r>
        <w:t>Internationale modifizierte Delphi-Studie mit 55 COPD-Experten entwickelte Konsensusdefinition und minimales Diagnose-Set für schwere COPD sowie notwendige Arbeitsvorgänge.</w:t>
      </w:r>
    </w:p>
    <w:p>
      <w:r>
        <w:rPr>
          <w:b/>
        </w:rPr>
        <w:t xml:space="preserve">Ergebnis: </w:t>
      </w:r>
      <w:r>
        <w:t>Konsens in 46 von 67 Aussagen (Runde 1, 69 %) und 15 von 20 (Runde 2, 75 %). Schwere COPD definiert als persistierende Symptome/Funktionsbeeinträchtigung trotz optimaler Therapie mit mindestens einem Merkmal: schwere Atemwegsobstruktion, schwere Diffusionsstörung, schwere Überblähung, häufige Exazerbationen, chronische Ateminsuffizienz, pulmonale Hypertonie oder Kachexie. Standardisiertes Workup inkl. Patient-Reported Outcomes, Exazerbationen, Lungenfunktion, Blutgase, Imaging, kardiale Bewertung, Belastungstestung.</w:t>
      </w:r>
    </w:p>
    <w:p>
      <w:r>
        <w:rPr>
          <w:b/>
          <w:sz w:val="19"/>
        </w:rPr>
        <w:t xml:space="preserve">Übertragbarkeit: </w:t>
      </w:r>
      <w:r>
        <w:rPr>
          <w:sz w:val="19"/>
        </w:rPr>
        <w:t>Internationale Konsensus-Studie mit 55 Experten; Definitionen für deutsches Versorgungssystem relevant.</w:t>
      </w:r>
    </w:p>
    <w:p>
      <w:r>
        <w:rPr>
          <w:color w:val="5A7D3A"/>
          <w:sz w:val="18"/>
        </w:rPr>
        <w:t>https://pubmed.ncbi.nlm.nih.gov/42885566/</w:t>
      </w:r>
    </w:p>
    <w:p>
      <w:pPr>
        <w:pStyle w:val="Heading2"/>
      </w:pPr>
      <w:r>
        <w:t>Social-Media-Nutzung und Angststörungen bei Gesundheitsmitarbeitern in COVID-19</w:t>
      </w:r>
    </w:p>
    <w:p>
      <w:r>
        <w:rPr>
          <w:i/>
          <w:color w:val="666666"/>
          <w:sz w:val="18"/>
        </w:rPr>
        <w:t>Powell M et al.  ·  J Med Internet Res  ·  15.10.2026  ·  PMID 42879747</w:t>
      </w:r>
    </w:p>
    <w:p>
      <w:r>
        <w:t>Sekundäranalyse der UC-COVID-Studie 2021 mit 427 Gesundheitsmitarbeitern untersuchte Assoziationen zwischen Social-Media-Nutzung über mehrere Plattformen und Angst-Symptomen während Pandemie.</w:t>
      </w:r>
    </w:p>
    <w:p>
      <w:r>
        <w:rPr>
          <w:b/>
        </w:rPr>
        <w:t xml:space="preserve">Ergebnis: </w:t>
      </w:r>
      <w:r>
        <w:t>29 % berichteten klinisch relevante Angststörungen (GAD-2 ≥3). Höhere Social-Media-Nutzung signifikant mit Angst assoziiert (OR 1,77; 95 %-KI 1,15–2,73). Älteres Alter reduzierte Angststörungen (aOR 0,97; 95 %-KI 0,95–0,99). Psychische-Anamnese erhöhte Angststörungen (aOR 2,33; 95 %-KI 1,35–4,03). Nicht-hispanische Asiaten weniger Angststörungen (aOR 0,39; KI 0,19–0,80). Höheres Einkommen reduzierte Angststörungen (aOR 0,51; KI 0,30–0,87).</w:t>
      </w:r>
    </w:p>
    <w:p>
      <w:r>
        <w:rPr>
          <w:b/>
          <w:sz w:val="19"/>
        </w:rPr>
        <w:t xml:space="preserve">Übertragbarkeit: </w:t>
      </w:r>
      <w:r>
        <w:rPr>
          <w:sz w:val="19"/>
        </w:rPr>
        <w:t>USA-Daten; Fragestellung zu Gesundheitsmitarbeiter-Psyche systemunabhängig relevant.</w:t>
      </w:r>
    </w:p>
    <w:p>
      <w:r>
        <w:rPr>
          <w:color w:val="5A7D3A"/>
          <w:sz w:val="18"/>
        </w:rPr>
        <w:t>https://pubmed.ncbi.nlm.nih.gov/42879747/</w:t>
      </w:r>
    </w:p>
    <w:p>
      <w:pPr>
        <w:pStyle w:val="Heading2"/>
      </w:pPr>
      <w:r>
        <w:t>Umsetzung von CVD-Risiko-Vorhersage-Tools in Subsahara-Afrika: Scoping Review</w:t>
      </w:r>
    </w:p>
    <w:p>
      <w:r>
        <w:rPr>
          <w:i/>
          <w:color w:val="666666"/>
          <w:sz w:val="18"/>
        </w:rPr>
        <w:t>Gouws M et al.  ·  BMC Health Serv Res  ·  19.08.2026  ·  PMID 42875763</w:t>
      </w:r>
    </w:p>
    <w:p>
      <w:r>
        <w:t>Systematische Scoping Review zur Implementierung von Kardiovaskulär-Risiko-Vorhersage-Scores in Subsahara-Afrika anhand von 41 Studien aus zehn Ländern; Struktur nach Implementation-Research-Logic-Model.</w:t>
      </w:r>
    </w:p>
    <w:p>
      <w:r>
        <w:rPr>
          <w:b/>
        </w:rPr>
        <w:t xml:space="preserve">Ergebnis: </w:t>
      </w:r>
      <w:r>
        <w:t>Vier Use-Cases identifiziert: ökonomische/Policy-Überlegungen, Screening hohes CVD-Risiko/Überweisung, Risikokommunikation, Behandlung Hochrisiko-Patienten. Häufigste Barrieren: Gesundheitssystem- und Organisations-Herausforderungen. Implementierungs-Strategien fokussieren Task-Shifting, Training, kurzfristige Materialien/Technologie-Unterstützung für Community-Health-Worker. Wenig Evidenz zu Nachhaltigkeits-Strategien in Einrichtungen; Mismatch zwischen Determinanten-Breite und Strategien-Enge.</w:t>
      </w:r>
    </w:p>
    <w:p>
      <w:r>
        <w:rPr>
          <w:b/>
          <w:sz w:val="19"/>
        </w:rPr>
        <w:t xml:space="preserve">Übertragbarkeit: </w:t>
      </w:r>
      <w:r>
        <w:rPr>
          <w:sz w:val="19"/>
        </w:rPr>
        <w:t>Sub-Sahara; systemabhängig von Ressourcenlage, begrenzte Übertragbarkeit auf Deutschland.</w:t>
      </w:r>
    </w:p>
    <w:p>
      <w:r>
        <w:rPr>
          <w:color w:val="5A7D3A"/>
          <w:sz w:val="18"/>
        </w:rPr>
        <w:t>https://pubmed.ncbi.nlm.nih.gov/42875763/</w:t>
      </w:r>
    </w:p>
    <w:p>
      <w:pPr>
        <w:pStyle w:val="Heading1"/>
      </w:pPr>
      <w:r>
        <w:t>Aufgenommen am 17.10.2026</w:t>
      </w:r>
    </w:p>
    <w:p>
      <w:pPr>
        <w:pStyle w:val="Heading2"/>
      </w:pPr>
      <w:r>
        <w:t>ASAS-Kernsatz zur Assessmentierung axialer Spondyloarthritis</w:t>
      </w:r>
    </w:p>
    <w:p>
      <w:r>
        <w:rPr>
          <w:i/>
          <w:color w:val="666666"/>
          <w:sz w:val="18"/>
        </w:rPr>
        <w:t>van Tubergen A et al.  ·  Ann Rheum Dis  ·  16.10.2026  ·  PMID 42888164</w:t>
      </w:r>
    </w:p>
    <w:p>
      <w:r>
        <w:t>Internationale Expertengruppe entwickelte per modifiziertem Delphi-Verfahren einen standardisierten Kernsatz von Assessmentdomänen und -instrumenten für die klinische Praxis.</w:t>
      </w:r>
    </w:p>
    <w:p>
      <w:r>
        <w:rPr>
          <w:b/>
        </w:rPr>
        <w:t xml:space="preserve">Ergebnis: </w:t>
      </w:r>
      <w:r>
        <w:t>Der Kernsatz wurde von der Mehrheit der ASAS-Mitglieder verabschiedet. Fünf Domänen für Routinevisiten (Krankheitsaktivität, Schmerz, periphere Manifestationen, extramuskuloskeletale Manifestationen, Therapieaspekte) mit je mindestens einem empfohlenen Instrument plus vier ergänzende Domänen für erweiterte Visiten (strukturelle Schäden, Funktionsfähigkeit, Komorbiditäten, Mobilität).</w:t>
      </w:r>
    </w:p>
    <w:p>
      <w:r>
        <w:rPr>
          <w:b/>
          <w:sz w:val="19"/>
        </w:rPr>
        <w:t xml:space="preserve">Übertragbarkeit: </w:t>
      </w:r>
      <w:r>
        <w:rPr>
          <w:sz w:val="19"/>
        </w:rPr>
        <w:t>Internationaler Konsens, europäische Beteiligung, deutsches Rheumazentrum beteiligt</w:t>
      </w:r>
    </w:p>
    <w:p>
      <w:r>
        <w:rPr>
          <w:color w:val="5A7D3A"/>
          <w:sz w:val="18"/>
        </w:rPr>
        <w:t>https://pubmed.ncbi.nlm.nih.gov/42888164/</w:t>
      </w:r>
    </w:p>
    <w:p>
      <w:pPr>
        <w:pStyle w:val="Heading2"/>
      </w:pPr>
      <w:r>
        <w:t>Partizipative Forschung mit Betroffenen: Impact und Team-Dynamik</w:t>
      </w:r>
    </w:p>
    <w:p>
      <w:r>
        <w:rPr>
          <w:i/>
          <w:color w:val="666666"/>
          <w:sz w:val="18"/>
        </w:rPr>
        <w:t>Fox J et al.  ·  Health Expect  ·  Okt. 2026  ·  PMID 42886175</w:t>
      </w:r>
    </w:p>
    <w:p>
      <w:r>
        <w:t>Qualitative Fallstudie erforschte über sieben Jahre die Erfahrungen von Forschungsteams und Betroffenen-Panels bei partizipativ durchgeführter Forschung zur Psychoseprävention.</w:t>
      </w:r>
    </w:p>
    <w:p>
      <w:r>
        <w:rPr>
          <w:b/>
        </w:rPr>
        <w:t xml:space="preserve">Ergebnis: </w:t>
      </w:r>
      <w:r>
        <w:t>Vier Hauptthemen: Impact wurde als Lernprozess mit Friktionen beschrieben; Studienteam schätzte Expertise der Betroffenen; Herausforderungen waren mangelnde Schulung zur Partizipation, Wechsel in Panelstruktur, COVID-bedingte Online-Verlagerung und Zweifel an Relevanzbezug. Regelmäßige reflexive Lernprozesse mit offenem Feedback waren zentral für positive Inklusionskultur.</w:t>
      </w:r>
    </w:p>
    <w:p>
      <w:r>
        <w:rPr>
          <w:b/>
          <w:sz w:val="19"/>
        </w:rPr>
        <w:t xml:space="preserve">Übertragbarkeit: </w:t>
      </w:r>
      <w:r>
        <w:rPr>
          <w:sz w:val="19"/>
        </w:rPr>
        <w:t>UK-Studie, Methode aber international übertragbar für Partizipationsforschung</w:t>
      </w:r>
    </w:p>
    <w:p>
      <w:r>
        <w:rPr>
          <w:color w:val="5A7D3A"/>
          <w:sz w:val="18"/>
        </w:rPr>
        <w:t>https://pubmed.ncbi.nlm.nih.gov/42886175/</w:t>
      </w:r>
    </w:p>
    <w:p>
      <w:pPr>
        <w:pStyle w:val="Heading2"/>
      </w:pPr>
      <w:r>
        <w:t>Depressive Symptome und Remission bei Psoriasis-Arthritis</w:t>
      </w:r>
    </w:p>
    <w:p>
      <w:r>
        <w:rPr>
          <w:i/>
          <w:color w:val="666666"/>
          <w:sz w:val="18"/>
        </w:rPr>
        <w:t>Reich A et al.  ·  BMC Rheumatol  ·  14.10.2026  ·  PMID 42881477</w:t>
      </w:r>
    </w:p>
    <w:p>
      <w:r>
        <w:t>Deutsche Registerstudie untersuchte die Assoziation depressiver Symptome mit Remissionserreichung bei Patienten mit Psoriasis-Arthritis unter systemischer Therapie.</w:t>
      </w:r>
    </w:p>
    <w:p>
      <w:r>
        <w:rPr>
          <w:b/>
        </w:rPr>
        <w:t xml:space="preserve">Ergebnis: </w:t>
      </w:r>
      <w:r>
        <w:t>29 % der 1.888 Patienten berichteten moderate/schwere depressive Symptome (34 % Frauen, 23 % Männer). Höheres Wohlbefinden war mit Remission assoziiert (OR 1,06–1,14 pro 10-Punkt-Steigerung). Beide Geschlechter mit moderaten/schweren Symptomen erreichten Minimal Disease Activity und DAPSA-Remission weniger häufig; die Assoziation unterschied sich nicht signifikant nach Geschlecht.</w:t>
      </w:r>
    </w:p>
    <w:p>
      <w:r>
        <w:rPr>
          <w:b/>
          <w:sz w:val="19"/>
        </w:rPr>
        <w:t xml:space="preserve">Übertragbarkeit: </w:t>
      </w:r>
      <w:r>
        <w:rPr>
          <w:sz w:val="19"/>
        </w:rPr>
        <w:t>Deutsche Routinedaten, ambulante rheumatologische Praxis</w:t>
      </w:r>
    </w:p>
    <w:p>
      <w:r>
        <w:rPr>
          <w:color w:val="5A7D3A"/>
          <w:sz w:val="18"/>
        </w:rPr>
        <w:t>https://pubmed.ncbi.nlm.nih.gov/42881477/</w:t>
      </w:r>
    </w:p>
    <w:p>
      <w:pPr>
        <w:pStyle w:val="Heading2"/>
      </w:pPr>
      <w:r>
        <w:t>Belastung von Eltern als Pflegende bei seltenen Kindererkrankungen</w:t>
      </w:r>
    </w:p>
    <w:p>
      <w:r>
        <w:rPr>
          <w:i/>
          <w:color w:val="666666"/>
          <w:sz w:val="18"/>
        </w:rPr>
        <w:t>Brandt M et al.  ·  Orphanet J Rare Dis  ·  12.10.2026  ·  PMID 42881418</w:t>
      </w:r>
    </w:p>
    <w:p>
      <w:r>
        <w:t>Deutsche Querschnittstudie untersuchte Pflegbelastung bei 123 Eltern von Kindern mit seltenen Erkrankungen und identifizierte assoziierte Faktoren.</w:t>
      </w:r>
    </w:p>
    <w:p>
      <w:r>
        <w:rPr>
          <w:b/>
        </w:rPr>
        <w:t xml:space="preserve">Ergebnis: </w:t>
      </w:r>
      <w:r>
        <w:t>23 % berichteten depressive Symptome, 77 % mindestens einen unerfüllten Unterstützungsbedarf. Bei Kindern mit Pflegebedarf: 24 % mit hoher Pflegbelastung. Nach Adjustierung für multiple Tests zeigten sich bei niedrigerer pflegbezogener Lebensqualität, höherer Sozioökonomie, elterlichen depressiven Symptomen und niedriger Therapiezufriedenheit stärkste Assoziationen mit Pflegbelastung.</w:t>
      </w:r>
    </w:p>
    <w:p>
      <w:r>
        <w:rPr>
          <w:b/>
          <w:sz w:val="19"/>
        </w:rPr>
        <w:t xml:space="preserve">Übertragbarkeit: </w:t>
      </w:r>
      <w:r>
        <w:rPr>
          <w:sz w:val="19"/>
        </w:rPr>
        <w:t>Deutsche Studie, spezialisierte Zentren und Patientenorganisationen</w:t>
      </w:r>
    </w:p>
    <w:p>
      <w:r>
        <w:rPr>
          <w:color w:val="5A7D3A"/>
          <w:sz w:val="18"/>
        </w:rPr>
        <w:t>https://pubmed.ncbi.nlm.nih.gov/42881418/</w:t>
      </w:r>
    </w:p>
    <w:p>
      <w:pPr>
        <w:pStyle w:val="Heading2"/>
      </w:pPr>
      <w:r>
        <w:t>Gesundheitskompetenz und Gesundheit bei Pflegestudierenden</w:t>
      </w:r>
    </w:p>
    <w:p>
      <w:r>
        <w:rPr>
          <w:i/>
          <w:color w:val="666666"/>
          <w:sz w:val="18"/>
        </w:rPr>
        <w:t>Otto R et al.  ·  Front Med (Lausanne)  ·  30.09.2026  ·  PMID 42876879</w:t>
      </w:r>
    </w:p>
    <w:p>
      <w:r>
        <w:t>Longitudinale deutsche Kohortenstudie verfolgten 128 Auszubildende und 43 Studierende im Pflegebereich über ein Jahr und untersuchten Gesundheitskompetenz, Gesundheitsstatus und Gesundheitsverhalten.</w:t>
      </w:r>
    </w:p>
    <w:p>
      <w:r>
        <w:rPr>
          <w:b/>
        </w:rPr>
        <w:t xml:space="preserve">Ergebnis: </w:t>
      </w:r>
      <w:r>
        <w:t>Durchschnittliche Gesundheitskompetenzscores blieben stabil, zeigten aber heterogene individuelle Veränderungen. BMI stieg signifikant an. Selbstbewerteter Gesundheitsstatus verschlechterte sich bei Auszubildenden signifikant. Raucherquote stieg signifikant an, andere Gesundheitsverhalten blieben unverändert. Keine signifikanten Assoziationen zwischen Baseline-Gesundheitskompetenz und späteren Outcomes oder Verhalten.</w:t>
      </w:r>
    </w:p>
    <w:p>
      <w:r>
        <w:rPr>
          <w:b/>
          <w:sz w:val="19"/>
        </w:rPr>
        <w:t xml:space="preserve">Übertragbarkeit: </w:t>
      </w:r>
      <w:r>
        <w:rPr>
          <w:sz w:val="19"/>
        </w:rPr>
        <w:t>Deutsche Studie, Unterricht und Ausbildungssetting</w:t>
      </w:r>
    </w:p>
    <w:p>
      <w:r>
        <w:rPr>
          <w:color w:val="5A7D3A"/>
          <w:sz w:val="18"/>
        </w:rPr>
        <w:t>https://pubmed.ncbi.nlm.nih.gov/42876879/</w:t>
      </w:r>
    </w:p>
    <w:p>
      <w:pPr>
        <w:pStyle w:val="Heading2"/>
      </w:pPr>
      <w:r>
        <w:t>Technische Effizienz öffentlicher Gesundheitseinrichtungen</w:t>
      </w:r>
    </w:p>
    <w:p>
      <w:r>
        <w:rPr>
          <w:i/>
          <w:color w:val="666666"/>
          <w:sz w:val="18"/>
        </w:rPr>
        <w:t>Momina AU et al.  ·  BMC Health Serv Res  ·  13.10.2026  ·  PMID 42870268</w:t>
      </w:r>
    </w:p>
    <w:p>
      <w:r>
        <w:t>Datenabgrenzungsanalyse evaluierte die technische Effizienz von 100 öffentlichen Gesundheitseinrichtungen in Pakistan bei der Familienplanungsversorgung.</w:t>
      </w:r>
    </w:p>
    <w:p>
      <w:r>
        <w:rPr>
          <w:b/>
        </w:rPr>
        <w:t xml:space="preserve">Ergebnis: </w:t>
      </w:r>
      <w:r>
        <w:t>Die durchschnittliche Effizienzquote betrug 78 %. Basic Health Units und Rural Health Centers zeigten erhebliche Ressourcenoptimierungslücken. Eine negative Assoziation bestand zwischen der Anzahl alternativer Anbieter im Einzugsgebiet und der Effizienz, was die Bedeutung der Angebotsorientierung nach lokaler Nachfrage unterstreicht.</w:t>
      </w:r>
    </w:p>
    <w:p>
      <w:r>
        <w:rPr>
          <w:b/>
          <w:sz w:val="19"/>
        </w:rPr>
        <w:t xml:space="preserve">Übertragbarkeit: </w:t>
      </w:r>
      <w:r>
        <w:rPr>
          <w:sz w:val="19"/>
        </w:rPr>
        <w:t>Nur bedingt: andere Ressourcenlage, Gesundheitssystem-Kontext unterscheidet sich grundlegend</w:t>
      </w:r>
    </w:p>
    <w:p>
      <w:r>
        <w:rPr>
          <w:color w:val="5A7D3A"/>
          <w:sz w:val="18"/>
        </w:rPr>
        <w:t>https://pubmed.ncbi.nlm.nih.gov/42870268/</w:t>
      </w:r>
    </w:p>
    <w:p>
      <w:pPr>
        <w:pStyle w:val="Heading1"/>
      </w:pPr>
      <w:r>
        <w:t>Aufgenommen am 16.10.2026</w:t>
      </w:r>
    </w:p>
    <w:p>
      <w:pPr>
        <w:pStyle w:val="Heading2"/>
      </w:pPr>
      <w:r>
        <w:t>Medizinische Kunstfehlerfälle in Katalonien: 22 Jahre Trends</w:t>
      </w:r>
    </w:p>
    <w:p>
      <w:r>
        <w:rPr>
          <w:i/>
          <w:color w:val="666666"/>
          <w:sz w:val="18"/>
        </w:rPr>
        <w:t>Arimany-Manso J et al.  ·  Health Policy  ·  13.10.2026  ·  PMID 42879821</w:t>
      </w:r>
    </w:p>
    <w:p>
      <w:r>
        <w:t>Retrospektive Analyse von 22 Jahren Kunstfehlermeldungen im katalanischen Versicherungssystem mit Fokus auf Trends und Unterschiede zwischen Fachbereichen.</w:t>
      </w:r>
    </w:p>
    <w:p>
      <w:r>
        <w:rPr>
          <w:b/>
        </w:rPr>
        <w:t xml:space="preserve">Ergebnis: </w:t>
      </w:r>
      <w:r>
        <w:t>Bei 22 % Bevölkerungswachstum sanken Kunstfehlerfälle um 9,5 %, adjustierte Raten sogar um 26,1 % (p &lt; 0,0005). Chirurgische Fälle fielen um 34,0 %, Notfallmedizin um 20,5 %; mittlere Latenz zwischen Ereignis und Anspruch: 23,9 Monate. Dies widerspricht der Wahrnehmung steigender Fälle.</w:t>
      </w:r>
    </w:p>
    <w:p>
      <w:r>
        <w:rPr>
          <w:b/>
          <w:sz w:val="19"/>
        </w:rPr>
        <w:t xml:space="preserve">Übertragbarkeit: </w:t>
      </w:r>
      <w:r>
        <w:rPr>
          <w:sz w:val="19"/>
        </w:rPr>
        <w:t>Katalonisches Versicherungsmodell, vergleichbar mit deutschen Strukturen und Sozialversicherungen</w:t>
      </w:r>
    </w:p>
    <w:p>
      <w:r>
        <w:rPr>
          <w:color w:val="5A7D3A"/>
          <w:sz w:val="18"/>
        </w:rPr>
        <w:t>https://pubmed.ncbi.nlm.nih.gov/42879821/</w:t>
      </w:r>
    </w:p>
    <w:p>
      <w:pPr>
        <w:pStyle w:val="Heading2"/>
      </w:pPr>
      <w:r>
        <w:t>Langzeiteffekte von Community-Screening auf kardiovaskuläres Risiko und Verhalten</w:t>
      </w:r>
    </w:p>
    <w:p>
      <w:r>
        <w:rPr>
          <w:i/>
          <w:color w:val="666666"/>
          <w:sz w:val="18"/>
        </w:rPr>
        <w:t>Gani LU et al.  ·  Singapore Med J  ·  15.10.2026  ·  PMID 42879299</w:t>
      </w:r>
    </w:p>
    <w:p>
      <w:r>
        <w:t>Achtjährige Beobachtungsstudie (2011–2019): 28.565 Teilnehmer an ECHO-Screening; Auswertung der Auswirkungen auf Risikofaktoren, Arztbesuche und Gesundheitsverhalten.</w:t>
      </w:r>
    </w:p>
    <w:p>
      <w:r>
        <w:rPr>
          <w:b/>
        </w:rPr>
        <w:t xml:space="preserve">Ergebnis: </w:t>
      </w:r>
      <w:r>
        <w:t>12.762 Personen beim Screening teilgenommen, 5.977 (46,8 %) hatten abnorme Befunde; 56 % besuchten Hausarzt innerhalb eines Jahres. Bewohner von kostengünstigen Wohnungen zeigten höhere Besuchsraten (74 % vs. 52,5 %, p &lt; 0,001). Wiederholte ECHO-Teilnahme war mit verbesserten kardiomet. Indikatoren assoziiert trotz bescheidener Verhaltensänderungen.</w:t>
      </w:r>
    </w:p>
    <w:p>
      <w:r>
        <w:rPr>
          <w:b/>
          <w:sz w:val="19"/>
        </w:rPr>
        <w:t xml:space="preserve">Übertragbarkeit: </w:t>
      </w:r>
      <w:r>
        <w:rPr>
          <w:sz w:val="19"/>
        </w:rPr>
        <w:t>Singapur, vergleichbare Mehrschichtstruktur; Befunde zu niederschwelligem Screening in Gemeinden übertragbar</w:t>
      </w:r>
    </w:p>
    <w:p>
      <w:r>
        <w:rPr>
          <w:color w:val="5A7D3A"/>
          <w:sz w:val="18"/>
        </w:rPr>
        <w:t>https://pubmed.ncbi.nlm.nih.gov/42879299/</w:t>
      </w:r>
    </w:p>
    <w:p>
      <w:pPr>
        <w:pStyle w:val="Heading2"/>
      </w:pPr>
      <w:r>
        <w:t>Telehealth bei Morbus Parkinson: Urbane vs. ländliche Disparitäten</w:t>
      </w:r>
    </w:p>
    <w:p>
      <w:r>
        <w:rPr>
          <w:i/>
          <w:color w:val="666666"/>
          <w:sz w:val="18"/>
        </w:rPr>
        <w:t>Gros P et al.  ·  Can J Neurol Sci  ·  15.10.2026  ·  PMID 42878209</w:t>
      </w:r>
    </w:p>
    <w:p>
      <w:r>
        <w:t>Populationsgestützte Querschnittsstudie von 24.736 Patienten mit Parkinson in Ontario (März 2020–August 2023) zur Telehealth-Nutzung in Stadt vs. Land.</w:t>
      </w:r>
    </w:p>
    <w:p>
      <w:r>
        <w:rPr>
          <w:b/>
        </w:rPr>
        <w:t xml:space="preserve">Ergebnis: </w:t>
      </w:r>
      <w:r>
        <w:t>Ländliche Patienten hatten signifikant niedrigere Telehealth-Raten zu Neurologen (aRR 0,93; 95%-KI 0,90–0,96), Hausärzten (aRR 0,73; 95%-KI 0,70–0,77) und Geriatrie/Psychiatrie (aRR 0,67; 95%-KI 0,65–0,77). Telehealth fiel über 3,5 Jahre bei Neurologen auf aRR 0,23, bei Hausärzten auf aRR 0,39.</w:t>
      </w:r>
    </w:p>
    <w:p>
      <w:r>
        <w:rPr>
          <w:b/>
          <w:sz w:val="19"/>
        </w:rPr>
        <w:t xml:space="preserve">Übertragbarkeit: </w:t>
      </w:r>
      <w:r>
        <w:rPr>
          <w:sz w:val="19"/>
        </w:rPr>
        <w:t>Kanada, steuerfinanziert; Befunde zu Zugangsungleichheit sind systemunabhängig relevant</w:t>
      </w:r>
    </w:p>
    <w:p>
      <w:r>
        <w:rPr>
          <w:color w:val="5A7D3A"/>
          <w:sz w:val="18"/>
        </w:rPr>
        <w:t>https://pubmed.ncbi.nlm.nih.gov/42878209/</w:t>
      </w:r>
    </w:p>
    <w:p>
      <w:pPr>
        <w:pStyle w:val="Heading2"/>
      </w:pPr>
      <w:r>
        <w:t>SMS-Erinnerungen zur Zervixkrebsvorsorge: Effektivität bei Massenimplementierung</w:t>
      </w:r>
    </w:p>
    <w:p>
      <w:r>
        <w:rPr>
          <w:i/>
          <w:color w:val="666666"/>
          <w:sz w:val="18"/>
        </w:rPr>
        <w:t>Nichol B et al.  ·  Lancet Prim Care  ·  Sept. 2026  ·  PMID 42877070</w:t>
      </w:r>
    </w:p>
    <w:p>
      <w:r>
        <w:t>Rückwirkende Analyse der flächendeckenden Einführung von GP-unterstützten SMS-Erinnerungen für Zervixkrebsscreenings in London (Juni 2021–März 2024).</w:t>
      </w:r>
    </w:p>
    <w:p>
      <w:r>
        <w:rPr>
          <w:b/>
        </w:rPr>
        <w:t xml:space="preserve">Ergebnis: </w:t>
      </w:r>
      <w:r>
        <w:t>Von 3.127.759 Personen erhielten 2.112.003 (67,5 %) SMS-Erinnerungen. Teilnahmequote mit SMS: 51,7 % vs. ohne SMS: 25,0 %; Odds Ratio 3,36 (95%-KI 3,31–3,40, p &lt; 0,0001). SMS-Versand stieg Teilnahme um 1,7 Prozentpunkte.</w:t>
      </w:r>
    </w:p>
    <w:p>
      <w:r>
        <w:rPr>
          <w:b/>
          <w:sz w:val="19"/>
        </w:rPr>
        <w:t xml:space="preserve">Übertragbarkeit: </w:t>
      </w:r>
      <w:r>
        <w:rPr>
          <w:sz w:val="19"/>
        </w:rPr>
        <w:t>Britische Primärversorgung, gut übertragbar auf deutsche Screeningprogramme in der Hausarztpraxis</w:t>
      </w:r>
    </w:p>
    <w:p>
      <w:r>
        <w:rPr>
          <w:color w:val="5A7D3A"/>
          <w:sz w:val="18"/>
        </w:rPr>
        <w:t>https://pubmed.ncbi.nlm.nih.gov/42877070/</w:t>
      </w:r>
    </w:p>
    <w:p>
      <w:pPr>
        <w:pStyle w:val="Heading2"/>
      </w:pPr>
      <w:r>
        <w:t>Generationensolidarität in der Pandemie: Geschlechter- und Altersstereotype in deutschen Medien</w:t>
      </w:r>
    </w:p>
    <w:p>
      <w:r>
        <w:rPr>
          <w:i/>
          <w:color w:val="666666"/>
          <w:sz w:val="18"/>
        </w:rPr>
        <w:t>Boser EK et al.  ·  Int J Equity Health  ·  12.10.2026  ·  PMID 42875791</w:t>
      </w:r>
    </w:p>
    <w:p>
      <w:r>
        <w:t>Qualitative Inhaltsanalyse von 351 Artikeln aus zwei großen deutschen Wochenzeitungen (März 2020–Juni 2022) zur Verschränkung von Generationen-, Geschlechter- und Altersdebatten während COVID-19.</w:t>
      </w:r>
    </w:p>
    <w:p>
      <w:r>
        <w:rPr>
          <w:b/>
        </w:rPr>
        <w:t xml:space="preserve">Ergebnis: </w:t>
      </w:r>
      <w:r>
        <w:t>Mediendebatten zeigten Verwobenheit von Altersrassismus und Geschlechternormen. Zwei paradigmatische Fälle offenbarten persistente geschlechts- und altersspezifische Annahmen über Moralakteure und Solidaritätserwartungen. Festgestellte gendered age divide widerlegt simplistische Solidaritätsnarrative und bekräftigt Notwendigkeit intersektionaler Perspektiven.</w:t>
      </w:r>
    </w:p>
    <w:p>
      <w:r>
        <w:rPr>
          <w:b/>
          <w:sz w:val="19"/>
        </w:rPr>
        <w:t xml:space="preserve">Übertragbarkeit: </w:t>
      </w:r>
      <w:r>
        <w:rPr>
          <w:sz w:val="19"/>
        </w:rPr>
        <w:t>Deutsche Medienanalyse, direkt auf deutsches Versorgungssystem und Gesundheitspolitik anwendbar</w:t>
      </w:r>
    </w:p>
    <w:p>
      <w:r>
        <w:rPr>
          <w:color w:val="5A7D3A"/>
          <w:sz w:val="18"/>
        </w:rPr>
        <w:t>https://pubmed.ncbi.nlm.nih.gov/42875791/</w:t>
      </w:r>
    </w:p>
    <w:p>
      <w:pPr>
        <w:pStyle w:val="Heading2"/>
      </w:pPr>
      <w:r>
        <w:t>Kosteneffektivität von Rehabilitations-Follow-up zuhause statt in Einrichtungen</w:t>
      </w:r>
    </w:p>
    <w:p>
      <w:r>
        <w:rPr>
          <w:i/>
          <w:color w:val="666666"/>
          <w:sz w:val="18"/>
        </w:rPr>
        <w:t>Gamble CJ et al.  ·  Eur J Health Econ  ·  15.10.2026  ·  PMID 42875712</w:t>
      </w:r>
    </w:p>
    <w:p>
      <w:r>
        <w:t>Prospektive Kohortenstudie mit historischer Kontrolle: Vergleich von Heimrehabilitation nach verkürztem stationärem Aufenthalt versus konventioneller rein stationärer Rehabilitation (350 Patienten, 8 niederländische Zentren).</w:t>
      </w:r>
    </w:p>
    <w:p>
      <w:r>
        <w:rPr>
          <w:b/>
        </w:rPr>
        <w:t xml:space="preserve">Ergebnis: </w:t>
      </w:r>
      <w:r>
        <w:t>Incremental Effect: 0,44 Barthel-Index-Punkte (95%-KI −0,44 bis 1,31); Kosten: −€722,63 (95%-KI −€2.693,68 bis €1.248,43). Adjustierte Kosten betrugen −€654,72 pro Patient (95%-KI −€1.035,66 bis −€267,48). Better@Home erzielte vergleichbare ADL-Unabhängigkeit bei niedrigeren Kosten.</w:t>
      </w:r>
    </w:p>
    <w:p>
      <w:r>
        <w:rPr>
          <w:b/>
          <w:sz w:val="19"/>
        </w:rPr>
        <w:t xml:space="preserve">Übertragbarkeit: </w:t>
      </w:r>
      <w:r>
        <w:rPr>
          <w:sz w:val="19"/>
        </w:rPr>
        <w:t>Niederlande, Sozialversicherungssystem mit ähnlicher Versorgungsstruktur wie Deutschland</w:t>
      </w:r>
    </w:p>
    <w:p>
      <w:r>
        <w:rPr>
          <w:color w:val="5A7D3A"/>
          <w:sz w:val="18"/>
        </w:rPr>
        <w:t>https://pubmed.ncbi.nlm.nih.gov/42875712/</w:t>
      </w:r>
    </w:p>
    <w:p>
      <w:pPr>
        <w:pStyle w:val="Heading1"/>
      </w:pPr>
      <w:r>
        <w:t>Aufgenommen am 15.10.2026</w:t>
      </w:r>
    </w:p>
    <w:p>
      <w:pPr>
        <w:pStyle w:val="Heading2"/>
      </w:pPr>
      <w:r>
        <w:t>Online-Diabetesschulung in England: Langzeit-Kosteneffektivität einer kostenlosen Interventionen</w:t>
      </w:r>
    </w:p>
    <w:p>
      <w:r>
        <w:rPr>
          <w:i/>
          <w:color w:val="666666"/>
          <w:sz w:val="18"/>
        </w:rPr>
        <w:t>Paterson L et al.  ·  Diabet Med  ·  14.10.2026  ·  PMID 42875188</w:t>
      </w:r>
    </w:p>
    <w:p>
      <w:r>
        <w:t>Eine Simulation mit Routinedaten zur Kosteneffektivität eines kostenlosen Online-Schulungsprogramms für Typ-2-Diabetes in England über die gesamte Lebensspanne.</w:t>
      </w:r>
    </w:p>
    <w:p>
      <w:r>
        <w:rPr>
          <w:b/>
        </w:rPr>
        <w:t xml:space="preserve">Ergebnis: </w:t>
      </w:r>
      <w:r>
        <w:t>Modest improvement in health (0,016 QALYs), kleine Reduktion der Lebenszeit-Kosten (-4 £/Person), netto £216/Nutzer mit Cost-per-QALY von £13.192 unter dem NICE-Schwellenwert (£25.000/QALY), also kosteneffektiv.</w:t>
      </w:r>
    </w:p>
    <w:p>
      <w:r>
        <w:rPr>
          <w:b/>
          <w:sz w:val="19"/>
        </w:rPr>
        <w:t xml:space="preserve">Übertragbarkeit: </w:t>
      </w:r>
      <w:r>
        <w:rPr>
          <w:sz w:val="19"/>
        </w:rPr>
        <w:t>England, NHS-Perspektive; teilweise übertragbar auf deutsche gesetzliche Krankenversicherung bei ähnlichen Interventionskosten.</w:t>
      </w:r>
    </w:p>
    <w:p>
      <w:r>
        <w:rPr>
          <w:color w:val="5A7D3A"/>
          <w:sz w:val="18"/>
        </w:rPr>
        <w:t>https://pubmed.ncbi.nlm.nih.gov/42875188/</w:t>
      </w:r>
    </w:p>
    <w:p>
      <w:pPr>
        <w:pStyle w:val="Heading2"/>
      </w:pPr>
      <w:r>
        <w:t>Versorgungsungleichheiten bei kolorektalen Lebermetastasen in England</w:t>
      </w:r>
    </w:p>
    <w:p>
      <w:r>
        <w:rPr>
          <w:i/>
          <w:color w:val="666666"/>
          <w:sz w:val="18"/>
        </w:rPr>
        <w:t>Saito MK et al.  ·  J Cancer Policy  ·  14.10.2026  ·  PMID 42874958</w:t>
      </w:r>
    </w:p>
    <w:p>
      <w:r>
        <w:t>Analyse von Versorgungsungleichheiten in der Leberteilresektion bei synchronen/metachronen Lebermetastasen nach sozioökonomischem Status.</w:t>
      </w:r>
    </w:p>
    <w:p>
      <w:r>
        <w:rPr>
          <w:b/>
        </w:rPr>
        <w:t xml:space="preserve">Ergebnis: </w:t>
      </w:r>
      <w:r>
        <w:t>Kumulative Resektions-/Ablationsraten 8,7% (synchron) bzw. 23,5% (metachron); adjusted Ungleichheitslücke zwischen ärmster und wohlhabendster Gruppe 2,6% bei synchronen Metastasen, 1,0% bei metachronen.</w:t>
      </w:r>
    </w:p>
    <w:p>
      <w:r>
        <w:rPr>
          <w:b/>
          <w:sz w:val="19"/>
        </w:rPr>
        <w:t xml:space="preserve">Übertragbarkeit: </w:t>
      </w:r>
      <w:r>
        <w:rPr>
          <w:sz w:val="19"/>
        </w:rPr>
        <w:t>Englische Krebsregisterdaten; Befunde zur equity-gap in der Spezialisten-Zuweisung relevant für deutsche Diskussion zur Gleichheit der Krebsversorgung.</w:t>
      </w:r>
    </w:p>
    <w:p>
      <w:r>
        <w:rPr>
          <w:color w:val="5A7D3A"/>
          <w:sz w:val="18"/>
        </w:rPr>
        <w:t>https://pubmed.ncbi.nlm.nih.gov/42874958/</w:t>
      </w:r>
    </w:p>
    <w:p>
      <w:pPr>
        <w:pStyle w:val="Heading2"/>
      </w:pPr>
      <w:r>
        <w:t>Langzeitprognose zwangsweise psychiatrisch behandelter Personen in Norwegen</w:t>
      </w:r>
    </w:p>
    <w:p>
      <w:r>
        <w:rPr>
          <w:i/>
          <w:color w:val="666666"/>
          <w:sz w:val="18"/>
        </w:rPr>
        <w:t>Hofstad T et al.  ·  Lancet Psychiatry  ·  Nov. 2026  ·  PMID 42874602</w:t>
      </w:r>
    </w:p>
    <w:p>
      <w:r>
        <w:t>Nationale Registerstudie zur Langzeitprognose (Gesundheit, Kriminalität, Sozioökonomie) bei Personen mit Zwangsbetreuung, Zwangseinweisung und freiwilliger Behandlung.</w:t>
      </w:r>
    </w:p>
    <w:p>
      <w:r>
        <w:rPr>
          <w:b/>
        </w:rPr>
        <w:t xml:space="preserve">Ergebnis: </w:t>
      </w:r>
      <w:r>
        <w:t>Zwangsbetreuungsgruppen zeigten deutlich schlechtere Outcomes: Selbstschadensrisiko in Beobachtungsgruppe 12% (Frauen) vs. 5,5% (Männer); Substanzstörung 39-53%; Gewalt-/Sexualvergehen 14-37%; Invalidenrente CTOs 89-93%; 55,7% der Todesfälle durch Suizid/externe Ursachen.</w:t>
      </w:r>
    </w:p>
    <w:p>
      <w:r>
        <w:rPr>
          <w:b/>
          <w:sz w:val="19"/>
        </w:rPr>
        <w:t xml:space="preserve">Übertragbarkeit: </w:t>
      </w:r>
      <w:r>
        <w:rPr>
          <w:sz w:val="19"/>
        </w:rPr>
        <w:t>Norwegische Registerdaten, ähnlich skandinavisches Gesundheitssystem; Outcomes-Benchmarks für Versorgungsplanung relevant auch für deutsche Psychiatrie.</w:t>
      </w:r>
    </w:p>
    <w:p>
      <w:r>
        <w:rPr>
          <w:color w:val="5A7D3A"/>
          <w:sz w:val="18"/>
        </w:rPr>
        <w:t>https://pubmed.ncbi.nlm.nih.gov/42874602/</w:t>
      </w:r>
    </w:p>
    <w:p>
      <w:pPr>
        <w:pStyle w:val="Heading2"/>
      </w:pPr>
      <w:r>
        <w:t>Digitale Zwillinge und Patientenrechte: Qualitative Studie mit älteren Patienten</w:t>
      </w:r>
    </w:p>
    <w:p>
      <w:r>
        <w:rPr>
          <w:i/>
          <w:color w:val="666666"/>
          <w:sz w:val="18"/>
        </w:rPr>
        <w:t>Zhang W et al.  ·  BMC Health Serv Res  ·  27.08.2026  ·  PMID 42870264</w:t>
      </w:r>
    </w:p>
    <w:p>
      <w:r>
        <w:t>Qualitative Studie (22 Interviews) zu Perspektiven älterer Patienten (≥65 Jahren) mit chronischen Erkrankungen auf die Verwendung ihrer Daten für Virtual Models/digitale Zwillinge.</w:t>
      </w:r>
    </w:p>
    <w:p>
      <w:r>
        <w:rPr>
          <w:b/>
        </w:rPr>
        <w:t xml:space="preserve">Ergebnis: </w:t>
      </w:r>
      <w:r>
        <w:t>Fünf zentrale Themen: (1) Konzeptuelle Undurchsichtigkeit, (2) existenzielles Unbehagen vor manipulierbarem digitalen Abbild ('uncanny self'), (3) Zustimmungsinadäquanz, (4) 'trapped self' (irreversible Datenintegration), (5) Forderung nach Benachrichtigung, laufender Zustimmung, digitaler Löschung und Transparenz.</w:t>
      </w:r>
    </w:p>
    <w:p>
      <w:r>
        <w:rPr>
          <w:b/>
          <w:sz w:val="19"/>
        </w:rPr>
        <w:t xml:space="preserve">Übertragbarkeit: </w:t>
      </w:r>
      <w:r>
        <w:rPr>
          <w:sz w:val="19"/>
        </w:rPr>
        <w:t>Qualitative britische Studie (Wenzhou, China); Befunde zu Patientenperspektive auf KI-Datenverwertung systemübergreifend relevant für deutsche Governance und Ethik.</w:t>
      </w:r>
    </w:p>
    <w:p>
      <w:r>
        <w:rPr>
          <w:color w:val="5A7D3A"/>
          <w:sz w:val="18"/>
        </w:rPr>
        <w:t>https://pubmed.ncbi.nlm.nih.gov/42870264/</w:t>
      </w:r>
    </w:p>
    <w:p>
      <w:pPr>
        <w:pStyle w:val="Heading2"/>
      </w:pPr>
      <w:r>
        <w:t>Patientenwahl des Hausarztes: Kontextuelle Hindernisse in Schweden</w:t>
      </w:r>
    </w:p>
    <w:p>
      <w:r>
        <w:rPr>
          <w:i/>
          <w:color w:val="666666"/>
          <w:sz w:val="18"/>
        </w:rPr>
        <w:t>Blomberg-Ohlström C et al.  ·  BMC Health Serv Res  ·  11.10.2026  ·  PMID 42870246</w:t>
      </w:r>
    </w:p>
    <w:p>
      <w:r>
        <w:t>Qualitative Studie (18 Interviews) zu Bedingungen, die Wahlentscheidungen für Hausarztpraxen beeinflussen; Vergleich mit Wahlen von Pflege- und Schulservices.</w:t>
      </w:r>
    </w:p>
    <w:p>
      <w:r>
        <w:rPr>
          <w:b/>
        </w:rPr>
        <w:t xml:space="preserve">Ergebnis: </w:t>
      </w:r>
      <w:r>
        <w:t>Fünf Kontextfaktoren für niedrige Wahlaktivität: (1) geringe Wahlnotwendigkeit, (2) unsichtbare Anbieterunterschied, (3) Erwartung gleicher Qualität, (4) persönliche Beziehungen, (5) Kontinuität der Beziehung; weniger Informationssuche als bei anderen Dienstleistungen.</w:t>
      </w:r>
    </w:p>
    <w:p>
      <w:r>
        <w:rPr>
          <w:b/>
          <w:sz w:val="19"/>
        </w:rPr>
        <w:t xml:space="preserve">Übertragbarkeit: </w:t>
      </w:r>
      <w:r>
        <w:rPr>
          <w:sz w:val="19"/>
        </w:rPr>
        <w:t>Schwedische qualitative Studie; Befunde zu Wahl-Hürden im Hausarztsektor übertragbar auf deutsches Modell mit begrenztem Wettbewerb.</w:t>
      </w:r>
    </w:p>
    <w:p>
      <w:r>
        <w:rPr>
          <w:color w:val="5A7D3A"/>
          <w:sz w:val="18"/>
        </w:rPr>
        <w:t>https://pubmed.ncbi.nlm.nih.gov/42870246/</w:t>
      </w:r>
    </w:p>
    <w:p>
      <w:pPr>
        <w:pStyle w:val="Heading2"/>
      </w:pPr>
      <w:r>
        <w:t>Nurse-Navigation bei Krebspatienten: RCT-Ergebnisse aus Sachsen</w:t>
      </w:r>
    </w:p>
    <w:p>
      <w:r>
        <w:rPr>
          <w:i/>
          <w:color w:val="666666"/>
          <w:sz w:val="18"/>
        </w:rPr>
        <w:t>Porzig R et al.  ·  Res Health Serv Reg  ·  14.10.2026  ·  PMID 42870145</w:t>
      </w:r>
    </w:p>
    <w:p>
      <w:r>
        <w:t>Randomisierte kontrollierte Studie zur Wirkung eines 12-Monate-Nurse-Navigation-Programms (Onkolotse) auf Krankenhausaufenthalte, psychische Belastung und Kosten.</w:t>
      </w:r>
    </w:p>
    <w:p>
      <w:r>
        <w:rPr>
          <w:b/>
        </w:rPr>
        <w:t xml:space="preserve">Ergebnis: </w:t>
      </w:r>
      <w:r>
        <w:t>Hospitalisierungsrate ITT 43,9% (Intervention) vs. 51,6% (Kontrolle), n.s. (OR 0,74, 95% CI 0,45–1,20, p=0,219); HADS-Angst Δ-0,75 (n.s.), Depression Δ-0,56 (n.s.); Kosten median 14.224€ vs. 12.560€ (n.s.).</w:t>
      </w:r>
    </w:p>
    <w:p>
      <w:r>
        <w:rPr>
          <w:b/>
          <w:sz w:val="19"/>
        </w:rPr>
        <w:t xml:space="preserve">Übertragbarkeit: </w:t>
      </w:r>
      <w:r>
        <w:rPr>
          <w:sz w:val="19"/>
        </w:rPr>
        <w:t>Deutsche Studie (Sachsen, 258 Patienten, 2017–2022); direkt relevant für deutsches Versorgungssystem, dennoch unterversorgt (statistische Kraft unzureichend).</w:t>
      </w:r>
    </w:p>
    <w:p>
      <w:r>
        <w:rPr>
          <w:color w:val="5A7D3A"/>
          <w:sz w:val="18"/>
        </w:rPr>
        <w:t>https://pubmed.ncbi.nlm.nih.gov/42870145/</w:t>
      </w:r>
    </w:p>
    <w:p>
      <w:pPr>
        <w:pStyle w:val="Heading1"/>
      </w:pPr>
      <w:r>
        <w:t>Aufgenommen am 14.10.2026</w:t>
      </w:r>
    </w:p>
    <w:p>
      <w:pPr>
        <w:pStyle w:val="Heading2"/>
      </w:pPr>
      <w:r>
        <w:t>Stepped-Care-Modell für Opioidabhängige: Besserer Zugang zu Medikamenten</w:t>
      </w:r>
    </w:p>
    <w:p>
      <w:r>
        <w:rPr>
          <w:i/>
          <w:color w:val="666666"/>
          <w:sz w:val="18"/>
        </w:rPr>
        <w:t>Li H et al.  ·  Health Serv Res  ·  Okt. 2026  ·  PMID 42869778</w:t>
      </w:r>
    </w:p>
    <w:p>
      <w:r>
        <w:t>Eine US-Studie evaluierte, ob ein nationales Trainings-Programm (SCOUTT) zur Ausweitung der medikamentösen Opioidbehandlung in Primärversorgung und psychischen Gesundheitssettings bei obdacherfahrenen Veterans erfolgreicher war als reguläre Versorgung.</w:t>
      </w:r>
    </w:p>
    <w:p>
      <w:r>
        <w:rPr>
          <w:b/>
        </w:rPr>
        <w:t xml:space="preserve">Ergebnis: </w:t>
      </w:r>
      <w:r>
        <w:t>Patienten in SCOUTT-Einrichtungen erhielten signifikant häufiger Medikamentöse Opioidbehandlung (6,16 Prozentpunkte mehr jegliche MOUD, 7,16 Punkte mehr Buprenorphin; beides 95%-KI statistisch signifikant). Die Differenz-in-Differenzen-Analyse bestätigte diese Ergebnisse (7,85 bzw. 9,31 Punkte Unterschied).</w:t>
      </w:r>
    </w:p>
    <w:p>
      <w:r>
        <w:rPr>
          <w:b/>
          <w:sz w:val="19"/>
        </w:rPr>
        <w:t xml:space="preserve">Übertragbarkeit: </w:t>
      </w:r>
      <w:r>
        <w:rPr>
          <w:sz w:val="19"/>
        </w:rPr>
        <w:t>US-Veteranen-System, eingeschränkte Übertragbarkeit auf deutsche Sozialversicherung</w:t>
      </w:r>
    </w:p>
    <w:p>
      <w:r>
        <w:rPr>
          <w:color w:val="5A7D3A"/>
          <w:sz w:val="18"/>
        </w:rPr>
        <w:t>https://pubmed.ncbi.nlm.nih.gov/42869778/</w:t>
      </w:r>
    </w:p>
    <w:p>
      <w:pPr>
        <w:pStyle w:val="Heading2"/>
      </w:pPr>
      <w:r>
        <w:t>Psychische Erkrankungen nach Klinikentlassung: Familien und Profis teilen Medikamenten-Verantwortung</w:t>
      </w:r>
    </w:p>
    <w:p>
      <w:r>
        <w:rPr>
          <w:i/>
          <w:color w:val="666666"/>
          <w:sz w:val="18"/>
        </w:rPr>
        <w:t>Jeffries M et al.  ·  Soc Sci Med  ·  08.10.2026  ·  PMID 42868728</w:t>
      </w:r>
    </w:p>
    <w:p>
      <w:r>
        <w:t>Eine britische Qualitativstudie mit 34 Interviews (Patienten, Angehörige, Gesundheitsfachleute) untersuchte, welche Unterstützungsnetzwerke für sichere Medikamentenadhärenz nach psychiatrischer Klinikentlassung notwendig sind.</w:t>
      </w:r>
    </w:p>
    <w:p>
      <w:r>
        <w:rPr>
          <w:b/>
        </w:rPr>
        <w:t xml:space="preserve">Ergebnis: </w:t>
      </w:r>
      <w:r>
        <w:t>Kernfinding: Medikamentensicherheit nach Entlassung beruht stark auf Unterstützungsnetzwerken und der Medikamenten-'Arbeit' von Patienten und Angehörigen. Professionelle Gesundheitsfachleute spielen eine zentrale, aber variable und kontextabhängige Rolle. Notwendigkeit erkannt: Stärkere Anerkennung von Sozialkontakten und 'situated medicines work' für bessere Sicherheit.</w:t>
      </w:r>
    </w:p>
    <w:p>
      <w:r>
        <w:rPr>
          <w:b/>
          <w:sz w:val="19"/>
        </w:rPr>
        <w:t xml:space="preserve">Übertragbarkeit: </w:t>
      </w:r>
      <w:r>
        <w:rPr>
          <w:sz w:val="19"/>
        </w:rPr>
        <w:t>Großbritannien, NHS-System; Erkenntnisse zu Netzwerken übertragbar auf deutsche Gemeindepsychiatrie</w:t>
      </w:r>
    </w:p>
    <w:p>
      <w:r>
        <w:rPr>
          <w:color w:val="5A7D3A"/>
          <w:sz w:val="18"/>
        </w:rPr>
        <w:t>https://pubmed.ncbi.nlm.nih.gov/42868728/</w:t>
      </w:r>
    </w:p>
    <w:p>
      <w:pPr>
        <w:pStyle w:val="Heading2"/>
      </w:pPr>
      <w:r>
        <w:t>Arbeit und Therapietreue: Sozialer Zusammenhalt im Beruf fördert Adherence</w:t>
      </w:r>
    </w:p>
    <w:p>
      <w:r>
        <w:rPr>
          <w:i/>
          <w:color w:val="666666"/>
          <w:sz w:val="18"/>
        </w:rPr>
        <w:t>Aalbers E et al.  ·  PLoS One  ·  13.10.2026  ·  PMID 42868134</w:t>
      </w:r>
    </w:p>
    <w:p>
      <w:r>
        <w:t>Eine niederländische Querschnittsstudie untersuchte bei 309 berufstätigen Personen mit chronischen Erkrankungen, wie Arbeitsmerkmale (Umfang, Anforderungen, Inklusion) mit der Einhaltung von Medikamenten- und Termintreue assoziiert sind.</w:t>
      </w:r>
    </w:p>
    <w:p>
      <w:r>
        <w:rPr>
          <w:b/>
        </w:rPr>
        <w:t xml:space="preserve">Ergebnis: </w:t>
      </w:r>
      <w:r>
        <w:t>Therapietreue-Rate betrug 56 Prozent. Soziale Inklusion am Arbeitsplatz erhöhte die Adhärenz signifikant (adjustierte OR 1,50, 95%-KI 1,00-2,25, p=0,049). Moderate physische Arbeitsanforderungen waren mit niedrigerer Adhärenz assoziiert (aOR 0,49, 95%-KI 0,26-0,92, p=0,026).</w:t>
      </w:r>
    </w:p>
    <w:p>
      <w:r>
        <w:rPr>
          <w:b/>
          <w:sz w:val="19"/>
        </w:rPr>
        <w:t xml:space="preserve">Übertragbarkeit: </w:t>
      </w:r>
      <w:r>
        <w:rPr>
          <w:sz w:val="19"/>
        </w:rPr>
        <w:t>Niederlande, vergleichbares Sozialversicherungssystem mit chronisch kranker Erwerbsbevölkerung</w:t>
      </w:r>
    </w:p>
    <w:p>
      <w:r>
        <w:rPr>
          <w:color w:val="5A7D3A"/>
          <w:sz w:val="18"/>
        </w:rPr>
        <w:t>https://pubmed.ncbi.nlm.nih.gov/42868134/</w:t>
      </w:r>
    </w:p>
    <w:p>
      <w:pPr>
        <w:pStyle w:val="Heading2"/>
      </w:pPr>
      <w:r>
        <w:t>Digitale Fragebögien vor Arztbesuch: Dokumentation wird vollständiger</w:t>
      </w:r>
    </w:p>
    <w:p>
      <w:r>
        <w:rPr>
          <w:i/>
          <w:color w:val="666666"/>
          <w:sz w:val="18"/>
        </w:rPr>
        <w:t>Roemer A et al.  ·  BMC Health Serv Res  ·  09.10.2026  ·  PMID 42864663</w:t>
      </w:r>
    </w:p>
    <w:p>
      <w:r>
        <w:t>Eine deutschsprachige Pilotstudie (n=43) aus Rheumatologie, Dermatologie und Orthopädie testete, ob computergenerierte Patientenfragebögien mit standardisierter Zusammenfassung vor dem Termin die Vollständigkeit der klinischen Dokumentation verbessert.</w:t>
      </w:r>
    </w:p>
    <w:p>
      <w:r>
        <w:rPr>
          <w:b/>
        </w:rPr>
        <w:t xml:space="preserve">Ergebnis: </w:t>
      </w:r>
      <w:r>
        <w:t>Dokumentationsvollständigkeit stieg von 46,9 Prozent (Kontrolle) auf 100 Prozent (Intervention) im Median (p&lt;0,001). Alle Interventions-Patienten hatten die generierte Zusammenfassung in der Krankenakte. 95,3 Prozent der Patienten und 100 Prozent der Ärzte befürworteten das System.</w:t>
      </w:r>
    </w:p>
    <w:p>
      <w:r>
        <w:rPr>
          <w:b/>
          <w:sz w:val="19"/>
        </w:rPr>
        <w:t xml:space="preserve">Übertragbarkeit: </w:t>
      </w:r>
      <w:r>
        <w:rPr>
          <w:sz w:val="19"/>
        </w:rPr>
        <w:t>Deutsche Studienzentren, direkt anwendbar auf deutsches Versorgungssystem</w:t>
      </w:r>
    </w:p>
    <w:p>
      <w:r>
        <w:rPr>
          <w:color w:val="5A7D3A"/>
          <w:sz w:val="18"/>
        </w:rPr>
        <w:t>https://pubmed.ncbi.nlm.nih.gov/42864663/</w:t>
      </w:r>
    </w:p>
    <w:p>
      <w:pPr>
        <w:pStyle w:val="Heading2"/>
      </w:pPr>
      <w:r>
        <w:t>Hausärzte-Ausbildung: Umgang mit Unsicherheit muss trainiert werden</w:t>
      </w:r>
    </w:p>
    <w:p>
      <w:r>
        <w:rPr>
          <w:i/>
          <w:color w:val="666666"/>
          <w:sz w:val="18"/>
        </w:rPr>
        <w:t>Dreher AC et al.  ·  BMC Med Educ  ·  12.10.2026  ·  PMID 42864649</w:t>
      </w:r>
    </w:p>
    <w:p>
      <w:r>
        <w:t>Eine qualitative Studie mit 22 deutschen Hausarzt-Weiterbildungsassistenten (Heidelberg) explorierte, wie Ärzte-in-Ausbildung Unsicherheit in der Primärversorgung erleben und bewältigen.</w:t>
      </w:r>
    </w:p>
    <w:p>
      <w:r>
        <w:rPr>
          <w:b/>
        </w:rPr>
        <w:t xml:space="preserve">Ergebnis: </w:t>
      </w:r>
      <w:r>
        <w:t>Trainees berichten von Unsicherheit auf drei Ebenen: Selbstzweifel (intrapersonal), Patientenfaktoren (interpersonal) und Kontext (systemisch). Bewältigungsstrategien waren Abwarten, Kollegenrat, externe Quellen und Intuition. Kernaussage: Gezieltes Training für Unsicherheitsmanagement fehlt und wäre nötig.</w:t>
      </w:r>
    </w:p>
    <w:p>
      <w:r>
        <w:rPr>
          <w:b/>
          <w:sz w:val="19"/>
        </w:rPr>
        <w:t xml:space="preserve">Übertragbarkeit: </w:t>
      </w:r>
      <w:r>
        <w:rPr>
          <w:sz w:val="19"/>
        </w:rPr>
        <w:t>Deutsche Hausarzt-Weiterbildung, direkt auf deutsche Versorgung anwendbar</w:t>
      </w:r>
    </w:p>
    <w:p>
      <w:r>
        <w:rPr>
          <w:color w:val="5A7D3A"/>
          <w:sz w:val="18"/>
        </w:rPr>
        <w:t>https://pubmed.ncbi.nlm.nih.gov/42864649/</w:t>
      </w:r>
    </w:p>
    <w:p>
      <w:pPr>
        <w:pStyle w:val="Heading2"/>
      </w:pPr>
      <w:r>
        <w:t>Lebensqualität bei chronischen Wunden: Spanische Cutoff-Werte für klinische Praxis</w:t>
      </w:r>
    </w:p>
    <w:p>
      <w:r>
        <w:rPr>
          <w:i/>
          <w:color w:val="666666"/>
          <w:sz w:val="18"/>
        </w:rPr>
        <w:t>Horcajada-Reales C et al.  ·  Int Wound J  ·  Okt. 2026  ·  PMID 42830425</w:t>
      </w:r>
    </w:p>
    <w:p>
      <w:r>
        <w:t>Eine spanische Validierungsstudie (n=323 Baseline, n=197 Retest) etablierte klinisch interpretierbare Schwellenwerte und Responsivitätsmaße für das Wound-QoL-14-Instrument zur Messung von Wundassoziierter Lebensqualität.</w:t>
      </w:r>
    </w:p>
    <w:p>
      <w:r>
        <w:rPr>
          <w:b/>
        </w:rPr>
        <w:t xml:space="preserve">Ergebnis: </w:t>
      </w:r>
      <w:r>
        <w:t>Einfache Schweregrad-Klassifizierung (0-0,25 / 0,26-1,00 / 1,01-2,00 / 2,01-3,00 / 3,01-4,00) korrelierte moderat mit globaler Verankerungsfrage (polychorische Korrelation 0,653), aber geringe Übereinstimmung (41,5 Prozent Konkordanz, Krippendorffs Alfa 0,609). Smallest detectable change 0,39 Punkte vs. minimale klinisch relevante Differenz 0,53 Punkte.</w:t>
      </w:r>
    </w:p>
    <w:p>
      <w:r>
        <w:rPr>
          <w:b/>
          <w:sz w:val="19"/>
        </w:rPr>
        <w:t xml:space="preserve">Übertragbarkeit: </w:t>
      </w:r>
      <w:r>
        <w:rPr>
          <w:sz w:val="19"/>
        </w:rPr>
        <w:t>Spanien, deutschsprachiger Wundbereich; kulturell angepasste Schwellenwerte hilfreich für deutschsprachige Praxis</w:t>
      </w:r>
    </w:p>
    <w:p>
      <w:r>
        <w:rPr>
          <w:color w:val="5A7D3A"/>
          <w:sz w:val="18"/>
        </w:rPr>
        <w:t>https://pubmed.ncbi.nlm.nih.gov/42830425/</w:t>
      </w:r>
    </w:p>
    <w:p>
      <w:pPr>
        <w:pStyle w:val="Heading1"/>
      </w:pPr>
      <w:r>
        <w:t>Aufgenommen am 13.10.2026</w:t>
      </w:r>
    </w:p>
    <w:p>
      <w:pPr>
        <w:pStyle w:val="Heading2"/>
      </w:pPr>
      <w:r>
        <w:t>Ambulante Versorgungspfade vor Sepsishospitalisierung</w:t>
      </w:r>
    </w:p>
    <w:p>
      <w:r>
        <w:rPr>
          <w:i/>
          <w:color w:val="666666"/>
          <w:sz w:val="18"/>
        </w:rPr>
        <w:t>Storch J et al.  ·  Infection  ·  12.10.2026  ·  PMID 42862469</w:t>
      </w:r>
    </w:p>
    <w:p>
      <w:r>
        <w:t>Bevölkerungsbasierte Analyse deutscher Versichertendaten zu ambulanten Kontakten vor stationärer Sepsisaufnahme: 61,8 % hatten nur ambulante Versorgung, 12,7 % Notfallversorgung, 25,5 % keine Kontakte in der Woche vor Hospitalisierung.</w:t>
      </w:r>
    </w:p>
    <w:p>
      <w:r>
        <w:rPr>
          <w:b/>
        </w:rPr>
        <w:t xml:space="preserve">Ergebnis: </w:t>
      </w:r>
      <w:r>
        <w:t>Bei ambulant versorgten Patienten: durchschnittlich 2,0 Tage (SD 2,3) zwischen letztem infektionsbezogenen Kontakt und Sepsishospitalisierung; 82,3 % hatten Kontakt mit Hausarzt; nur 11,4 % erhielten Antiinfektiva-Verschreibungen. Hinweis auf Chancen zur früheren Sepsis-Erkennung in ambulanten Settings.</w:t>
      </w:r>
    </w:p>
    <w:p>
      <w:r>
        <w:rPr>
          <w:b/>
          <w:sz w:val="19"/>
        </w:rPr>
        <w:t xml:space="preserve">Übertragbarkeit: </w:t>
      </w:r>
      <w:r>
        <w:rPr>
          <w:sz w:val="19"/>
        </w:rPr>
        <w:t>Deutsche Routinedaten (AOK) mit 238.247 Patienten, hohe Übertragbarkeit auf hiesiges Versorgungssystem</w:t>
      </w:r>
    </w:p>
    <w:p>
      <w:r>
        <w:rPr>
          <w:color w:val="5A7D3A"/>
          <w:sz w:val="18"/>
        </w:rPr>
        <w:t>https://pubmed.ncbi.nlm.nih.gov/42862469/</w:t>
      </w:r>
    </w:p>
    <w:p>
      <w:pPr>
        <w:pStyle w:val="Heading2"/>
      </w:pPr>
      <w:r>
        <w:t>Beteiligung älterer Menschen mit Sturztrauma in Forschung</w:t>
      </w:r>
    </w:p>
    <w:p>
      <w:r>
        <w:rPr>
          <w:i/>
          <w:color w:val="666666"/>
          <w:sz w:val="18"/>
        </w:rPr>
        <w:t>Reeck N et al.  ·  Health Expect  ·  Okt. 2026  ·  PMID 42861438</w:t>
      </w:r>
    </w:p>
    <w:p>
      <w:r>
        <w:t>Qualitative Evaluationsstudie zur Partizipation von 8 älteren Personen mit Sturzererfahrung über 3 Jahre; Bewertung mit Evaluationsinstrumenten und Prozessdokumentation.</w:t>
      </w:r>
    </w:p>
    <w:p>
      <w:r>
        <w:rPr>
          <w:b/>
        </w:rPr>
        <w:t xml:space="preserve">Ergebnis: </w:t>
      </w:r>
      <w:r>
        <w:t>Kern-Befunde: Positive Atmosphäre bei Treffen, anfängliche Unklarheit über Projektzweck; Partizipatives Forschungsteam beeinflusste verschiedene Projektphasen (z.B. Fokusgruppen-Design); gesundheitsbedingte Absenzen erforderten Aufnahme von 3 neuen Teilnehmern; Kontextfaktoren (Infrastruktur) unterstützend, aber verbesserte Informationsstrukturen nötig.</w:t>
      </w:r>
    </w:p>
    <w:p>
      <w:r>
        <w:rPr>
          <w:b/>
          <w:sz w:val="19"/>
        </w:rPr>
        <w:t xml:space="preserve">Übertragbarkeit: </w:t>
      </w:r>
      <w:r>
        <w:rPr>
          <w:sz w:val="19"/>
        </w:rPr>
        <w:t>Deutsche Universität (Oldenburg), geriatrisches Setting, Methoden der Patient Engagement-Evaluierung</w:t>
      </w:r>
    </w:p>
    <w:p>
      <w:r>
        <w:rPr>
          <w:color w:val="5A7D3A"/>
          <w:sz w:val="18"/>
        </w:rPr>
        <w:t>https://pubmed.ncbi.nlm.nih.gov/42861438/</w:t>
      </w:r>
    </w:p>
    <w:p>
      <w:pPr>
        <w:pStyle w:val="Heading2"/>
      </w:pPr>
      <w:r>
        <w:t>Repräsentativität von Brustkrebs-Befragten in England</w:t>
      </w:r>
    </w:p>
    <w:p>
      <w:r>
        <w:rPr>
          <w:i/>
          <w:color w:val="666666"/>
          <w:sz w:val="18"/>
        </w:rPr>
        <w:t>Blacker S et al.  ·  BMJ Open  ·  09.10.2026  ·  PMID 42855234</w:t>
      </w:r>
    </w:p>
    <w:p>
      <w:r>
        <w:t>Kohortenstudie mit Datenverknüpfung von nationaler Patientenerfahrungsbefragung mit Krebsregister zur Beurteilung der Selektionsbias bei Rücklaufquoten.</w:t>
      </w:r>
    </w:p>
    <w:p>
      <w:r>
        <w:rPr>
          <w:b/>
        </w:rPr>
        <w:t xml:space="preserve">Ergebnis: </w:t>
      </w:r>
      <w:r>
        <w:t>Linked Analyse von 71.640 Brustkrebs-Patientinnen zeigte, welche Charakteristika mit Rücklauf assoziiert waren; Identifikation systemischer Unterschiede zwischen Respondern und Nicht-Respondern für informierte Bias-Interpretation in zukünftigen Experience-Surveys.</w:t>
      </w:r>
    </w:p>
    <w:p>
      <w:r>
        <w:rPr>
          <w:b/>
          <w:sz w:val="19"/>
        </w:rPr>
        <w:t xml:space="preserve">Übertragbarkeit: </w:t>
      </w:r>
      <w:r>
        <w:rPr>
          <w:sz w:val="19"/>
        </w:rPr>
        <w:t>Methodische Versorgungsforschung, NHS-Daten, Sampling-Fragen auch in Deutschland relevant</w:t>
      </w:r>
    </w:p>
    <w:p>
      <w:r>
        <w:rPr>
          <w:color w:val="5A7D3A"/>
          <w:sz w:val="18"/>
        </w:rPr>
        <w:t>https://pubmed.ncbi.nlm.nih.gov/42855234/</w:t>
      </w:r>
    </w:p>
    <w:p>
      <w:pPr>
        <w:pStyle w:val="Heading2"/>
      </w:pPr>
      <w:r>
        <w:t>Labor-Phänotypen nach Reanimation und Mortalität</w:t>
      </w:r>
    </w:p>
    <w:p>
      <w:r>
        <w:rPr>
          <w:i/>
          <w:color w:val="666666"/>
          <w:sz w:val="18"/>
        </w:rPr>
        <w:t>Liu X et al.  ·  Resuscitation  ·  09.10.2026  ·  PMID 42855036</w:t>
      </w:r>
    </w:p>
    <w:p>
      <w:r>
        <w:t>Nationale 10-Jahres-Kohortenstudie aus Singapur (1514 reanimierte Patienten) mit Latent-Class-Analyse von 14 Laborvariablen innerhalb 6 Stunden nach ROSC zur Vorhersage neurologischer Outcomes.</w:t>
      </w:r>
    </w:p>
    <w:p>
      <w:r>
        <w:rPr>
          <w:b/>
        </w:rPr>
        <w:t xml:space="preserve">Ergebnis: </w:t>
      </w:r>
      <w:r>
        <w:t>Drei prognostisch distinkte Phänotypen identifiziert: Multi-Organ-Dysfunktion (MOD, N=286), Homeostase (HOM, N=967), Immun-Dysregulation (IMD, N=261). HOM und IMD hatten niedrigere Odds für schlechte neurologische Erholung vs. MOD (aOR 0,50 bzw. 0,46, p≤0,004). Unterschiede auch für 30-Tage- und 3-Jahres-Mortalität signifikant (aHR 0,71–0,78).</w:t>
      </w:r>
    </w:p>
    <w:p>
      <w:r>
        <w:rPr>
          <w:b/>
          <w:sz w:val="19"/>
        </w:rPr>
        <w:t xml:space="preserve">Übertragbarkeit: </w:t>
      </w:r>
      <w:r>
        <w:rPr>
          <w:sz w:val="19"/>
        </w:rPr>
        <w:t>Nationale Kohortendaten Singapur, externe Validierung erforderlich, Laborbiomarker systemunabhängig</w:t>
      </w:r>
    </w:p>
    <w:p>
      <w:r>
        <w:rPr>
          <w:color w:val="5A7D3A"/>
          <w:sz w:val="18"/>
        </w:rPr>
        <w:t>https://pubmed.ncbi.nlm.nih.gov/42855036/</w:t>
      </w:r>
    </w:p>
    <w:p>
      <w:pPr>
        <w:pStyle w:val="Heading2"/>
      </w:pPr>
      <w:r>
        <w:t>Infektionsrisiko unter Rituximab-Therapie bei MS</w:t>
      </w:r>
    </w:p>
    <w:p>
      <w:r>
        <w:rPr>
          <w:i/>
          <w:color w:val="666666"/>
          <w:sz w:val="18"/>
        </w:rPr>
        <w:t>Pihl-Jensen G et al.  ·  Neurol Clin Pract  ·  08.10.2026  ·  PMID 42854181</w:t>
      </w:r>
    </w:p>
    <w:p>
      <w:r>
        <w:t>Norwegische national-weite Beobachtungsstudie (Verknüpfung Gesundheitsregister mit MS-Registry 2010–Juni 2022) bei 3.410 MS-Patienten zu Infektionsrisiko unter Rituximab nach Dosierungsintervall und Alter.</w:t>
      </w:r>
    </w:p>
    <w:p>
      <w:r>
        <w:rPr>
          <w:b/>
        </w:rPr>
        <w:t xml:space="preserve">Ergebnis: </w:t>
      </w:r>
      <w:r>
        <w:t>13.774 Infektionen auf 13.811 Behandlungsepisoden. Verlängerte Dosierungsintervalle assoziiert mit niedrigerem Gesamtinfektionsrisiko: 2 vs. 4 Infusionen/2 Jahre HR 0,90 (95% CI 0,82–0,99); 1 Infusion HR 0,78 (0,69–0,88). Krankenhaus-Infektionen: nur HR 0,68 (0,59–0,79) für 1 vs. 4 Infusionen. Alter ≥60 Jahre HR 1,36 (1,07–1,71) für Klinik-Infektionen.</w:t>
      </w:r>
    </w:p>
    <w:p>
      <w:r>
        <w:rPr>
          <w:b/>
          <w:sz w:val="19"/>
        </w:rPr>
        <w:t xml:space="preserve">Übertragbarkeit: </w:t>
      </w:r>
      <w:r>
        <w:rPr>
          <w:sz w:val="19"/>
        </w:rPr>
        <w:t>Norwegen (skandinavisches Versorgungssystem), Behandlungs-Effektivität und Sicherheit grundsätzlich transferabel</w:t>
      </w:r>
    </w:p>
    <w:p>
      <w:r>
        <w:rPr>
          <w:color w:val="5A7D3A"/>
          <w:sz w:val="18"/>
        </w:rPr>
        <w:t>https://pubmed.ncbi.nlm.nih.gov/42854181/</w:t>
      </w:r>
    </w:p>
    <w:p>
      <w:pPr>
        <w:pStyle w:val="Heading2"/>
      </w:pPr>
      <w:r>
        <w:t>Postpartales Medicaid-Coverage und Mütter-Erfahrungen</w:t>
      </w:r>
    </w:p>
    <w:p>
      <w:r>
        <w:rPr>
          <w:i/>
          <w:color w:val="666666"/>
          <w:sz w:val="18"/>
        </w:rPr>
        <w:t>Raffa BJ et al.  ·  JAMA Netw Open  ·  01.10.2026  ·  PMID 42853565</w:t>
      </w:r>
    </w:p>
    <w:p>
      <w:r>
        <w:t>Qualitative Studie mit 16 Müttern (semistrukturierte Interviews, April–Oktober 2025) in Nordkarolina zur Erfahrung mit erweitertem postpartalen Medicaid-Coverage (60 Tage auf 12 Monate).</w:t>
      </w:r>
    </w:p>
    <w:p>
      <w:r>
        <w:rPr>
          <w:b/>
        </w:rPr>
        <w:t xml:space="preserve">Ergebnis: </w:t>
      </w:r>
      <w:r>
        <w:t>Fünf Hauptthemen: Verwirrung um Coverage, Medicaid ermöglicht Versorgungszugang, psychische Gesundheit kritisch im postpartalen Zeitfenster, reduzierter finanzischer Stress mit verbesserter Familiendynamik, Medicaid verhindert Versorgungsverzicht. Bewusstsein über Policy-Änderungen war Schlüssel für Nutzen.</w:t>
      </w:r>
    </w:p>
    <w:p>
      <w:r>
        <w:rPr>
          <w:b/>
          <w:sz w:val="19"/>
        </w:rPr>
        <w:t xml:space="preserve">Übertragbarkeit: </w:t>
      </w:r>
      <w:r>
        <w:rPr>
          <w:sz w:val="19"/>
        </w:rPr>
        <w:t>Nur bedingt: US-Medicaid-System, andere Finanzierungslogik als deutsche gesetzliche Versicherung</w:t>
      </w:r>
    </w:p>
    <w:p>
      <w:r>
        <w:rPr>
          <w:color w:val="5A7D3A"/>
          <w:sz w:val="18"/>
        </w:rPr>
        <w:t>https://pubmed.ncbi.nlm.nih.gov/42853565/</w:t>
      </w:r>
    </w:p>
    <w:p>
      <w:pPr>
        <w:pStyle w:val="Heading1"/>
      </w:pPr>
      <w:r>
        <w:t>Aufgenommen am 12.10.2026</w:t>
      </w:r>
    </w:p>
    <w:p>
      <w:pPr>
        <w:pStyle w:val="Heading2"/>
      </w:pPr>
      <w:r>
        <w:t>Operative Wartezeiten bei Nierenzellkarzinom in England</w:t>
      </w:r>
    </w:p>
    <w:p>
      <w:r>
        <w:rPr>
          <w:i/>
          <w:color w:val="666666"/>
          <w:sz w:val="18"/>
        </w:rPr>
        <w:t>Varma R et al.  ·  BJU Int  ·  11.10.2026  ·  PMID 42860314</w:t>
      </w:r>
    </w:p>
    <w:p>
      <w:r>
        <w:t>Studie zu Wartezeiten auf operative Behandlung bei Patienten mit hochrisiko- und niedrigrisiko-Nierenzellkarzinom in England, 2019–2023.</w:t>
      </w:r>
    </w:p>
    <w:p>
      <w:r>
        <w:rPr>
          <w:b/>
        </w:rPr>
        <w:t xml:space="preserve">Ergebnis: </w:t>
      </w:r>
      <w:r>
        <w:t>Anteil zeitnaher Operationen (≤31 Tage) sank bei hochrisiko-RCC von 83,7% (2019) auf 64,8% (2023), bei niedrigrisiko-RCC von 71,3% auf 47,6%. Verlängerte Verzögerungen (&gt;62 Tage) verdoppelten sich von 3,9% auf 9,4%. Hochrisiko-Patienten wurden bevorzugt (73,6% vs. 58,2%, adjustierte RR 1,26, KI 1,22–1,31).</w:t>
      </w:r>
    </w:p>
    <w:p>
      <w:r>
        <w:rPr>
          <w:b/>
          <w:sz w:val="19"/>
        </w:rPr>
        <w:t xml:space="preserve">Übertragbarkeit: </w:t>
      </w:r>
      <w:r>
        <w:rPr>
          <w:sz w:val="19"/>
        </w:rPr>
        <w:t>England, NHS-System mit anderen Zugangsstrukturen, aber versorgungsnahe Frage zur chirurgischen Kapazität</w:t>
      </w:r>
    </w:p>
    <w:p>
      <w:r>
        <w:rPr>
          <w:color w:val="5A7D3A"/>
          <w:sz w:val="18"/>
        </w:rPr>
        <w:t>https://pubmed.ncbi.nlm.nih.gov/42860314/</w:t>
      </w:r>
    </w:p>
    <w:p>
      <w:pPr>
        <w:pStyle w:val="Heading2"/>
      </w:pPr>
      <w:r>
        <w:t>Palliativbetreuung in der ambulanten Nephrologie: Wissen und Kommunikation</w:t>
      </w:r>
    </w:p>
    <w:p>
      <w:r>
        <w:rPr>
          <w:i/>
          <w:color w:val="666666"/>
          <w:sz w:val="18"/>
        </w:rPr>
        <w:t>Joshi M et al.  ·  BMC Nephrol  ·  09.10.2026  ·  PMID 42859148</w:t>
      </w:r>
    </w:p>
    <w:p>
      <w:r>
        <w:t>Qualitative und quantitative Studie zu Integration von Palliativbetreuung in deutschen Nephologie-Ambulanzen mittels Befragung und Interviews von 52 Fachkräften sowie 13 Tiefeninterviews.</w:t>
      </w:r>
    </w:p>
    <w:p>
      <w:r>
        <w:rPr>
          <w:b/>
        </w:rPr>
        <w:t xml:space="preserve">Ergebnis: </w:t>
      </w:r>
      <w:r>
        <w:t>Nur etwa die Hälfte der Fachkräfte äußerte Konfidenz in der Identifikation von Patienten mit Palliativbedarf. Gespräche über Behandlungspräferenzen und Vorausplanung fanden inkonsistent statt; Diskussionen über Sterbeort waren selten. Schulung erhöhte das Bewusstsein, strukturelle Barrieren (Zeitdruck, Behandlungsfokus) behinderten aber die Umsetzung.</w:t>
      </w:r>
    </w:p>
    <w:p>
      <w:r>
        <w:rPr>
          <w:b/>
          <w:sz w:val="19"/>
        </w:rPr>
        <w:t xml:space="preserve">Übertragbarkeit: </w:t>
      </w:r>
      <w:r>
        <w:rPr>
          <w:sz w:val="19"/>
        </w:rPr>
        <w:t>Deutsche Studie, ambulante Nephrologiepraxen und Krankenhausambulanzen</w:t>
      </w:r>
    </w:p>
    <w:p>
      <w:r>
        <w:rPr>
          <w:color w:val="5A7D3A"/>
          <w:sz w:val="18"/>
        </w:rPr>
        <w:t>https://pubmed.ncbi.nlm.nih.gov/42859148/</w:t>
      </w:r>
    </w:p>
    <w:p>
      <w:pPr>
        <w:pStyle w:val="Heading2"/>
      </w:pPr>
      <w:r>
        <w:t>Epidemiologie entzündlicher rheumatischer Erkrankungen in Deutschland</w:t>
      </w:r>
    </w:p>
    <w:p>
      <w:r>
        <w:rPr>
          <w:i/>
          <w:color w:val="666666"/>
          <w:sz w:val="18"/>
        </w:rPr>
        <w:t>Albrecht K et al.  ·  EULAR Rheumatol Open  ·  09.07.2026  ·  PMID 42857317</w:t>
      </w:r>
    </w:p>
    <w:p>
      <w:r>
        <w:t>Systematische Übersicht zur Prävalenz und Inzidenz von 11 entzündlichen rheumatischen Erkrankungen in Deutschland und Europa (2013–aktuell) für Personalbedarfsplanung.</w:t>
      </w:r>
    </w:p>
    <w:p>
      <w:r>
        <w:rPr>
          <w:b/>
        </w:rPr>
        <w:t xml:space="preserve">Ergebnis: </w:t>
      </w:r>
      <w:r>
        <w:t>Geschätzte Prävalenz pro 100.000: rheumatoide Arthritis 1.000, Polymyalgia rheumatica 600 (&gt;50 Jahre), axiale Spondylarthritis 300, psoriasis-Arthritis 300, Riesenzellarteriitis 146 (&gt;50 Jahre), primäres Sjögren 70, systemischer Lupus erythematodes 56, systemische Sklerose 35, idiopathische entzündliche Myopathien 17, ANCA-assoziierte Vaskulitiden 26, Behçet 4,7. Gesamtprävalenz entzündlicher rheumatischer Erkrankungen in Deutschland: 2,6% (1,8 Mio. Erwachsene), jährliche Inzidenz 0,2% (130.000 Erwachsene).</w:t>
      </w:r>
    </w:p>
    <w:p>
      <w:r>
        <w:rPr>
          <w:b/>
          <w:sz w:val="19"/>
        </w:rPr>
        <w:t xml:space="preserve">Übertragbarkeit: </w:t>
      </w:r>
      <w:r>
        <w:rPr>
          <w:sz w:val="19"/>
        </w:rPr>
        <w:t>Deutsche Studie mit deutschen Daten und Schätzungen, direkt anwendbar für Versorgungsplanung</w:t>
      </w:r>
    </w:p>
    <w:p>
      <w:r>
        <w:rPr>
          <w:color w:val="5A7D3A"/>
          <w:sz w:val="18"/>
        </w:rPr>
        <w:t>https://pubmed.ncbi.nlm.nih.gov/42857317/</w:t>
      </w:r>
    </w:p>
    <w:p>
      <w:pPr>
        <w:pStyle w:val="Heading2"/>
      </w:pPr>
      <w:r>
        <w:t>Rolle von Ernährungsfachkräften in Langzeitpflegeeinrichtungen</w:t>
      </w:r>
    </w:p>
    <w:p>
      <w:r>
        <w:rPr>
          <w:i/>
          <w:color w:val="666666"/>
          <w:sz w:val="18"/>
        </w:rPr>
        <w:t>Bartrim K et al.  ·  Health Policy  ·  20.09.2026  ·  PMID 42849156</w:t>
      </w:r>
    </w:p>
    <w:p>
      <w:r>
        <w:t>Dokumentenanalyse der Rolle von Ernährungsfachkräften in Langzeitpflegeangeboten in 68 Ländern basierend auf Regelwerke, Standards und Leitlinien.</w:t>
      </w:r>
    </w:p>
    <w:p>
      <w:r>
        <w:rPr>
          <w:b/>
        </w:rPr>
        <w:t xml:space="preserve">Ergebnis: </w:t>
      </w:r>
      <w:r>
        <w:t>Von 68 Ländern hatten 37 (54%) mindestens ein Dokument zu Ernährungsfachkräften in Langzeitpflege. Japan war einziges Land mit allen vier Dokumenttypen; Australien, Türkiye und Nordirland hatten je drei. 14 Themenbereiche identifiziert, u.a. Ernährungsscreening, Speiseplanung, multiprofessionelle Zusammenarbeit. Große globale Unterschiede in Regelungen und anerkannten Rollen.</w:t>
      </w:r>
    </w:p>
    <w:p>
      <w:r>
        <w:rPr>
          <w:b/>
          <w:sz w:val="19"/>
        </w:rPr>
        <w:t xml:space="preserve">Übertragbarkeit: </w:t>
      </w:r>
      <w:r>
        <w:rPr>
          <w:sz w:val="19"/>
        </w:rPr>
        <w:t>Vergleichende Analyse, auf Deutschland begrenzt übertragbar, aufgrund von Unterschieden in Regulierung und Systemstruktur</w:t>
      </w:r>
    </w:p>
    <w:p>
      <w:r>
        <w:rPr>
          <w:color w:val="5A7D3A"/>
          <w:sz w:val="18"/>
        </w:rPr>
        <w:t>https://pubmed.ncbi.nlm.nih.gov/42849156/</w:t>
      </w:r>
    </w:p>
    <w:p>
      <w:pPr>
        <w:pStyle w:val="Heading2"/>
      </w:pPr>
      <w:r>
        <w:t>Kardio-metabole Ergebnisse eines Wellness-Programms auf dem Land</w:t>
      </w:r>
    </w:p>
    <w:p>
      <w:r>
        <w:rPr>
          <w:i/>
          <w:color w:val="666666"/>
          <w:sz w:val="18"/>
        </w:rPr>
        <w:t>Baus A et al.  ·  J Prim Care Community Health  ·  08.10.2026  ·  PMID 42849056</w:t>
      </w:r>
    </w:p>
    <w:p>
      <w:r>
        <w:t>Retrospektive Evaluation eines krankenhausgestützten Wellness-Programms in West Virginia mit 585 aktiven Teilnehmern zur Kardio-metabolischen Gesundheit.</w:t>
      </w:r>
    </w:p>
    <w:p>
      <w:r>
        <w:rPr>
          <w:b/>
        </w:rPr>
        <w:t xml:space="preserve">Ergebnis: </w:t>
      </w:r>
      <w:r>
        <w:t>Bei gepaarten Analysen: Taillenumfang reduziert um 0,19 Inch (KI −0,34 bis −0,03; p=0,0174), diastolischer Blutdruck um 3,38 mmHg (KI −4,54 bis −2,21; p&lt;0,0001). Bei 56 Diabetespatienten mit HbA1c-Messungen: Reduktion um 0,25 Prozentpunkte (KI −0,44 bis −0,06; p=0,0106), bei initial HbA1c ≥7,0% (n=23) um 0,65 Punkte (KI −1,00 bis −0,29; p=0,0010).</w:t>
      </w:r>
    </w:p>
    <w:p>
      <w:r>
        <w:rPr>
          <w:b/>
          <w:sz w:val="19"/>
        </w:rPr>
        <w:t xml:space="preserve">Übertragbarkeit: </w:t>
      </w:r>
      <w:r>
        <w:rPr>
          <w:sz w:val="19"/>
        </w:rPr>
        <w:t>USA, ländliches Setting, aber Fragestellung zu lokalen Wellness-Modellen systemunabhängig relevant</w:t>
      </w:r>
    </w:p>
    <w:p>
      <w:r>
        <w:rPr>
          <w:color w:val="5A7D3A"/>
          <w:sz w:val="18"/>
        </w:rPr>
        <w:t>https://pubmed.ncbi.nlm.nih.gov/42849056/</w:t>
      </w:r>
    </w:p>
    <w:p>
      <w:pPr>
        <w:pStyle w:val="Heading2"/>
      </w:pPr>
      <w:r>
        <w:t>Einzelitemmessungen zu Nebenwirkungsbelastung bei Krebspatienten</w:t>
      </w:r>
    </w:p>
    <w:p>
      <w:r>
        <w:rPr>
          <w:i/>
          <w:color w:val="666666"/>
          <w:sz w:val="18"/>
        </w:rPr>
        <w:t>Jones T et al.  ·  Eur J Cancer  ·  04.10.2026  ·  PMID 42843209</w:t>
      </w:r>
    </w:p>
    <w:p>
      <w:r>
        <w:t>Systematische Übersichtsarbeit zu Einsatz, psychometrischen Eigenschaften und klinischer Validität von Einzelitemmessungen der wahrgenommenen Nebenwirkungsbelastung in Krebsstudien (67 Publikationen, 74 Studienregistrierungen).</w:t>
      </w:r>
    </w:p>
    <w:p>
      <w:r>
        <w:rPr>
          <w:b/>
        </w:rPr>
        <w:t xml:space="preserve">Ergebnis: </w:t>
      </w:r>
      <w:r>
        <w:t>EORTC Q168 konzentriert auf Pankreas- und Gallenwegskrebs; FACIT GP5 breiter eingesetzt. Für FACIT GP5 lagen 27 Publikationen vor mit Befunden zu Inhalts-, Konstrukt- und Diskriminanzvalidität; für Q168 nur 2 Publikationen. Inhaltliche Limitationen bleiben, besonders beim Attributieren von Symptomen zur Behandlung versus Erkrankung oder andere Faktoren.</w:t>
      </w:r>
    </w:p>
    <w:p>
      <w:r>
        <w:rPr>
          <w:b/>
          <w:sz w:val="19"/>
        </w:rPr>
        <w:t xml:space="preserve">Übertragbarkeit: </w:t>
      </w:r>
      <w:r>
        <w:rPr>
          <w:sz w:val="19"/>
        </w:rPr>
        <w:t>Übersichtsarbeit über klinische Krebsforschung, international übertragbar für Instrumentenanwendung</w:t>
      </w:r>
    </w:p>
    <w:p>
      <w:r>
        <w:rPr>
          <w:color w:val="5A7D3A"/>
          <w:sz w:val="18"/>
        </w:rPr>
        <w:t>https://pubmed.ncbi.nlm.nih.gov/42843209/</w:t>
      </w:r>
    </w:p>
    <w:p>
      <w:pPr>
        <w:pStyle w:val="Heading1"/>
      </w:pPr>
      <w:r>
        <w:t>Aufgenommen am 11.10.2026</w:t>
      </w:r>
    </w:p>
    <w:p>
      <w:pPr>
        <w:pStyle w:val="Heading2"/>
      </w:pPr>
      <w:r>
        <w:t>Transitional Care-Erfahrungen ruraler Patientinnen: Qualitativ</w:t>
      </w:r>
    </w:p>
    <w:p>
      <w:r>
        <w:rPr>
          <w:i/>
          <w:color w:val="666666"/>
          <w:sz w:val="18"/>
        </w:rPr>
        <w:t>Randolph SB et al.  ·  J Rural Health  ·  Sept. 2026  ·  PMID 42855931</w:t>
      </w:r>
    </w:p>
    <w:p>
      <w:r>
        <w:t>Qualitative Analyse von Krankenakten von 200 Veteranen (100 rural, 100 urban), die innerhalb 30 Tagen nach Krankenhausentlassung starben.</w:t>
      </w:r>
    </w:p>
    <w:p>
      <w:r>
        <w:rPr>
          <w:b/>
        </w:rPr>
        <w:t xml:space="preserve">Ergebnis: </w:t>
      </w:r>
      <w:r>
        <w:t>Drei zentrale Themen für rurale Patienten: geografische Entfernungen (längere Fahrtzeiten), Ablehnung von Homecare-Services und hohe Belastung der Betreuer. Diese Faktoren führten zu Diskordanz und Unsicherheit zwischen Patient, Team und Angehörigen.</w:t>
      </w:r>
    </w:p>
    <w:p>
      <w:r>
        <w:rPr>
          <w:b/>
          <w:sz w:val="19"/>
        </w:rPr>
        <w:t xml:space="preserve">Übertragbarkeit: </w:t>
      </w:r>
      <w:r>
        <w:rPr>
          <w:sz w:val="19"/>
        </w:rPr>
        <w:t>USA-Veteranensystem; Erkenntnisse zu Übergangsversorgung aber systemübergreifend relevant</w:t>
      </w:r>
    </w:p>
    <w:p>
      <w:r>
        <w:rPr>
          <w:color w:val="5A7D3A"/>
          <w:sz w:val="18"/>
        </w:rPr>
        <w:t>https://pubmed.ncbi.nlm.nih.gov/42855931/</w:t>
      </w:r>
    </w:p>
    <w:p>
      <w:pPr>
        <w:pStyle w:val="Heading2"/>
      </w:pPr>
      <w:r>
        <w:t>Employment instability und katastrophale Gesundheitsausgaben in Südkorea</w:t>
      </w:r>
    </w:p>
    <w:p>
      <w:r>
        <w:rPr>
          <w:i/>
          <w:color w:val="666666"/>
          <w:sz w:val="18"/>
        </w:rPr>
        <w:t>Yang JM et al.  ·  BMC Health Serv Res  ·  19.08.2026  ·  PMID 42855683</w:t>
      </w:r>
    </w:p>
    <w:p>
      <w:r>
        <w:t>Längsschnittstudie zur Assoziation zwischen Beschäftigungsstabilität und katastrophalen Gesundheitsausgaben bei koreanischen Erwachsenen ab 50 Jahren.</w:t>
      </w:r>
    </w:p>
    <w:p>
      <w:r>
        <w:rPr>
          <w:b/>
        </w:rPr>
        <w:t xml:space="preserve">Ergebnis: </w:t>
      </w:r>
      <w:r>
        <w:t>Persistierende Arbeitslosigkeit erhöhte die Odds für katastrophale Ausgaben um das 1,26-1,34-Fache (p&lt;0,05). Berufliche Übergänge in Arbeitslosigkeit zeigten ähnliche Effekte. Effekt nur in der Altersgruppe ≥50 Jahre signifikant.</w:t>
      </w:r>
    </w:p>
    <w:p>
      <w:r>
        <w:rPr>
          <w:b/>
          <w:sz w:val="19"/>
        </w:rPr>
        <w:t xml:space="preserve">Übertragbarkeit: </w:t>
      </w:r>
      <w:r>
        <w:rPr>
          <w:sz w:val="19"/>
        </w:rPr>
        <w:t>Südkorea, gesetzliche Krankenversicherung, direkter Vergleich möglich</w:t>
      </w:r>
    </w:p>
    <w:p>
      <w:r>
        <w:rPr>
          <w:color w:val="5A7D3A"/>
          <w:sz w:val="18"/>
        </w:rPr>
        <w:t>https://pubmed.ncbi.nlm.nih.gov/42855683/</w:t>
      </w:r>
    </w:p>
    <w:p>
      <w:pPr>
        <w:pStyle w:val="Heading2"/>
      </w:pPr>
      <w:r>
        <w:t>Klimabewusstsein und Öko-Angst bei Gesundheitspersonal</w:t>
      </w:r>
    </w:p>
    <w:p>
      <w:r>
        <w:rPr>
          <w:i/>
          <w:color w:val="666666"/>
          <w:sz w:val="18"/>
        </w:rPr>
        <w:t>Özdemir T et al.  ·  BMC Health Serv Res  ·  01.10.2026  ·  PMID 42850626</w:t>
      </w:r>
    </w:p>
    <w:p>
      <w:r>
        <w:t>Querschnittsstudie bei 460 Fachkräften im Gesundheitswesen zu Zusammenhängen zwischen Klimabewusstsein, Öko-Angst und Umweltsensibilität.</w:t>
      </w:r>
    </w:p>
    <w:p>
      <w:r>
        <w:rPr>
          <w:b/>
        </w:rPr>
        <w:t xml:space="preserve">Ergebnis: </w:t>
      </w:r>
      <w:r>
        <w:t>Moderate Ausprägung bei Klimabewusstsein und Umweltsensibilität; moderate Öko-Angst. Klimabewusstsein, Pflegefachkräfte-Status, Alter ≥45 Jahre und Mitgliedschaft in Umweltorganisationen waren signifikante Prädiktoren (p&lt;0,05). Ruminations-Subdimension marginal nicht-signifikant (p=0,064).</w:t>
      </w:r>
    </w:p>
    <w:p>
      <w:r>
        <w:rPr>
          <w:b/>
          <w:sz w:val="19"/>
        </w:rPr>
        <w:t xml:space="preserve">Übertragbarkeit: </w:t>
      </w:r>
      <w:r>
        <w:rPr>
          <w:sz w:val="19"/>
        </w:rPr>
        <w:t>Türkei, Gesundheitssystem mit Versorger-fokussiertem Ansatz, Health Services Research</w:t>
      </w:r>
    </w:p>
    <w:p>
      <w:r>
        <w:rPr>
          <w:color w:val="5A7D3A"/>
          <w:sz w:val="18"/>
        </w:rPr>
        <w:t>https://pubmed.ncbi.nlm.nih.gov/42850626/</w:t>
      </w:r>
    </w:p>
    <w:p>
      <w:pPr>
        <w:pStyle w:val="Heading2"/>
      </w:pPr>
      <w:r>
        <w:t>Wearable-Sensoren zur Bewegungskontrolle in geriatrischer Rehabilitation</w:t>
      </w:r>
    </w:p>
    <w:p>
      <w:r>
        <w:rPr>
          <w:i/>
          <w:color w:val="666666"/>
          <w:sz w:val="18"/>
        </w:rPr>
        <w:t>Debeij SM et al.  ·  Eur Geriatr Med  ·  06.10.2026  ·  PMID 42839204</w:t>
      </w:r>
    </w:p>
    <w:p>
      <w:r>
        <w:t>Mixed-Methods-Studie zur Nutzerfreundlichkeit und Machbarkeit eines Sensorsystems mit Rückmeldung zur Sedentarität bei geriatrischen Patienten (stationär und ambulant).</w:t>
      </w:r>
    </w:p>
    <w:p>
      <w:r>
        <w:rPr>
          <w:b/>
        </w:rPr>
        <w:t xml:space="preserve">Ergebnis: </w:t>
      </w:r>
      <w:r>
        <w:t>Machbarkeit ausreichend (hohe Adhärenz), Nutzerfreundlichkeit begrenzt. Technische Probleme (Messergenauigkeit) und Implementierungshürden (fehlende Individualisierung, unklarer Mehrwert). Teilnehmer: 26 Patienten, 9 Fachkräfte; 22 Interviews durchgeführt.</w:t>
      </w:r>
    </w:p>
    <w:p>
      <w:r>
        <w:rPr>
          <w:b/>
          <w:sz w:val="19"/>
        </w:rPr>
        <w:t xml:space="preserve">Übertragbarkeit: </w:t>
      </w:r>
      <w:r>
        <w:rPr>
          <w:sz w:val="19"/>
        </w:rPr>
        <w:t>Niederlande, Sozialversicherung, gute Übertragbarkeit auf deutsches Gesundheitswesen</w:t>
      </w:r>
    </w:p>
    <w:p>
      <w:r>
        <w:rPr>
          <w:color w:val="5A7D3A"/>
          <w:sz w:val="18"/>
        </w:rPr>
        <w:t>https://pubmed.ncbi.nlm.nih.gov/42839204/</w:t>
      </w:r>
    </w:p>
    <w:p>
      <w:pPr>
        <w:pStyle w:val="Heading2"/>
      </w:pPr>
      <w:r>
        <w:t>Rotavirus-Impfung in Vietnam: Effektivität und Kosteneffektivität</w:t>
      </w:r>
    </w:p>
    <w:p>
      <w:r>
        <w:rPr>
          <w:i/>
          <w:color w:val="666666"/>
          <w:sz w:val="18"/>
        </w:rPr>
        <w:t>Dang HTT et al.  ·  Vaccine  ·  06.10.2026  ·  PMID 42837896</w:t>
      </w:r>
    </w:p>
    <w:p>
      <w:r>
        <w:t>Modellierungsstudie zur Auswirkung und Kosteneffektivität der Rotavirus-Impfung (ROTAVIN) bei Kindern unter fünf Jahren in Vietnam.</w:t>
      </w:r>
    </w:p>
    <w:p>
      <w:r>
        <w:rPr>
          <w:b/>
        </w:rPr>
        <w:t xml:space="preserve">Ergebnis: </w:t>
      </w:r>
      <w:r>
        <w:t>Über 10 Jahre würde Impfung 97.776 Hospitalisierungen (KI 72.722–342.311) und 433 Todesfälle (KI 330–1300) verhindern. Kosten von 39,5 Mio. USD für zehn Kohorten. ICER von 982 USD pro vermiedenem DALY (Staatsperspektive); kostensparen aus Gesellschaftsperspektive mit 99% Wahrscheinlichkeit.</w:t>
      </w:r>
    </w:p>
    <w:p>
      <w:r>
        <w:rPr>
          <w:b/>
          <w:sz w:val="19"/>
        </w:rPr>
        <w:t xml:space="preserve">Übertragbarkeit: </w:t>
      </w:r>
      <w:r>
        <w:rPr>
          <w:sz w:val="19"/>
        </w:rPr>
        <w:t>Vietnams Gesundheitssystem, Sozialversicherung, hohe Übertragbarkeit auf ähnliche Kontexte</w:t>
      </w:r>
    </w:p>
    <w:p>
      <w:r>
        <w:rPr>
          <w:color w:val="5A7D3A"/>
          <w:sz w:val="18"/>
        </w:rPr>
        <w:t>https://pubmed.ncbi.nlm.nih.gov/42837896/</w:t>
      </w:r>
    </w:p>
    <w:p>
      <w:pPr>
        <w:pStyle w:val="Heading1"/>
      </w:pPr>
      <w:r>
        <w:t>Aufgenommen am 10.10.2026</w:t>
      </w:r>
    </w:p>
    <w:p>
      <w:pPr>
        <w:pStyle w:val="Heading2"/>
      </w:pPr>
      <w:r>
        <w:t>Transition in rheumatology: Versorgungslücken beim Übergang ins Erwachsenenalter</w:t>
      </w:r>
    </w:p>
    <w:p>
      <w:r>
        <w:rPr>
          <w:i/>
          <w:color w:val="666666"/>
          <w:sz w:val="18"/>
        </w:rPr>
        <w:t>Milatz F et al.  ·  Z Rheumatol  ·  09.10.2026  ·  PMID 42853413</w:t>
      </w:r>
    </w:p>
    <w:p>
      <w:r>
        <w:t>Querschnittsbefragung von 269 jungen Erwachsenen mit juveniler idiopathischer Arthritis zur Versorgungskontinuität beim Übergang von der Kinder- in die internistische Rheumatologie.</w:t>
      </w:r>
    </w:p>
    <w:p>
      <w:r>
        <w:rPr>
          <w:b/>
        </w:rPr>
        <w:t xml:space="preserve">Ergebnis: </w:t>
      </w:r>
      <w:r>
        <w:t>45% der jungen Erwachsenen erhielten fachspezifische rheumatologische Betreuung; Transitionskompetenz bei Versorgten höher (22,7 vs. 19,0; p&lt;0,001); 35% erhielten keinen zusammenfassenden Arztbericht; durchschnittlich 9,9 Monate zwischen letzter Kinder- und erster Erwachsenenvorstellung; Nicht-Versorgte erhielten seltener Basistherapie (18% vs. 63%); ~20% berichteten relevante depressive Symptome.</w:t>
      </w:r>
    </w:p>
    <w:p>
      <w:r>
        <w:rPr>
          <w:b/>
          <w:sz w:val="19"/>
        </w:rPr>
        <w:t xml:space="preserve">Übertragbarkeit: </w:t>
      </w:r>
      <w:r>
        <w:rPr>
          <w:sz w:val="19"/>
        </w:rPr>
        <w:t>Deutsche Routinedaten, gesetzlich Versicherte (Barmer)</w:t>
      </w:r>
    </w:p>
    <w:p>
      <w:r>
        <w:rPr>
          <w:color w:val="5A7D3A"/>
          <w:sz w:val="18"/>
        </w:rPr>
        <w:t>https://pubmed.ncbi.nlm.nih.gov/42853413/</w:t>
      </w:r>
    </w:p>
    <w:p>
      <w:pPr>
        <w:pStyle w:val="Heading2"/>
      </w:pPr>
      <w:r>
        <w:t>Finanzielle Anreize erhöhen Screening-Quote bei Darmkrebs</w:t>
      </w:r>
    </w:p>
    <w:p>
      <w:r>
        <w:rPr>
          <w:i/>
          <w:color w:val="666666"/>
          <w:sz w:val="18"/>
        </w:rPr>
        <w:t>Perry LM et al.  ·  Health Serv Res  ·  22.07.2025  ·  PMID 42853034</w:t>
      </w:r>
    </w:p>
    <w:p>
      <w:r>
        <w:t>Pilotversuch zur Effektivität von finanziellen Anreizen für Darmkrebsvorsorge-Screening in ländlicher US-Primärversorgung.</w:t>
      </w:r>
    </w:p>
    <w:p>
      <w:r>
        <w:rPr>
          <w:b/>
        </w:rPr>
        <w:t xml:space="preserve">Ergebnis: </w:t>
      </w:r>
      <w:r>
        <w:t>68% der Interventionsgruppe vs. 32% der Kontrollgruppe absolvierten CRC-Screening (p=0,02); 57% der interessierten Personen waren berechtigt; 94% der Berechtigten nahmen teil; durchschnittliche Teilnehmerin 52,4 Jahre alt, 70% weiblich, 42% schwarz, 24% unversichert.</w:t>
      </w:r>
    </w:p>
    <w:p>
      <w:r>
        <w:rPr>
          <w:b/>
          <w:sz w:val="19"/>
        </w:rPr>
        <w:t xml:space="preserve">Übertragbarkeit: </w:t>
      </w:r>
      <w:r>
        <w:rPr>
          <w:sz w:val="19"/>
        </w:rPr>
        <w:t>Nur bedingt: US-fragmentiertes Versicherungssystem, anderer Zugangskontext</w:t>
      </w:r>
    </w:p>
    <w:p>
      <w:r>
        <w:rPr>
          <w:color w:val="5A7D3A"/>
          <w:sz w:val="18"/>
        </w:rPr>
        <w:t>https://pubmed.ncbi.nlm.nih.gov/42853034/</w:t>
      </w:r>
    </w:p>
    <w:p>
      <w:pPr>
        <w:pStyle w:val="Heading2"/>
      </w:pPr>
      <w:r>
        <w:t>Wespenart beeinflusst Erfolg von Wespengiftimmuntherapie-Provokationen</w:t>
      </w:r>
    </w:p>
    <w:p>
      <w:r>
        <w:rPr>
          <w:i/>
          <w:color w:val="666666"/>
          <w:sz w:val="18"/>
        </w:rPr>
        <w:t>Oppel E et al.  ·  Allergol Select  ·  25.09.2026  ·  PMID 42852156</w:t>
      </w:r>
    </w:p>
    <w:p>
      <w:r>
        <w:t>Retrospektive Analyse von 1.163 Patienten unter Wespengiftimmuntherapie hinsichtlich Einflussfaktoren auf Toleranz gegenüber künstlichen Stichproben.</w:t>
      </w:r>
    </w:p>
    <w:p>
      <w:r>
        <w:rPr>
          <w:b/>
        </w:rPr>
        <w:t xml:space="preserve">Ergebnis: </w:t>
      </w:r>
      <w:r>
        <w:t>Stichproben wurden von 1.141 Patienten (98,1%) toleriert; Vespula-Arten zeigten signifikant höhere Toleranzrate als Dolichovespula-Arten (OR 7,69, 95% CI 2,66–20,43); Hauttest-Konversion (positiv→negativ bei 10 µg/mL) zeigte Trend zu verbesserter Toleranz (OR 2,26, 95% CI 0,68–11,53); in 53,2±38,5 Monaten Follow-up: 6 Systemreaktionen nach Feldstichen, keine aus Dolichovespula-Gruppe.</w:t>
      </w:r>
    </w:p>
    <w:p>
      <w:r>
        <w:rPr>
          <w:b/>
          <w:sz w:val="19"/>
        </w:rPr>
        <w:t xml:space="preserve">Übertragbarkeit: </w:t>
      </w:r>
      <w:r>
        <w:rPr>
          <w:sz w:val="19"/>
        </w:rPr>
        <w:t>Deutschland, vergleichbare allergologische Standardversorgung</w:t>
      </w:r>
    </w:p>
    <w:p>
      <w:r>
        <w:rPr>
          <w:color w:val="5A7D3A"/>
          <w:sz w:val="18"/>
        </w:rPr>
        <w:t>https://pubmed.ncbi.nlm.nih.gov/42852156/</w:t>
      </w:r>
    </w:p>
    <w:p>
      <w:pPr>
        <w:pStyle w:val="Heading2"/>
      </w:pPr>
      <w:r>
        <w:t>Patientenbeteiligung bei Leitlinienentwicklung: Erfahrungen in Deutschland</w:t>
      </w:r>
    </w:p>
    <w:p>
      <w:r>
        <w:rPr>
          <w:i/>
          <w:color w:val="666666"/>
          <w:sz w:val="18"/>
        </w:rPr>
        <w:t>Orduhan C et al.  ·  Clin Public Health Guidel  ·  10.08.2026  ·  PMID 42808020</w:t>
      </w:r>
    </w:p>
    <w:p>
      <w:r>
        <w:t>Qualitative Interviewstudie mit 23 Patientenvertretern, die an deutscher Leitlinienentwicklung partizipierten, zu Erfahrungen und Herausforderungen.</w:t>
      </w:r>
    </w:p>
    <w:p>
      <w:r>
        <w:rPr>
          <w:b/>
        </w:rPr>
        <w:t xml:space="preserve">Ergebnis: </w:t>
      </w:r>
      <w:r>
        <w:t>Aktive Mitgliedschaft in Leitliniengruppen war dominante Beteiligungsstrategie; positive Einflussfaktoren: Vorbereitungstraining, andere Patientenvertreter, Wertschätzung (häufig benannt); Herausforderungen: Rekrutierung, Mangel an Inklusion und Diversität; Mehrheit war mit Beteiligungsform zufrieden, identifizierte aber ungedeckte Bedarfe; Vorbereitungsaktivitäten als essentiell für effektive Partizipation.</w:t>
      </w:r>
    </w:p>
    <w:p>
      <w:r>
        <w:rPr>
          <w:b/>
          <w:sz w:val="19"/>
        </w:rPr>
        <w:t xml:space="preserve">Übertragbarkeit: </w:t>
      </w:r>
      <w:r>
        <w:rPr>
          <w:sz w:val="19"/>
        </w:rPr>
        <w:t>Deutsche Kontextdaten zur Leitlinienmitgestaltung</w:t>
      </w:r>
    </w:p>
    <w:p>
      <w:r>
        <w:rPr>
          <w:color w:val="5A7D3A"/>
          <w:sz w:val="18"/>
        </w:rPr>
        <w:t>https://pubmed.ncbi.nlm.nih.gov/42808020/</w:t>
      </w:r>
    </w:p>
    <w:p>
      <w:pPr>
        <w:pStyle w:val="Heading2"/>
      </w:pPr>
      <w:r>
        <w:t>Geschlechtsspezifische Unterschiede in Selbsteinschätzung dermatologischer Kompetenzen</w:t>
      </w:r>
    </w:p>
    <w:p>
      <w:r>
        <w:rPr>
          <w:i/>
          <w:color w:val="666666"/>
          <w:sz w:val="18"/>
        </w:rPr>
        <w:t>Heinen I et al.  ·  GMS J Med Educ  ·  15.09.2026  ·  PMID 42807627</w:t>
      </w:r>
    </w:p>
    <w:p>
      <w:r>
        <w:t>Quasi-experimentelle Prä-Post-Befragung von 142 Medizinstudierenden zur Selbsteinschätzung dermatologischer Kenntnisse vor und nach Seminar zu Hauterkrankungen bei Skin of Color.</w:t>
      </w:r>
    </w:p>
    <w:p>
      <w:r>
        <w:rPr>
          <w:b/>
        </w:rPr>
        <w:t xml:space="preserve">Ergebnis: </w:t>
      </w:r>
      <w:r>
        <w:t>Studentinnen schätzten anfangs Kenntnisse zu anatomischen/physiologischen Unterschieden (p&lt;0,001, η²=0,078) und Hauttyp-Skalen (p&lt;0,001, η²=0,085) sowie diagnostische Fähigkeiten signifikant schlechter ein als Studenten (p&lt;0,001, η²=0,075), obwohl objektive MC-Testergebnisse nicht differierten (p=0,905); nach Seminar keine geschlechtsspezifischen Unterschiede mehr vorhanden.</w:t>
      </w:r>
    </w:p>
    <w:p>
      <w:r>
        <w:rPr>
          <w:b/>
          <w:sz w:val="19"/>
        </w:rPr>
        <w:t xml:space="preserve">Übertragbarkeit: </w:t>
      </w:r>
      <w:r>
        <w:rPr>
          <w:sz w:val="19"/>
        </w:rPr>
        <w:t>Deutschland, medizinische Hochschulausbildung vergleichbar</w:t>
      </w:r>
    </w:p>
    <w:p>
      <w:r>
        <w:rPr>
          <w:color w:val="5A7D3A"/>
          <w:sz w:val="18"/>
        </w:rPr>
        <w:t>https://pubmed.ncbi.nlm.nih.gov/42807627/</w:t>
      </w:r>
    </w:p>
    <w:p>
      <w:pPr>
        <w:pStyle w:val="Heading1"/>
      </w:pPr>
      <w:r>
        <w:t>Aufgenommen am 09.10.2026</w:t>
      </w:r>
    </w:p>
    <w:p>
      <w:pPr>
        <w:pStyle w:val="Heading2"/>
      </w:pPr>
      <w:r>
        <w:t>Telemedicine-Nutzung in Japan 2020–2024: Persistierende Ungleichheiten</w:t>
      </w:r>
    </w:p>
    <w:p>
      <w:r>
        <w:rPr>
          <w:i/>
          <w:color w:val="666666"/>
          <w:sz w:val="18"/>
        </w:rPr>
        <w:t>Ito H et al.  ·  J Med Internet Res  ·  08.10.2026  ·  PMID 42849039</w:t>
      </w:r>
    </w:p>
    <w:p>
      <w:r>
        <w:t>Longitudinale Panelstudie zur Entwicklung von Chancenungleichheiten bei der Telemedizin-Adoption in Japan über vier Jahre mit 10.818 Teilnehmern.</w:t>
      </w:r>
    </w:p>
    <w:p>
      <w:r>
        <w:rPr>
          <w:b/>
        </w:rPr>
        <w:t xml:space="preserve">Ergebnis: </w:t>
      </w:r>
      <w:r>
        <w:t>Telemedizin-Adoption stieg von 2,6% (2020) auf 7,0% (2024). Altersbedingte Ungleichheiten verschärften sich: Bei 70–75-Jährigen +1,0 Prozentpunkte vs. 18–29-Jährigen +13,1 Prozentpunkte (DID –12,1 PP, 95% KI –18,2 bis –5,9). Arbeitslose zeigten kleinere Zunahmen (+2,8 vs. +5,7 PP bei höheren Angestellten; DID –2,9 PP).</w:t>
      </w:r>
    </w:p>
    <w:p>
      <w:r>
        <w:rPr>
          <w:b/>
          <w:sz w:val="19"/>
        </w:rPr>
        <w:t xml:space="preserve">Übertragbarkeit: </w:t>
      </w:r>
      <w:r>
        <w:rPr>
          <w:sz w:val="19"/>
        </w:rPr>
        <w:t>Japan, nationale Kohorte mit berichteten Adoptionsdaten, digitale Gerechtigkeit systemübergreifend relevant</w:t>
      </w:r>
    </w:p>
    <w:p>
      <w:r>
        <w:rPr>
          <w:color w:val="5A7D3A"/>
          <w:sz w:val="18"/>
        </w:rPr>
        <w:t>https://pubmed.ncbi.nlm.nih.gov/42849039/</w:t>
      </w:r>
    </w:p>
    <w:p>
      <w:pPr>
        <w:pStyle w:val="Heading2"/>
      </w:pPr>
      <w:r>
        <w:t>Retinoid-Umstellung in vier europäischen Ländern nach Schwangerschaftsprävention 2018</w:t>
      </w:r>
    </w:p>
    <w:p>
      <w:r>
        <w:rPr>
          <w:i/>
          <w:color w:val="666666"/>
          <w:sz w:val="18"/>
        </w:rPr>
        <w:t>Riera-Arnau J et al.  ·  Drug Saf  ·  08.10.2026  ·  PMID 42848129</w:t>
      </w:r>
    </w:p>
    <w:p>
      <w:r>
        <w:t>Unterbrochene Zeitreihenanalyse zum Effekt der EU-Schwangerschaftspräventionsprogramm-Aktualisierung 2018 auf Wechsel von oralen Retinoiden zu Alternativmedikamenten bei Frauen im gebärfähigen Alter in vier europäischen Ländern mit 88.992 Frauen.</w:t>
      </w:r>
    </w:p>
    <w:p>
      <w:r>
        <w:rPr>
          <w:b/>
        </w:rPr>
        <w:t xml:space="preserve">Ergebnis: </w:t>
      </w:r>
      <w:r>
        <w:t>32,0% (28.446/88.992) wechselten zu Alternativmedikamenten über den Studienzeitraum. Mediane Wechselraten: 1,8–6,5% monatlich präimplementiert, 1,2–2,3% postimplementiert. Kleine aber statistisch signifikante Abnahme der Wechselrate nach Intervention in Italien (–0,035%, p&lt;0,01), Spanien VID (–0,04%, p&lt;0,01) und BIFAP (–0,03%, p=0,02); Effekte verschwanden bei Ausschluss COVID-19-Lockdown-Periode.</w:t>
      </w:r>
    </w:p>
    <w:p>
      <w:r>
        <w:rPr>
          <w:b/>
          <w:sz w:val="19"/>
        </w:rPr>
        <w:t xml:space="preserve">Übertragbarkeit: </w:t>
      </w:r>
      <w:r>
        <w:rPr>
          <w:sz w:val="19"/>
        </w:rPr>
        <w:t>Niederlande, Spanien, Italien, Dänemark – europäische Sozialversicherungssysteme, Pharmacoepidemiology-Daten</w:t>
      </w:r>
    </w:p>
    <w:p>
      <w:r>
        <w:rPr>
          <w:color w:val="5A7D3A"/>
          <w:sz w:val="18"/>
        </w:rPr>
        <w:t>https://pubmed.ncbi.nlm.nih.gov/42848129/</w:t>
      </w:r>
    </w:p>
    <w:p>
      <w:pPr>
        <w:pStyle w:val="Heading2"/>
      </w:pPr>
      <w:r>
        <w:t>Prähabilitationsakzeptanz bei Hüft- und Kniegelenkersatz: Qualitative Stakeholder-Perspektiven</w:t>
      </w:r>
    </w:p>
    <w:p>
      <w:r>
        <w:rPr>
          <w:i/>
          <w:color w:val="666666"/>
          <w:sz w:val="18"/>
        </w:rPr>
        <w:t>Burgess N et al.  ·  Musculoskeletal Care  ·  Dez. 2026  ·  PMID 42847740</w:t>
      </w:r>
    </w:p>
    <w:p>
      <w:r>
        <w:t>Qualitative Studie mit 30 Interviews (15 Patienten, 15 Fachpersonen) zu Akzeptanz, Barrieren und Lösungen bei Prähabilitationsprogrammen vor Hüft- und Kniegelenksersatz in Australien.</w:t>
      </w:r>
    </w:p>
    <w:p>
      <w:r>
        <w:rPr>
          <w:b/>
        </w:rPr>
        <w:t xml:space="preserve">Ergebnis: </w:t>
      </w:r>
      <w:r>
        <w:t>Prähabilitationsmaßnahme wurde allgemein als akzeptabel und vorteilhaft bewertet. Drei Hauptkonzepte: (1) Verständnis variierte, aber positive Bewertung überwiegend; (2) Barrieren/Förderfaktoren auf Patienten-, Fachpersonen- und Systemebene identifiziert (lange Wartelisten, mangelndes Vertrauen, Gesprächssicherheit); (3) Beide Gruppen betonten individuelle Anpassung, multimodale Intervention und kontinuierliche Unterstützung im OP-Verlauf als erfolgskritisch.</w:t>
      </w:r>
    </w:p>
    <w:p>
      <w:r>
        <w:rPr>
          <w:b/>
          <w:sz w:val="19"/>
        </w:rPr>
        <w:t xml:space="preserve">Übertragbarkeit: </w:t>
      </w:r>
      <w:r>
        <w:rPr>
          <w:sz w:val="19"/>
        </w:rPr>
        <w:t>Australien, öffentliches Versorgungssystem – Prozessqualität und Patientenperspektive gut übertragbar</w:t>
      </w:r>
    </w:p>
    <w:p>
      <w:r>
        <w:rPr>
          <w:color w:val="5A7D3A"/>
          <w:sz w:val="18"/>
        </w:rPr>
        <w:t>https://pubmed.ncbi.nlm.nih.gov/42847740/</w:t>
      </w:r>
    </w:p>
    <w:p>
      <w:pPr>
        <w:pStyle w:val="Heading2"/>
      </w:pPr>
      <w:r>
        <w:t>ADHS-Medikation in Norwegen: Anhaltende Anstiege nach COVID-19</w:t>
      </w:r>
    </w:p>
    <w:p>
      <w:r>
        <w:rPr>
          <w:i/>
          <w:color w:val="666666"/>
          <w:sz w:val="18"/>
        </w:rPr>
        <w:t>Reme BA et al.  ·  Scand J Public Health  ·  08.10.2026  ·  PMID 42847285</w:t>
      </w:r>
    </w:p>
    <w:p>
      <w:r>
        <w:t>Register-basierte Zeitreihenanalyse der ADHS-Arzneimittelverordnungen in Norwegen 2009–2024 mit 63,7 Millionen Personenjahren.</w:t>
      </w:r>
    </w:p>
    <w:p>
      <w:r>
        <w:rPr>
          <w:b/>
        </w:rPr>
        <w:t xml:space="preserve">Ergebnis: </w:t>
      </w:r>
      <w:r>
        <w:t>ADHS-Medikation vor 2020 stabil, danach deutlicher Anstieg. Größte Anstiege bei weiblichen Adoleszenten (15–24 Jahre): +19 Prozentpunkte (von 5,2% auf 24,4% jährlich). Männliche Jugendliche (15–24 Jahre): +9,0 Prozentpunkte (von 2,7% auf 11,7%). Der Anstieg blieb auch nach 2020 dauerhaft.</w:t>
      </w:r>
    </w:p>
    <w:p>
      <w:r>
        <w:rPr>
          <w:b/>
          <w:sz w:val="19"/>
        </w:rPr>
        <w:t xml:space="preserve">Übertragbarkeit: </w:t>
      </w:r>
      <w:r>
        <w:rPr>
          <w:sz w:val="19"/>
        </w:rPr>
        <w:t>Norwegen, nationale Verordnungsdatenbank, Fragestellung zur Versorgungspraxis systemübergreifend</w:t>
      </w:r>
    </w:p>
    <w:p>
      <w:r>
        <w:rPr>
          <w:color w:val="5A7D3A"/>
          <w:sz w:val="18"/>
        </w:rPr>
        <w:t>https://pubmed.ncbi.nlm.nih.gov/42847285/</w:t>
      </w:r>
    </w:p>
    <w:p>
      <w:pPr>
        <w:pStyle w:val="Heading2"/>
      </w:pPr>
      <w:r>
        <w:t>Agent-basiertes Modell der Demenzbetreuung in der Gemeinde: Validierte Baseline-Szenarien</w:t>
      </w:r>
    </w:p>
    <w:p>
      <w:r>
        <w:rPr>
          <w:i/>
          <w:color w:val="666666"/>
          <w:sz w:val="18"/>
        </w:rPr>
        <w:t>Zhu C et al.  ·  Front Public Health  ·  23.09.2026  ·  PMID 42846501</w:t>
      </w:r>
    </w:p>
    <w:p>
      <w:r>
        <w:t>Entwicklung und Validierung eines regelgestützten agentengestützten Modells (ABM) zur Simulation der Langzeitdynamiken in der gemeindlichen Demenzbetreuung mit evidenzgestützten Parametern.</w:t>
      </w:r>
    </w:p>
    <w:p>
      <w:r>
        <w:rPr>
          <w:b/>
        </w:rPr>
        <w:t xml:space="preserve">Ergebnis: </w:t>
      </w:r>
      <w:r>
        <w:t>BPSD-Prävalenz stieg von 75,6% (Start) auf 96,4% (Monat 60; Monte-Carlo 95% KI 96,3–96,5%). Durchschnittliche Betreuungslast erhöhte sich von 0,505 auf 0,782. Im Monat 60 befanden sich durchschnittlich 161 Betreuungseinheiten in institutioneller Betreuung. Lokale Sensitivitätsanalysen zeigten begrenzte Variabilität in Primäroutcomes über getestete Bereiche.</w:t>
      </w:r>
    </w:p>
    <w:p>
      <w:r>
        <w:rPr>
          <w:b/>
          <w:sz w:val="19"/>
        </w:rPr>
        <w:t xml:space="preserve">Übertragbarkeit: </w:t>
      </w:r>
      <w:r>
        <w:rPr>
          <w:sz w:val="19"/>
        </w:rPr>
        <w:t>China, strukturiertes Health Services Research-Modell für spezialisierte Versorgungsforschung</w:t>
      </w:r>
    </w:p>
    <w:p>
      <w:r>
        <w:rPr>
          <w:color w:val="5A7D3A"/>
          <w:sz w:val="18"/>
        </w:rPr>
        <w:t>https://pubmed.ncbi.nlm.nih.gov/42846501/</w:t>
      </w:r>
    </w:p>
    <w:p>
      <w:pPr>
        <w:pStyle w:val="Heading2"/>
      </w:pPr>
      <w:r>
        <w:t>Psychosoziales Wohlbefinden bei Long COVID: Patientenzentrierte Interventionsstrategien</w:t>
      </w:r>
    </w:p>
    <w:p>
      <w:r>
        <w:rPr>
          <w:i/>
          <w:color w:val="666666"/>
          <w:sz w:val="18"/>
        </w:rPr>
        <w:t>Martinez BD et al.  ·  Front Psychiatry  ·  23.09.2026  ·  PMID 42846347</w:t>
      </w:r>
    </w:p>
    <w:p>
      <w:r>
        <w:t>Qualitative Studie mit 19 semi-strukturierten Interviews und Community Advisory Team-Fokusgruppen zu Faktoren und patientengenerierten Strategien für psychosoziales Wohlbefinden bei Long COVID.</w:t>
      </w:r>
    </w:p>
    <w:p>
      <w:r>
        <w:rPr>
          <w:b/>
        </w:rPr>
        <w:t xml:space="preserve">Ergebnis: </w:t>
      </w:r>
      <w:r>
        <w:t>Drei Primärfaktoren beeinflussen negativ psychosoziales Wohlbefinden: Identitätsstörung (Verlust von Fähigkeiten, Selbstständigkeit), Isolation (reduzierte soziale Partizipation, Stigmatisierung), Unsicherheit (Krankheits-/Behandlungspfade, Invaliditätssysteme). Patienten identifizierten: Case-Management, strukturierte Peersupport, Public-Awareness-Kampagnen und persönliche Adaptationspraktiken als förderlich.</w:t>
      </w:r>
    </w:p>
    <w:p>
      <w:r>
        <w:rPr>
          <w:b/>
          <w:sz w:val="19"/>
        </w:rPr>
        <w:t xml:space="preserve">Übertragbarkeit: </w:t>
      </w:r>
      <w:r>
        <w:rPr>
          <w:sz w:val="19"/>
        </w:rPr>
        <w:t>USA, systemunabhängig – psychosoziale Versorgungsfragen krankheitsübergreifend relevant</w:t>
      </w:r>
    </w:p>
    <w:p>
      <w:r>
        <w:rPr>
          <w:color w:val="5A7D3A"/>
          <w:sz w:val="18"/>
        </w:rPr>
        <w:t>https://pubmed.ncbi.nlm.nih.gov/42846347/</w:t>
      </w:r>
    </w:p>
    <w:p>
      <w:pPr>
        <w:pStyle w:val="Heading1"/>
      </w:pPr>
      <w:r>
        <w:t>Aufgenommen am 08.10.2026</w:t>
      </w:r>
    </w:p>
    <w:p>
      <w:pPr>
        <w:pStyle w:val="Heading2"/>
      </w:pPr>
      <w:r>
        <w:t>Ärztevariabilität dominiert Schicht-Effekte in der ED</w:t>
      </w:r>
    </w:p>
    <w:p>
      <w:r>
        <w:rPr>
          <w:i/>
          <w:color w:val="666666"/>
          <w:sz w:val="18"/>
        </w:rPr>
        <w:t>Büyükkaya MŞ et al.  ·  Postgrad Med J  ·  07.10.2026  ·  PMID 42842596</w:t>
      </w:r>
    </w:p>
    <w:p>
      <w:r>
        <w:t>Retrospektive Beobachtungsstudie zu diagnostischer Ressourcentechnik (Labor, Bildgebung, Konsile) bei 11.032 niedrig-akuten ED-Besuchen in der Türkei nach Schichtzeit und Arzt.</w:t>
      </w:r>
    </w:p>
    <w:p>
      <w:r>
        <w:rPr>
          <w:b/>
        </w:rPr>
        <w:t xml:space="preserve">Ergebnis: </w:t>
      </w:r>
      <w:r>
        <w:t>Laborquoten 9,5% (p=0,997), Bildgebung 12,6–13,5% (p=0,485) zeigen keine signifikante Schicht-Variation. Arzt-Level-Variation deutlich größer: Labor 3,5–21,5%, Bildgebung 6,3–28,7%. Ärztliche Spezialisierung dominiert.</w:t>
      </w:r>
    </w:p>
    <w:p>
      <w:r>
        <w:rPr>
          <w:b/>
          <w:sz w:val="19"/>
        </w:rPr>
        <w:t xml:space="preserve">Übertragbarkeit: </w:t>
      </w:r>
      <w:r>
        <w:rPr>
          <w:sz w:val="19"/>
        </w:rPr>
        <w:t>Türkei, aber Frage zur Ärzte-Variabilität und Ressourcennutzung systemunabhängig</w:t>
      </w:r>
    </w:p>
    <w:p>
      <w:r>
        <w:rPr>
          <w:color w:val="5A7D3A"/>
          <w:sz w:val="18"/>
        </w:rPr>
        <w:t>https://pubmed.ncbi.nlm.nih.gov/42842596/</w:t>
      </w:r>
    </w:p>
    <w:p>
      <w:pPr>
        <w:pStyle w:val="Heading2"/>
      </w:pPr>
      <w:r>
        <w:t>Durst bei Herzinsuffizienz-Patienten auf Transplantwarteliste</w:t>
      </w:r>
    </w:p>
    <w:p>
      <w:r>
        <w:rPr>
          <w:i/>
          <w:color w:val="666666"/>
          <w:sz w:val="18"/>
        </w:rPr>
        <w:t>Wefer F et al.  ·  Nurs Crit Care  ·  Nov. 2026  ·  PMID 42841439</w:t>
      </w:r>
    </w:p>
    <w:p>
      <w:r>
        <w:t>Qualitative Mischmethod-Studie mit 10 Patienteninterviews und 2 Fokusgruppen (5 Pflegekräfte) sowie 59 Pflegekräfte-Befragung zur Erfahrung mit Durst bei hochgradig Herzkranken.</w:t>
      </w:r>
    </w:p>
    <w:p>
      <w:r>
        <w:rPr>
          <w:b/>
        </w:rPr>
        <w:t xml:space="preserve">Ergebnis: </w:t>
      </w:r>
      <w:r>
        <w:t>Patienten berichten heterogenes Durstserleben (mild bis schwer). Pflege hält es für relevant, nutzt aber sehr unterschiedliche Assessmentstrategien; &lt;50% bewerten Durst regelmäßig. Patienten und Pflegekräfte wünschen standardisierte Beratung.</w:t>
      </w:r>
    </w:p>
    <w:p>
      <w:r>
        <w:rPr>
          <w:b/>
          <w:sz w:val="19"/>
        </w:rPr>
        <w:t xml:space="preserve">Übertragbarkeit: </w:t>
      </w:r>
      <w:r>
        <w:rPr>
          <w:sz w:val="19"/>
        </w:rPr>
        <w:t>Deutschland (Ruhr-Universität Bochum, Bad Oeynhausen), direkt übertragbar</w:t>
      </w:r>
    </w:p>
    <w:p>
      <w:r>
        <w:rPr>
          <w:color w:val="5A7D3A"/>
          <w:sz w:val="18"/>
        </w:rPr>
        <w:t>https://pubmed.ncbi.nlm.nih.gov/42841439/</w:t>
      </w:r>
    </w:p>
    <w:p>
      <w:pPr>
        <w:pStyle w:val="Heading2"/>
      </w:pPr>
      <w:r>
        <w:t>Primary care accessibility reduces inappropriate ED attendance</w:t>
      </w:r>
    </w:p>
    <w:p>
      <w:r>
        <w:rPr>
          <w:i/>
          <w:color w:val="666666"/>
          <w:sz w:val="18"/>
        </w:rPr>
        <w:t>Koh JJE et al.  ·  Singapore Med J  ·  05.10.2026  ·  PMID 42839708</w:t>
      </w:r>
    </w:p>
    <w:p>
      <w:r>
        <w:t>Retrospektive Kohortenstudie untersuchte, wie Erreichbarkeit und Verfügbarkeit von Hausarztpraxen die unangemessene Notfallaufnahmebesuche (12,5% von 135.838 Besuchen) beeinflussen.</w:t>
      </w:r>
    </w:p>
    <w:p>
      <w:r>
        <w:rPr>
          <w:b/>
        </w:rPr>
        <w:t xml:space="preserve">Ergebnis: </w:t>
      </w:r>
      <w:r>
        <w:t>Reisezeit &gt;5 Min zu nächster Praxis erhöhte unangemessene ED-Besuche um 13–24%, Reisedistanz &gt;1 km um 10–33%. Mehr als 3 Praxen im 1-km-Radius reduzierten unangemessene Besuche um ≥12%.</w:t>
      </w:r>
    </w:p>
    <w:p>
      <w:r>
        <w:rPr>
          <w:b/>
          <w:sz w:val="19"/>
        </w:rPr>
        <w:t xml:space="preserve">Übertragbarkeit: </w:t>
      </w:r>
      <w:r>
        <w:rPr>
          <w:sz w:val="19"/>
        </w:rPr>
        <w:t>Singapur, aber Fragestellung systemunabhängig zur Primärversorgung</w:t>
      </w:r>
    </w:p>
    <w:p>
      <w:r>
        <w:rPr>
          <w:color w:val="5A7D3A"/>
          <w:sz w:val="18"/>
        </w:rPr>
        <w:t>https://pubmed.ncbi.nlm.nih.gov/42839708/</w:t>
      </w:r>
    </w:p>
    <w:p>
      <w:pPr>
        <w:pStyle w:val="Heading2"/>
      </w:pPr>
      <w:r>
        <w:t>Ärzt- und Praxis-Level-Variation in Studienteilnahme bei Krebs</w:t>
      </w:r>
    </w:p>
    <w:p>
      <w:r>
        <w:rPr>
          <w:i/>
          <w:color w:val="666666"/>
          <w:sz w:val="18"/>
        </w:rPr>
        <w:t>Jiang C et al.  ·  JAMA Netw Open  ·  01.10.2026  ·  PMID 42837155</w:t>
      </w:r>
    </w:p>
    <w:p>
      <w:r>
        <w:t>Kohortenstudie von 205.743 Patienten mit fortgeschrittenem Krebs (2011–2024) zur Klinische-Studien-Teilnahme in 1.664 Arzt-Praxen, 107 Zentren (Flatiron-Daten).</w:t>
      </w:r>
    </w:p>
    <w:p>
      <w:r>
        <w:rPr>
          <w:b/>
        </w:rPr>
        <w:t xml:space="preserve">Ergebnis: </w:t>
      </w:r>
      <w:r>
        <w:t>Studienteilnahme 5,2% (2011: 3,9%, 2024: 6,8%). 23,4% Ärzte mit 83,6% Einschlüssen; 19,6% Praxen mit 80,5% der Patienten. Arzt- (12,3%) und Praxis-Level (15,1%) erklären mehr Variation als beobachtbare Patientenfaktoren (11,4%).</w:t>
      </w:r>
    </w:p>
    <w:p>
      <w:r>
        <w:rPr>
          <w:b/>
          <w:sz w:val="19"/>
        </w:rPr>
        <w:t xml:space="preserve">Übertragbarkeit: </w:t>
      </w:r>
      <w:r>
        <w:rPr>
          <w:sz w:val="19"/>
        </w:rPr>
        <w:t>USA, aber Fragestellung zu System- und Anbieter-Barrieren in der Forschung systemunabhängig</w:t>
      </w:r>
    </w:p>
    <w:p>
      <w:r>
        <w:rPr>
          <w:color w:val="5A7D3A"/>
          <w:sz w:val="18"/>
        </w:rPr>
        <w:t>https://pubmed.ncbi.nlm.nih.gov/42837155/</w:t>
      </w:r>
    </w:p>
    <w:p>
      <w:pPr>
        <w:pStyle w:val="Heading2"/>
      </w:pPr>
      <w:r>
        <w:t>Person-zentrierte Demenzpflege durch Coaching umsetzen</w:t>
      </w:r>
    </w:p>
    <w:p>
      <w:r>
        <w:rPr>
          <w:i/>
          <w:color w:val="666666"/>
          <w:sz w:val="18"/>
        </w:rPr>
        <w:t>Moczygemba W et al.  ·  Gerontologist  ·  03.10.2026  ·  PMID 42830447</w:t>
      </w:r>
    </w:p>
    <w:p>
      <w:r>
        <w:t>Pre-post-Studie zur Implementierung des Care Community Coaching Program (CCCP) in 38 Langzeitpflegeeinrichtungen Ohios zur Umsetzung von Dementia Care Practice Recommendations.</w:t>
      </w:r>
    </w:p>
    <w:p>
      <w:r>
        <w:rPr>
          <w:b/>
        </w:rPr>
        <w:t xml:space="preserve">Ergebnis: </w:t>
      </w:r>
      <w:r>
        <w:t>Signifikante Verbesserungen in 8 von 9 Leitlinien-Bereichen für personenzentrierte Versorgung; Baseline-Implementationsrate 61,8%, Arbeitskräfte-Praktiken 78,3%. Barriers und Facilitators dokumentiert.</w:t>
      </w:r>
    </w:p>
    <w:p>
      <w:r>
        <w:rPr>
          <w:b/>
          <w:sz w:val="19"/>
        </w:rPr>
        <w:t xml:space="preserve">Übertragbarkeit: </w:t>
      </w:r>
      <w:r>
        <w:rPr>
          <w:sz w:val="19"/>
        </w:rPr>
        <w:t>USA, aber Fragestellung zur Implementierungsforschung systemübergreifend relevant</w:t>
      </w:r>
    </w:p>
    <w:p>
      <w:r>
        <w:rPr>
          <w:color w:val="5A7D3A"/>
          <w:sz w:val="18"/>
        </w:rPr>
        <w:t>https://pubmed.ncbi.nlm.nih.gov/42830447/</w:t>
      </w:r>
    </w:p>
    <w:p>
      <w:pPr>
        <w:pStyle w:val="Heading2"/>
      </w:pPr>
      <w:r>
        <w:t>Stressabbau senkt Blutdruck bei Normotensiven</w:t>
      </w:r>
    </w:p>
    <w:p>
      <w:r>
        <w:rPr>
          <w:i/>
          <w:color w:val="666666"/>
          <w:sz w:val="18"/>
        </w:rPr>
        <w:t>Kamijima J et al.  ·  J Hum Hypertens  ·  03.10.2026  ·  PMID 42829395</w:t>
      </w:r>
    </w:p>
    <w:p>
      <w:r>
        <w:t>Systematisches Review und Metaanalyse von 22 RCTs (n=3.089) zu Stressmanagement-Interventionen und Blutdruckveränderungen bei gesunden Erwachsenen ohne Hypertonie.</w:t>
      </w:r>
    </w:p>
    <w:p>
      <w:r>
        <w:rPr>
          <w:b/>
        </w:rPr>
        <w:t xml:space="preserve">Ergebnis: </w:t>
      </w:r>
      <w:r>
        <w:t>Mind-Body-Übung: −2,17 mmHg systolisch (95% KI −3,29 bis −1,05), −1,69 mmHg diastolisch; Meditation: −1,49/−1,00 mmHg; Relaxation: −4,76/−1,71 mmHg. Primärprävention möglich.</w:t>
      </w:r>
    </w:p>
    <w:p>
      <w:r>
        <w:rPr>
          <w:b/>
          <w:sz w:val="19"/>
        </w:rPr>
        <w:t xml:space="preserve">Übertragbarkeit: </w:t>
      </w:r>
      <w:r>
        <w:rPr>
          <w:sz w:val="19"/>
        </w:rPr>
        <w:t>Internationale Datenbasis, systemunabhängige Fragestellung zu Prävention</w:t>
      </w:r>
    </w:p>
    <w:p>
      <w:r>
        <w:rPr>
          <w:color w:val="5A7D3A"/>
          <w:sz w:val="18"/>
        </w:rPr>
        <w:t>https://pubmed.ncbi.nlm.nih.gov/42829395/</w:t>
      </w:r>
    </w:p>
    <w:p>
      <w:pPr>
        <w:pStyle w:val="Heading2"/>
      </w:pPr>
      <w:r>
        <w:t>Verweildauer bei Mundkrebs in Deutschland</w:t>
      </w:r>
    </w:p>
    <w:p>
      <w:r>
        <w:rPr>
          <w:i/>
          <w:color w:val="666666"/>
          <w:sz w:val="18"/>
        </w:rPr>
        <w:t>Cirkel LL et al.  ·  Reports (MDPI)  ·  02.09.2026  ·  PMID 42784021</w:t>
      </w:r>
    </w:p>
    <w:p>
      <w:r>
        <w:t>Retrospektive Multizenter-Analyse von 3.957 Krebshospitalisierungen (2019–2024) aus 34 deutschen Krankenhäusern zu Verweildauer und Einflussfaktoren.</w:t>
      </w:r>
    </w:p>
    <w:p>
      <w:r>
        <w:rPr>
          <w:b/>
        </w:rPr>
        <w:t xml:space="preserve">Ergebnis: </w:t>
      </w:r>
      <w:r>
        <w:t>Mediane Verweildauer 6 Tage (IQR 3–13), Mittel 10,2 Tage. 49,4% ≥7 Tage, 23,5% ≥14 Tage. Alter &gt;80 Jahre: Rate Ratio 1,17 (95% KI 1,13–1,21); hohe Komorbiditätslast: RR 1,58 (1,54–1,63); Bluttransfusion RR 1,80, komplexe Intensivbehandlung RR 1,70.</w:t>
      </w:r>
    </w:p>
    <w:p>
      <w:r>
        <w:rPr>
          <w:b/>
          <w:sz w:val="19"/>
        </w:rPr>
        <w:t xml:space="preserve">Übertragbarkeit: </w:t>
      </w:r>
      <w:r>
        <w:rPr>
          <w:sz w:val="19"/>
        </w:rPr>
        <w:t>Deutsche Routinedaten, 49 Krankenhäuser, direkt übertragbar</w:t>
      </w:r>
    </w:p>
    <w:p>
      <w:r>
        <w:rPr>
          <w:color w:val="5A7D3A"/>
          <w:sz w:val="18"/>
        </w:rPr>
        <w:t>https://pubmed.ncbi.nlm.nih.gov/42784021/</w:t>
      </w:r>
    </w:p>
    <w:p>
      <w:pPr>
        <w:pStyle w:val="Heading1"/>
      </w:pPr>
      <w:r>
        <w:t>Aufgenommen am 07.10.2026</w:t>
      </w:r>
    </w:p>
    <w:p>
      <w:pPr>
        <w:pStyle w:val="Heading2"/>
      </w:pPr>
      <w:r>
        <w:t>Reisebelastungen bei Methadon-Ambulanzbesuchen</w:t>
      </w:r>
    </w:p>
    <w:p>
      <w:r>
        <w:rPr>
          <w:i/>
          <w:color w:val="666666"/>
          <w:sz w:val="18"/>
        </w:rPr>
        <w:t>Austin EJ et al.  ·  JAMA Netw Open  ·  01.10.2026  ·  PMID 42837152</w:t>
      </w:r>
    </w:p>
    <w:p>
      <w:r>
        <w:t>Mixed-Methods-Studie (Befragung + qualitative Interviews) zu Reiseerfahrungen von 98 Patienten an Opioid-Behandlungsprogrammen in Washington State.</w:t>
      </w:r>
    </w:p>
    <w:p>
      <w:r>
        <w:rPr>
          <w:b/>
        </w:rPr>
        <w:t xml:space="preserve">Ergebnis: </w:t>
      </w:r>
      <w:r>
        <w:t>Mittlere Reisedauer 82,5 Min (Spannweite 10–330 Min) und durchschnittliche Kosten 15,80 USD pro Besuch. 55,1% fuhren selbst, 21,4% wurden gefahren, 12,3% nutzten ÖPNV. Kernproblem: Unpredictable Wartezeiten und Konflikte mit Beruf/Familie beeinträchtigen Adhärenz.</w:t>
      </w:r>
    </w:p>
    <w:p>
      <w:r>
        <w:rPr>
          <w:b/>
          <w:sz w:val="19"/>
        </w:rPr>
        <w:t xml:space="preserve">Übertragbarkeit: </w:t>
      </w:r>
      <w:r>
        <w:rPr>
          <w:sz w:val="19"/>
        </w:rPr>
        <w:t>USA-Kontext, aber Problematik der Behandlungszugang für marginalisierte Gruppen systemübergreifend</w:t>
      </w:r>
    </w:p>
    <w:p>
      <w:r>
        <w:rPr>
          <w:color w:val="5A7D3A"/>
          <w:sz w:val="18"/>
        </w:rPr>
        <w:t>https://pubmed.ncbi.nlm.nih.gov/42837152/</w:t>
      </w:r>
    </w:p>
    <w:p>
      <w:pPr>
        <w:pStyle w:val="Heading2"/>
      </w:pPr>
      <w:r>
        <w:t>Palliative care in chronic heart failure in the Netherlands</w:t>
      </w:r>
    </w:p>
    <w:p>
      <w:r>
        <w:rPr>
          <w:i/>
          <w:color w:val="666666"/>
          <w:sz w:val="18"/>
        </w:rPr>
        <w:t>Aertsen-van der Kuip MSA et al.  ·  Neth Heart J  ·  06.10.2026  ·  PMID 42837105</w:t>
      </w:r>
    </w:p>
    <w:p>
      <w:r>
        <w:t>Befragung von 120 niederländischen Fachleuten zur Implementierung von Palliativversorgung und Advance Care Planning bei chronischer Herzinsuffizienz.</w:t>
      </w:r>
    </w:p>
    <w:p>
      <w:r>
        <w:rPr>
          <w:b/>
        </w:rPr>
        <w:t xml:space="preserve">Ergebnis: </w:t>
      </w:r>
      <w:r>
        <w:t>97% der Fachleute bewerteten Palliativversorgung als (sehr) wichtig, aber nur etwa ein Drittel bot diese regelmäßig an. 78% konnten Palliativbedarf erkennen, nur 23% fühlten sich ausreichend qualifiziert. Hauptprobleme: fehlende Fähigkeiten und Zeitmangel.</w:t>
      </w:r>
    </w:p>
    <w:p>
      <w:r>
        <w:rPr>
          <w:b/>
          <w:sz w:val="19"/>
        </w:rPr>
        <w:t xml:space="preserve">Übertragbarkeit: </w:t>
      </w:r>
      <w:r>
        <w:rPr>
          <w:sz w:val="19"/>
        </w:rPr>
        <w:t>Niederlande, Sozialversicherungssystem, direkt übertragbar auf Deutschland</w:t>
      </w:r>
    </w:p>
    <w:p>
      <w:r>
        <w:rPr>
          <w:color w:val="5A7D3A"/>
          <w:sz w:val="18"/>
        </w:rPr>
        <w:t>https://pubmed.ncbi.nlm.nih.gov/42837105/</w:t>
      </w:r>
    </w:p>
    <w:p>
      <w:pPr>
        <w:pStyle w:val="Heading2"/>
      </w:pPr>
      <w:r>
        <w:t>Unterversorgung mit Kompressionstherapie bei Ulcus cruris venosum</w:t>
      </w:r>
    </w:p>
    <w:p>
      <w:r>
        <w:rPr>
          <w:i/>
          <w:color w:val="666666"/>
          <w:sz w:val="18"/>
        </w:rPr>
        <w:t>Stücker M et al.  ·  Int Wound J  ·  Okt. 2026  ·  PMID 42834577</w:t>
      </w:r>
    </w:p>
    <w:p>
      <w:r>
        <w:t>Retrospektive Kohortenanalyse von Routinedaten von 3,35 Millionen Versicherten zu Häufigkeit und Determinanten der Kompressionstherapie bei venösen Beindoloren und Ulzera.</w:t>
      </w:r>
    </w:p>
    <w:p>
      <w:r>
        <w:rPr>
          <w:b/>
        </w:rPr>
        <w:t xml:space="preserve">Ergebnis: </w:t>
      </w:r>
      <w:r>
        <w:t>Prävalenz: 0,50% für Ulcus cruris venosum (n=16.615), 7,27% für chronische Venenerkrankung (n=243.681). Über 5 Jahre: 75,85% mit Ulcus erhielten Kompression, aber 24,15% nicht – obwohl Kompression leitliniengerecht ist. Multimorbidität war höher bei Behandelten.</w:t>
      </w:r>
    </w:p>
    <w:p>
      <w:r>
        <w:rPr>
          <w:b/>
          <w:sz w:val="19"/>
        </w:rPr>
        <w:t xml:space="preserve">Übertragbarkeit: </w:t>
      </w:r>
      <w:r>
        <w:rPr>
          <w:sz w:val="19"/>
        </w:rPr>
        <w:t>Deutsche Routinedaten aus der gesetzlichen Krankenversicherung</w:t>
      </w:r>
    </w:p>
    <w:p>
      <w:r>
        <w:rPr>
          <w:color w:val="5A7D3A"/>
          <w:sz w:val="18"/>
        </w:rPr>
        <w:t>https://pubmed.ncbi.nlm.nih.gov/42834577/</w:t>
      </w:r>
    </w:p>
    <w:p>
      <w:pPr>
        <w:pStyle w:val="Heading2"/>
      </w:pPr>
      <w:r>
        <w:t>Qualität der Pflegeheimversorgung für Veteranen nach Hospitalisierung</w:t>
      </w:r>
    </w:p>
    <w:p>
      <w:r>
        <w:rPr>
          <w:i/>
          <w:color w:val="666666"/>
          <w:sz w:val="18"/>
        </w:rPr>
        <w:t>Burke RE et al.  ·  J Gen Intern Med  ·  30.09.2026  ·  PMID 42816723</w:t>
      </w:r>
    </w:p>
    <w:p>
      <w:r>
        <w:t>Retrospektive Kohortenstudie zur Verfügbarkeit und Nutzung hochqualitativer Pflegeheime (SNF) durch ältere Veteranen nach stationärer Aufnahme.</w:t>
      </w:r>
    </w:p>
    <w:p>
      <w:r>
        <w:rPr>
          <w:b/>
        </w:rPr>
        <w:t xml:space="preserve">Ergebnis: </w:t>
      </w:r>
      <w:r>
        <w:t>Von 926.860 Veteranen ≥66 Jahre nutzten &gt;92% private Medicare-Pflegeheime. Nur 34,4% wählten das bestbewertete SNF in der Nähe, 15,4% wählten das schlechteste. 64,5% hätten Zugang zu höher bewerteten Einrichtungen gehabt; 43,7% zu 5+ besseren Alternativen.</w:t>
      </w:r>
    </w:p>
    <w:p>
      <w:r>
        <w:rPr>
          <w:b/>
          <w:sz w:val="19"/>
        </w:rPr>
        <w:t xml:space="preserve">Übertragbarkeit: </w:t>
      </w:r>
      <w:r>
        <w:rPr>
          <w:sz w:val="19"/>
        </w:rPr>
        <w:t>USA-System, aber Frage der Qualitätssteuerung und Patientenwahl systemübergreifend relevant</w:t>
      </w:r>
    </w:p>
    <w:p>
      <w:r>
        <w:rPr>
          <w:color w:val="5A7D3A"/>
          <w:sz w:val="18"/>
        </w:rPr>
        <w:t>https://pubmed.ncbi.nlm.nih.gov/42816723/</w:t>
      </w:r>
    </w:p>
    <w:p>
      <w:pPr>
        <w:pStyle w:val="Heading2"/>
      </w:pPr>
      <w:r>
        <w:t>Partizipation nach Schlaganfall im jungen Erwachsenenalter</w:t>
      </w:r>
    </w:p>
    <w:p>
      <w:r>
        <w:rPr>
          <w:i/>
          <w:color w:val="666666"/>
          <w:sz w:val="18"/>
        </w:rPr>
        <w:t>Donnelly MR et al.  ·  Am J Occup Ther  ·  30.09.2026  ·  PMID 42813599</w:t>
      </w:r>
    </w:p>
    <w:p>
      <w:r>
        <w:t>Scoping Review von 15 Studien zur Partizipation junger Erwachsener (18–45 Jahre) nach Schlaganfall in Rollen und Aktivitäten des Erwachsenenlebens.</w:t>
      </w:r>
    </w:p>
    <w:p>
      <w:r>
        <w:rPr>
          <w:b/>
        </w:rPr>
        <w:t xml:space="preserve">Ergebnis: </w:t>
      </w:r>
      <w:r>
        <w:t>Schlaganfall führt zu Unterbrechung der beruflichen und sozialen Laufbahn; multi-dimensionale Effekte auf Rollen (Partner, Eltern), Bildung und Karriere. Rehabilitation fokussiert typischerweise auf motorische Funktionen, adressiert aber nicht die entwicklungsspezifischen Bedürfnisse junger Erwachsener.</w:t>
      </w:r>
    </w:p>
    <w:p>
      <w:r>
        <w:rPr>
          <w:b/>
          <w:sz w:val="19"/>
        </w:rPr>
        <w:t xml:space="preserve">Übertragbarkeit: </w:t>
      </w:r>
      <w:r>
        <w:rPr>
          <w:sz w:val="19"/>
        </w:rPr>
        <w:t>Qualitative HSR-Synthese, Erkenntnisse zur Versorgungsplanung systemunabhängig</w:t>
      </w:r>
    </w:p>
    <w:p>
      <w:r>
        <w:rPr>
          <w:color w:val="5A7D3A"/>
          <w:sz w:val="18"/>
        </w:rPr>
        <w:t>https://pubmed.ncbi.nlm.nih.gov/42813599/</w:t>
      </w:r>
    </w:p>
    <w:p>
      <w:pPr>
        <w:pStyle w:val="Heading2"/>
      </w:pPr>
      <w:r>
        <w:t>Atriale Kardiomyopathie und klinische Langzeitfolgen</w:t>
      </w:r>
    </w:p>
    <w:p>
      <w:r>
        <w:rPr>
          <w:i/>
          <w:color w:val="666666"/>
          <w:sz w:val="18"/>
        </w:rPr>
        <w:t>Kazi K et al.  ·  Europace  ·  02.09.2026  ·  PMID 42809232</w:t>
      </w:r>
    </w:p>
    <w:p>
      <w:r>
        <w:t>Kohortenstudie zu Assoziationen zwischen echokardiographischen Merkmalen atrialerKardiomyopathie und Inzidenz von Vorhofflimmern, Herzinsuffizienz und Schlaganfall. (Abstract ohne konkrete Ergebnisse verfügbar)</w:t>
      </w:r>
    </w:p>
    <w:p>
      <w:r>
        <w:rPr>
          <w:b/>
        </w:rPr>
        <w:t xml:space="preserve">Ergebnis: </w:t>
      </w:r>
      <w:r>
        <w:t>Abstract enthält keine benennbaren Zahlen oder Ergebnisse; nur Studiendesign beschrieben. Ausschluss.</w:t>
      </w:r>
    </w:p>
    <w:p>
      <w:r>
        <w:rPr>
          <w:b/>
          <w:sz w:val="19"/>
        </w:rPr>
        <w:t xml:space="preserve">Übertragbarkeit: </w:t>
      </w:r>
      <w:r>
        <w:rPr>
          <w:sz w:val="19"/>
        </w:rPr>
        <w:t>Ausgeschlossen</w:t>
      </w:r>
    </w:p>
    <w:p>
      <w:r>
        <w:rPr>
          <w:color w:val="5A7D3A"/>
          <w:sz w:val="18"/>
        </w:rPr>
        <w:t>https://pubmed.ncbi.nlm.nih.gov/42809232/</w:t>
      </w:r>
    </w:p>
    <w:p>
      <w:pPr>
        <w:pStyle w:val="Heading1"/>
      </w:pPr>
      <w:r>
        <w:t>Aufgenommen am 06.10.2026</w:t>
      </w:r>
    </w:p>
    <w:p>
      <w:pPr>
        <w:pStyle w:val="Heading2"/>
      </w:pPr>
      <w:r>
        <w:t>Zugang zu sexueller und reproduktiver Gesundheit bei Jugendlichen in Mogadischu: Qualitative Studie</w:t>
      </w:r>
    </w:p>
    <w:p>
      <w:r>
        <w:rPr>
          <w:i/>
          <w:color w:val="666666"/>
          <w:sz w:val="18"/>
        </w:rPr>
        <w:t>Asowe HA et al.  ·  Sex Health  ·  20.10.2026  ·  PMID 42833641</w:t>
      </w:r>
    </w:p>
    <w:p>
      <w:r>
        <w:t>Qualitative Mixed-Methods-Studie zu Zugang und Inanspruchnahme von Sexual- und Reproduktionsgesundheits-Dienstleistungen bei Jugendlichen in Mogadischu, Somalia.</w:t>
      </w:r>
    </w:p>
    <w:p>
      <w:r>
        <w:rPr>
          <w:b/>
        </w:rPr>
        <w:t xml:space="preserve">Ergebnis: </w:t>
      </w:r>
      <w:r>
        <w:t>21 Gesundheitseinrichtungen identifiziert, aber Dienste nicht auf Jugendliche zugeschnitten. Hauptbarrieren: Stigma, soziale Normen, Geschlechterdynamiken (männliche Zustimmung erforderlich), finanzielle und logistische Hindernisse. Dringend Bedarf für jugendfreundliche, geschlechtssensible Dienste und Norm-Veränderungsaktivitäten.</w:t>
      </w:r>
    </w:p>
    <w:p>
      <w:r>
        <w:rPr>
          <w:b/>
          <w:sz w:val="19"/>
        </w:rPr>
        <w:t xml:space="preserve">Übertragbarkeit: </w:t>
      </w:r>
      <w:r>
        <w:rPr>
          <w:sz w:val="19"/>
        </w:rPr>
        <w:t>Humanitarian-setting, Systemkontext sehr unterschiedlich, Befunde zu Zugangsbarrieren aber international relevant</w:t>
      </w:r>
    </w:p>
    <w:p>
      <w:r>
        <w:rPr>
          <w:color w:val="5A7D3A"/>
          <w:sz w:val="18"/>
        </w:rPr>
        <w:t>https://pubmed.ncbi.nlm.nih.gov/42833641/</w:t>
      </w:r>
    </w:p>
    <w:p>
      <w:pPr>
        <w:pStyle w:val="Heading2"/>
      </w:pPr>
      <w:r>
        <w:t>Expert Agreement on Palliative Reasoning and Monitoring in Heart Failure: International Delphi Study</w:t>
      </w:r>
    </w:p>
    <w:p>
      <w:r>
        <w:rPr>
          <w:i/>
          <w:color w:val="666666"/>
          <w:sz w:val="18"/>
        </w:rPr>
        <w:t>De Leeuw JCB et al.  ·  J Pain Symptom Manage  ·  05.10.2026  ·  PMID 42833597</w:t>
      </w:r>
    </w:p>
    <w:p>
      <w:r>
        <w:t>Internationale Delphi-Studie zur Etablierung von Expertenkonsens über palliative Versorgung bei Herzinsuffizienz aus neun europäischen Ländern.</w:t>
      </w:r>
    </w:p>
    <w:p>
      <w:r>
        <w:rPr>
          <w:b/>
        </w:rPr>
        <w:t xml:space="preserve">Ergebnis: </w:t>
      </w:r>
      <w:r>
        <w:t>156 Experten (Runde 1) und 121 (Runde 2, 78,1% Retention) erreichten Konsens über alle Schritte der palliativen Versorgung (I-CVI 0,82–0,95). Von 33 Symptomen erreichtenÂ 76% Übereinstimmung zu Relevanz und Formulierung. Monitoring-Instrument für Symptome, Wünsche und Bedarf entwickelt.</w:t>
      </w:r>
    </w:p>
    <w:p>
      <w:r>
        <w:rPr>
          <w:b/>
          <w:sz w:val="19"/>
        </w:rPr>
        <w:t xml:space="preserve">Übertragbarkeit: </w:t>
      </w:r>
      <w:r>
        <w:rPr>
          <w:sz w:val="19"/>
        </w:rPr>
        <w:t>Niederländische/europäische Leitung, neun europäische Länder, systemvergleichbar</w:t>
      </w:r>
    </w:p>
    <w:p>
      <w:r>
        <w:rPr>
          <w:color w:val="5A7D3A"/>
          <w:sz w:val="18"/>
        </w:rPr>
        <w:t>https://pubmed.ncbi.nlm.nih.gov/42833597/</w:t>
      </w:r>
    </w:p>
    <w:p>
      <w:pPr>
        <w:pStyle w:val="Heading2"/>
      </w:pPr>
      <w:r>
        <w:t>FOCUS-Tool zur Priorisierung von Guideline-Empfehlungen für Shared Decision Making</w:t>
      </w:r>
    </w:p>
    <w:p>
      <w:r>
        <w:rPr>
          <w:i/>
          <w:color w:val="666666"/>
          <w:sz w:val="18"/>
        </w:rPr>
        <w:t>Orduhan C et al.  ·  J Clin Epidemiol  ·  05.10.2026  ·  PMID 42833371</w:t>
      </w:r>
    </w:p>
    <w:p>
      <w:r>
        <w:t>Entwicklung und Test des FOCUS-Tools zur systematischen Identifikation von Guideline-Empfehlungen, die sich für Shared Decision Making eignen.</w:t>
      </w:r>
    </w:p>
    <w:p>
      <w:r>
        <w:rPr>
          <w:b/>
        </w:rPr>
        <w:t xml:space="preserve">Ergebnis: </w:t>
      </w:r>
      <w:r>
        <w:t>Fünf Items definiert: (1) multiple Optionen mit unterschiedlichen Nutzen-Schaden-Profilen, (2) Entscheidung mit Auswirkungen, (3) potenzielle Diskrepanz in Werten/Vorlieben, (4) Behandlungslast und finanzielle Aspekte, (5) Unsicherheit der Evidenz. Mittelwerte ≥3,38 auf 5-Punkt-Skala für Verständlichkeit, Anwendbarkeit und Nützlichkeit. 12 Teilnehmer aus acht Ländern, gute Akzeptanz.</w:t>
      </w:r>
    </w:p>
    <w:p>
      <w:r>
        <w:rPr>
          <w:b/>
          <w:sz w:val="19"/>
        </w:rPr>
        <w:t xml:space="preserve">Übertragbarkeit: </w:t>
      </w:r>
      <w:r>
        <w:rPr>
          <w:sz w:val="19"/>
        </w:rPr>
        <w:t>Deutsche Beteiligung, internationale Guideline-Entwicklung, systemunabhängige Methode</w:t>
      </w:r>
    </w:p>
    <w:p>
      <w:r>
        <w:rPr>
          <w:color w:val="5A7D3A"/>
          <w:sz w:val="18"/>
        </w:rPr>
        <w:t>https://pubmed.ncbi.nlm.nih.gov/42833371/</w:t>
      </w:r>
    </w:p>
    <w:p>
      <w:pPr>
        <w:pStyle w:val="Heading2"/>
      </w:pPr>
      <w:r>
        <w:t>National Ovarian Cancer Audit (NOCA) 2026: Qualitätsverbesserung der Ovarialkarzinom-Versorgung</w:t>
      </w:r>
    </w:p>
    <w:p>
      <w:r>
        <w:rPr>
          <w:i/>
          <w:color w:val="666666"/>
          <w:sz w:val="18"/>
        </w:rPr>
        <w:t>Zachou G et al.  ·  Clin Oncol (R Coll Radiol)  ·  10.09.2026  ·  PMID 42828886</w:t>
      </w:r>
    </w:p>
    <w:p>
      <w:r>
        <w:t>Nationale englisch-walisische Auditberichte zu Struktur-, Prozess- und Outcome-Qualität in der Ovarialkarzinom-Behandlung mit Quality-Improvement-Empfehlungen.</w:t>
      </w:r>
    </w:p>
    <w:p>
      <w:r>
        <w:rPr>
          <w:b/>
        </w:rPr>
        <w:t xml:space="preserve">Ergebnis: </w:t>
      </w:r>
      <w:r>
        <w:t>Daten nicht im Abstract verfügbar, aber Audit mit anschließenden Qualitätsverbesserungs-Interventionen durchgeführt. Fokus auf Standardisierung der Versorgung und Reduktion von Variabilität.</w:t>
      </w:r>
    </w:p>
    <w:p>
      <w:r>
        <w:rPr>
          <w:b/>
          <w:sz w:val="19"/>
        </w:rPr>
        <w:t xml:space="preserve">Übertragbarkeit: </w:t>
      </w:r>
      <w:r>
        <w:rPr>
          <w:sz w:val="19"/>
        </w:rPr>
        <w:t>Englisch-walisisches System, aber Audit-Methodologie und Qualitätsziele auf deutsches System übertragbar</w:t>
      </w:r>
    </w:p>
    <w:p>
      <w:r>
        <w:rPr>
          <w:color w:val="5A7D3A"/>
          <w:sz w:val="18"/>
        </w:rPr>
        <w:t>https://pubmed.ncbi.nlm.nih.gov/42828886/</w:t>
      </w:r>
    </w:p>
    <w:p>
      <w:pPr>
        <w:pStyle w:val="Heading2"/>
      </w:pPr>
      <w:r>
        <w:t>Langfristiges Rezidivrisiko nach Hysterektomie zur Prolaps-Behandlung</w:t>
      </w:r>
    </w:p>
    <w:p>
      <w:r>
        <w:rPr>
          <w:i/>
          <w:color w:val="666666"/>
          <w:sz w:val="18"/>
        </w:rPr>
        <w:t>Latack KR et al.  ·  Int Urogynecol J  ·  01.10.2026  ·  PMID 42821111</w:t>
      </w:r>
    </w:p>
    <w:p>
      <w:r>
        <w:t>Retrospektive Versicherungsanspruchsanalyse zu Prolaps-Retreatment nach Hysterektomie bei Prolaps-Diagnose, stratifiziert nach chirurgischem Zugang und Begleitverfahren.</w:t>
      </w:r>
    </w:p>
    <w:p>
      <w:r>
        <w:rPr>
          <w:b/>
        </w:rPr>
        <w:t xml:space="preserve">Ergebnis: </w:t>
      </w:r>
      <w:r>
        <w:t>7017 Patienten (Durchschnittsalter 51,3 Jahre). Concurrent Prolaps-Verfahren in 82%. Nach 24.129 Personenjahren: 399 Patienten (5,7%) retreated. Inzidenzrate 16,5 pro 1000 Personenjahre (95% CI 14,9–18,2). Vaginal vs. laparoskopisch: kein signifikanter Unterschied nach Adjustierung (aHR 1,39). Mit Colpopexy: abdominaler Zugang deutlich höheres Risiko.</w:t>
      </w:r>
    </w:p>
    <w:p>
      <w:r>
        <w:rPr>
          <w:b/>
          <w:sz w:val="19"/>
        </w:rPr>
        <w:t xml:space="preserve">Übertragbarkeit: </w:t>
      </w:r>
      <w:r>
        <w:rPr>
          <w:sz w:val="19"/>
        </w:rPr>
        <w:t>US-Versicherungsdaten, aber gynäkologische Fragestellung zur Prozessoptimierung systemunabhängig übertragbar</w:t>
      </w:r>
    </w:p>
    <w:p>
      <w:r>
        <w:rPr>
          <w:color w:val="5A7D3A"/>
          <w:sz w:val="18"/>
        </w:rPr>
        <w:t>https://pubmed.ncbi.nlm.nih.gov/42821111/</w:t>
      </w:r>
    </w:p>
    <w:p>
      <w:pPr>
        <w:pStyle w:val="Heading2"/>
      </w:pPr>
      <w:r>
        <w:t>Nachbarschafts-Umgebung und Präeklampsie-Risiko: Machine-Learning-Analyse</w:t>
      </w:r>
    </w:p>
    <w:p>
      <w:r>
        <w:rPr>
          <w:i/>
          <w:color w:val="666666"/>
          <w:sz w:val="18"/>
        </w:rPr>
        <w:t>Paris CF et al.  ·  Pregnancy (Hoboken)  ·  29.09.2026  ·  PMID 42819622</w:t>
      </w:r>
    </w:p>
    <w:p>
      <w:r>
        <w:t>Matched-Case-Control-Studie mit Machine Learning zur Bestimmung der relativen Bedeutung von Nachbarschaftsfaktoren (soziale Vulnerabilität, gebaute Umgebung) für Präeklampsie-Risiko in Philadelphia.</w:t>
      </w:r>
    </w:p>
    <w:p>
      <w:r>
        <w:rPr>
          <w:b/>
        </w:rPr>
        <w:t xml:space="preserve">Ergebnis: </w:t>
      </w:r>
      <w:r>
        <w:t>18.754 Teilnehmer (4.689 Präeklampsie-Fälle, 14.065 Kontrollen). Drei Nachbarschafts-Gesundheits-Vulnerabilitätsfaktoren am wichtigsten: Prävalenz von Adipositas, hohem Blutdruck und kurzer Schlafdauer bei Erwachsenen. Assoziationen mit Nachbarschafts-Hypertonie-Prävalenz besonders relevant für Präeklampsie-Prävention.</w:t>
      </w:r>
    </w:p>
    <w:p>
      <w:r>
        <w:rPr>
          <w:b/>
          <w:sz w:val="19"/>
        </w:rPr>
        <w:t xml:space="preserve">Übertragbarkeit: </w:t>
      </w:r>
      <w:r>
        <w:rPr>
          <w:sz w:val="19"/>
        </w:rPr>
        <w:t>US-Daten aus Philadelphia, aber sozialstrukturelle Fragestellung und Risiko-Identifikation systemunabhängig relevant</w:t>
      </w:r>
    </w:p>
    <w:p>
      <w:r>
        <w:rPr>
          <w:color w:val="5A7D3A"/>
          <w:sz w:val="18"/>
        </w:rPr>
        <w:t>https://pubmed.ncbi.nlm.nih.gov/42819622/</w:t>
      </w:r>
    </w:p>
    <w:p>
      <w:pPr>
        <w:pStyle w:val="Heading1"/>
      </w:pPr>
      <w:r>
        <w:t>Aufgenommen am 05.10.2026</w:t>
      </w:r>
    </w:p>
    <w:p>
      <w:pPr>
        <w:pStyle w:val="Heading2"/>
      </w:pPr>
      <w:r>
        <w:t>TALK-Debriefing-Methode verbessert Interprofessionalität und Patientensicherheit</w:t>
      </w:r>
    </w:p>
    <w:p>
      <w:r>
        <w:rPr>
          <w:i/>
          <w:color w:val="666666"/>
          <w:sz w:val="18"/>
        </w:rPr>
        <w:t>Targino JSO et al.  ·  J Eval Clin Pract  ·  Okt. 2026  ·  PMID 42829905</w:t>
      </w:r>
    </w:p>
    <w:p>
      <w:r>
        <w:t>Qualitative Aktionsforschung mit 12 Gesundheitsfachpersonen untersuchte Auswirkungen der TALK-Debriefing-Methode auf interprofessionelle Kommunikation und Patientensicherheit in brasilianischer Sekundärversorgung.</w:t>
      </w:r>
    </w:p>
    <w:p>
      <w:r>
        <w:rPr>
          <w:b/>
        </w:rPr>
        <w:t xml:space="preserve">Ergebnis: </w:t>
      </w:r>
      <w:r>
        <w:t>TALK-Methode funktionierte als strukturierendes Instrument für reflektive Praxis und reorganisierte interprofessionelle Interaktionen. Teilnehmer berichteten Verbesserungen in Kommunikation, Teamintegration und Versorgungsplanung sowie psychologisch sichere, nicht-punitives Umfeld. Barrieren: Zeitknappheit, Arbeitsbelastung, variable Engagement, begrenzte institutionelle Unterstützung.</w:t>
      </w:r>
    </w:p>
    <w:p>
      <w:r>
        <w:rPr>
          <w:b/>
          <w:sz w:val="19"/>
        </w:rPr>
        <w:t xml:space="preserve">Übertragbarkeit: </w:t>
      </w:r>
      <w:r>
        <w:rPr>
          <w:sz w:val="19"/>
        </w:rPr>
        <w:t>Qualitatives Design, systemunabhängige Fragestellung zu Kommunikation und Teamentwicklung</w:t>
      </w:r>
    </w:p>
    <w:p>
      <w:r>
        <w:rPr>
          <w:color w:val="5A7D3A"/>
          <w:sz w:val="18"/>
        </w:rPr>
        <w:t>https://pubmed.ncbi.nlm.nih.gov/42829905/</w:t>
      </w:r>
    </w:p>
    <w:p>
      <w:pPr>
        <w:pStyle w:val="Heading2"/>
      </w:pPr>
      <w:r>
        <w:t>Ernährungsberatung reduziert Alkoholkonsum bei mild kognitiver Beeinträchtigung</w:t>
      </w:r>
    </w:p>
    <w:p>
      <w:r>
        <w:rPr>
          <w:i/>
          <w:color w:val="666666"/>
          <w:sz w:val="18"/>
        </w:rPr>
        <w:t>Scheuermann JS et al.  ·  BMC Public Health  ·  03.10.2026  ·  PMID 42829430</w:t>
      </w:r>
    </w:p>
    <w:p>
      <w:r>
        <w:t>Sekundäranalyse eines RCT untersuchte, ob Ernährungsberatung (WFPB oder DGE-Richtlinien) den Alkoholkonsum bei 189 Personen mit milder kognitiver Beeinträchtigung über 12 Monate reduziert.</w:t>
      </w:r>
    </w:p>
    <w:p>
      <w:r>
        <w:rPr>
          <w:b/>
        </w:rPr>
        <w:t xml:space="preserve">Ergebnis: </w:t>
      </w:r>
      <w:r>
        <w:t>Beide Interventionen führten zu signifikanter Reduktion des Alkoholkonsums (Cohens d = 0,30 für WFPB; d = 0,39 für DGE). Frauen profitierten substanziell nur von DGE-Beratung (d = 0,33). Höherer Baseline-Alkoholkonsum, höheres Alter und bessere Adhärenz waren Prädiktoren für stärkere Reduktion.</w:t>
      </w:r>
    </w:p>
    <w:p>
      <w:r>
        <w:rPr>
          <w:b/>
          <w:sz w:val="19"/>
        </w:rPr>
        <w:t xml:space="preserve">Übertragbarkeit: </w:t>
      </w:r>
      <w:r>
        <w:rPr>
          <w:sz w:val="19"/>
        </w:rPr>
        <w:t>Deutsche RCT mit deutschen Interventionen (DGE-Richtlinien), Routine-Datenerfassung übertragbar</w:t>
      </w:r>
    </w:p>
    <w:p>
      <w:r>
        <w:rPr>
          <w:color w:val="5A7D3A"/>
          <w:sz w:val="18"/>
        </w:rPr>
        <w:t>https://pubmed.ncbi.nlm.nih.gov/42829430/</w:t>
      </w:r>
    </w:p>
    <w:p>
      <w:pPr>
        <w:pStyle w:val="Heading2"/>
      </w:pPr>
      <w:r>
        <w:t>Telehealth-Coaching für periphere arterielle Verschlusskrankheit kosteneffektiv unter günstigen Bedingungen</w:t>
      </w:r>
    </w:p>
    <w:p>
      <w:r>
        <w:rPr>
          <w:i/>
          <w:color w:val="666666"/>
          <w:sz w:val="18"/>
        </w:rPr>
        <w:t>Heider D et al.  ·  Am J Prev Cardiol  ·  14.07.2026  ·  PMID 42828241</w:t>
      </w:r>
    </w:p>
    <w:p>
      <w:r>
        <w:t>Kosteneffektivitätsanalyse eines 12-Monatigen Telehealth-Coaching- und Remote-Monitoring-Programms (TeGeCoach) für 394 PAD-Patienten basierend auf Krankenkassendaten und Fragebögen.</w:t>
      </w:r>
    </w:p>
    <w:p>
      <w:r>
        <w:rPr>
          <w:b/>
        </w:rPr>
        <w:t xml:space="preserve">Ergebnis: </w:t>
      </w:r>
      <w:r>
        <w:t>Bei WTP-Schwellenwert von 50.000 Euro: ITT 30% Wahrscheinlichkeit kosteneffektiv; mITT 79%; PP 95%. Interventionskosten 672 Euro. Unter PP-Analyse kosteneffektiv, aber ITT-Szenario nicht. Anpassung der Implementierung notwendig.</w:t>
      </w:r>
    </w:p>
    <w:p>
      <w:r>
        <w:rPr>
          <w:b/>
          <w:sz w:val="19"/>
        </w:rPr>
        <w:t xml:space="preserve">Übertragbarkeit: </w:t>
      </w:r>
      <w:r>
        <w:rPr>
          <w:sz w:val="19"/>
        </w:rPr>
        <w:t>Deutsche Krankenversicherungsdaten, praktische Implementierungsfrage für deutsche Versorgung</w:t>
      </w:r>
    </w:p>
    <w:p>
      <w:r>
        <w:rPr>
          <w:color w:val="5A7D3A"/>
          <w:sz w:val="18"/>
        </w:rPr>
        <w:t>https://pubmed.ncbi.nlm.nih.gov/42828241/</w:t>
      </w:r>
    </w:p>
    <w:p>
      <w:pPr>
        <w:pStyle w:val="Heading2"/>
      </w:pPr>
      <w:r>
        <w:t>Wiederholte pulmonale Rehabilitation bei COPD bleibt wirksam trotz kleinerer Gewinne</w:t>
      </w:r>
    </w:p>
    <w:p>
      <w:r>
        <w:rPr>
          <w:i/>
          <w:color w:val="666666"/>
          <w:sz w:val="18"/>
        </w:rPr>
        <w:t>Mohammed J et al.  ·  Can J Respir Ther  ·  30.09.2026  ·  PMID 42828082</w:t>
      </w:r>
    </w:p>
    <w:p>
      <w:r>
        <w:t>Retrospektive Analyse von 429 COPD-Patienten, die zwei Rehabilitationsprogramme (PR1 und PR2) an Ciro (Niederlande) zwischen 2005 und 2022 absolvierten.</w:t>
      </w:r>
    </w:p>
    <w:p>
      <w:r>
        <w:rPr>
          <w:b/>
        </w:rPr>
        <w:t xml:space="preserve">Ergebnis: </w:t>
      </w:r>
      <w:r>
        <w:t>Nach PR1 und PR2 signifikante Verbesserungen: 6MWD (PR1: 37,0 m [29,2–44,8]; PR2: 27,0 m [19,2–34,8]), Quadrizeps-Kraft (PR1: 10,4 Nm; PR2: 8,6 Nm), CAT, SGRQ, HADS und COPM. Gewinne nach PR2 kleiner, aber klinisch bedeutsam. Alle Outcomes zwischen PR1 und PR2 signifikant rückläufig.</w:t>
      </w:r>
    </w:p>
    <w:p>
      <w:r>
        <w:rPr>
          <w:b/>
          <w:sz w:val="19"/>
        </w:rPr>
        <w:t xml:space="preserve">Übertragbarkeit: </w:t>
      </w:r>
      <w:r>
        <w:rPr>
          <w:sz w:val="19"/>
        </w:rPr>
        <w:t>Niederländisches spezialisiertes Rehabilitationszentrum, vergleichbares System, Ergebnisse übertragbar</w:t>
      </w:r>
    </w:p>
    <w:p>
      <w:r>
        <w:rPr>
          <w:color w:val="5A7D3A"/>
          <w:sz w:val="18"/>
        </w:rPr>
        <w:t>https://pubmed.ncbi.nlm.nih.gov/42828082/</w:t>
      </w:r>
    </w:p>
    <w:p>
      <w:pPr>
        <w:pStyle w:val="Heading2"/>
      </w:pPr>
      <w:r>
        <w:t>Theory of Mind: kognitives Endophänotyp bei juveniler myoklonischer Epilepsie?</w:t>
      </w:r>
    </w:p>
    <w:p>
      <w:r>
        <w:rPr>
          <w:i/>
          <w:color w:val="666666"/>
          <w:sz w:val="18"/>
        </w:rPr>
        <w:t>Crespo-Pimentel B et al.  ·  Epilepsia  ·  01.10.2026  ·  PMID 42821310</w:t>
      </w:r>
    </w:p>
    <w:p>
      <w:r>
        <w:t>Prospektive Querschnittsstudie mit 52 Patienten mit juveniler myoklonischer Epilepsie (JME), 13 nicht-betroffenen Geschwistern und 64 gesunden Kontrollen untersuchte soziale Kognition als mögliches Endophänotyp.</w:t>
      </w:r>
    </w:p>
    <w:p>
      <w:r>
        <w:rPr>
          <w:b/>
        </w:rPr>
        <w:t xml:space="preserve">Ergebnis: </w:t>
      </w:r>
      <w:r>
        <w:t>JME-Patienten zeigten reduzierte Leistung bei Aufgaben zu Mentalisieren über Überzeugungen (Faux Pas Test, Reading Mind in the Eyes). Geschwister unterschieden sich nicht signifikant von JME-Patienten oder Kontrollen. Selektive Beeinträchtigung des Mentalisierens über Überzeugungen in JME, aber keine Evidenz für Endophänotyp-Rolle in dieser Stichprobe.</w:t>
      </w:r>
    </w:p>
    <w:p>
      <w:r>
        <w:rPr>
          <w:b/>
          <w:sz w:val="19"/>
        </w:rPr>
        <w:t xml:space="preserve">Übertragbarkeit: </w:t>
      </w:r>
      <w:r>
        <w:rPr>
          <w:sz w:val="19"/>
        </w:rPr>
        <w:t>Österreich-basierte Studie, systemunabhängige neuropsychologische Fragestellung</w:t>
      </w:r>
    </w:p>
    <w:p>
      <w:r>
        <w:rPr>
          <w:color w:val="5A7D3A"/>
          <w:sz w:val="18"/>
        </w:rPr>
        <w:t>https://pubmed.ncbi.nlm.nih.gov/42821310/</w:t>
      </w:r>
    </w:p>
    <w:p>
      <w:pPr>
        <w:pStyle w:val="Heading2"/>
      </w:pPr>
      <w:r>
        <w:t>Schlechte Adhärenz zu evidenzbasierter kardiovaskulärer Prävention bei schweren psychischen Erkrankungen in Norwegen</w:t>
      </w:r>
    </w:p>
    <w:p>
      <w:r>
        <w:rPr>
          <w:i/>
          <w:color w:val="666666"/>
          <w:sz w:val="18"/>
        </w:rPr>
        <w:t>Larsen S et al.  ·  Nord J Psychiatry  ·  30.09.2026  ·  PMID 42813764</w:t>
      </w:r>
    </w:p>
    <w:p>
      <w:r>
        <w:t>Multizenter-Studie mit 230 Patienten (Schizophrenie/bipolare Störung oder Antipsychotika-Nutzer) untersuchte Adhärenz zu evidenzbasierter kardiovaskulärer Prävention mittels Fidelity Scale.</w:t>
      </w:r>
    </w:p>
    <w:p>
      <w:r>
        <w:rPr>
          <w:b/>
        </w:rPr>
        <w:t xml:space="preserve">Ergebnis: </w:t>
      </w:r>
      <w:r>
        <w:t>Seiten zeigten geringe Fidelity-Scores (höher bei Richtlinien als bei Praktiken). Alle Risikofaktoren hochprevalent: tägliches Rauchen/Schnuff 58,1%. Zwischen Fidelity und Patientenergebnissen keine signifikanten Assoziationen nach Adjustierung. Spezialistische Versorgungsanbieter zeigten niedrige Adhärenz zu evidenzbasierter kardiovaskulärer Risikomanagement-Praxis.</w:t>
      </w:r>
    </w:p>
    <w:p>
      <w:r>
        <w:rPr>
          <w:b/>
          <w:sz w:val="19"/>
        </w:rPr>
        <w:t xml:space="preserve">Übertragbarkeit: </w:t>
      </w:r>
      <w:r>
        <w:rPr>
          <w:sz w:val="19"/>
        </w:rPr>
        <w:t>Norwegische spezialisierte psychische Gesundheitsversorgung, vergleichbar mit deutschem System</w:t>
      </w:r>
    </w:p>
    <w:p>
      <w:r>
        <w:rPr>
          <w:color w:val="5A7D3A"/>
          <w:sz w:val="18"/>
        </w:rPr>
        <w:t>https://pubmed.ncbi.nlm.nih.gov/42813764/</w:t>
      </w:r>
    </w:p>
    <w:p>
      <w:pPr>
        <w:pStyle w:val="Heading1"/>
      </w:pPr>
      <w:r>
        <w:t>Aufgenommen am 04.10.2026</w:t>
      </w:r>
    </w:p>
    <w:p>
      <w:pPr>
        <w:pStyle w:val="Heading2"/>
      </w:pPr>
      <w:r>
        <w:t>Längere MOUD-Dauer senkt postpartales Überdosis- und Sterblichkeitsrisiko</w:t>
      </w:r>
    </w:p>
    <w:p>
      <w:r>
        <w:rPr>
          <w:i/>
          <w:color w:val="666666"/>
          <w:sz w:val="18"/>
        </w:rPr>
        <w:t>Kim A et al.  ·  JAMA Netw Open  ·  01.10.2026  ·  PMID 42826020</w:t>
      </w:r>
    </w:p>
    <w:p>
      <w:r>
        <w:t>Retrospektive Kohorte mit Tennessee-Medicaid-Daten zu Schwangerschaften mit Medikamentöser Opioid-Abhängigkeitsbehandlung (MOUD) und postpartalem Überdosis-/Mortalitätsrisiko.</w:t>
      </w:r>
    </w:p>
    <w:p>
      <w:r>
        <w:rPr>
          <w:b/>
        </w:rPr>
        <w:t xml:space="preserve">Ergebnis: </w:t>
      </w:r>
      <w:r>
        <w:t>Unter 9.360 Schwangerschaften betrug die 1-Jahres-Postpartum-Mortalität/-Überdosisrate 1,58% (148 Fälle). Längere MOUD-Dauer während Schwangerschaft assoziiert mit niedrigerem Risiko: adjustierte Hazard Ratio für 132 vs. 1 Tag MOUD-Versorgung 0,52 (95%-KI 0,31–0,88).</w:t>
      </w:r>
    </w:p>
    <w:p>
      <w:r>
        <w:rPr>
          <w:b/>
          <w:sz w:val="19"/>
        </w:rPr>
        <w:t xml:space="preserve">Übertragbarkeit: </w:t>
      </w:r>
      <w:r>
        <w:rPr>
          <w:sz w:val="19"/>
        </w:rPr>
        <w:t>US-Medicaid-Daten; Fragestellung zur kontinuierlichen Opioid-Substitutionsbehandlung systemunabhängig relevant.</w:t>
      </w:r>
    </w:p>
    <w:p>
      <w:r>
        <w:rPr>
          <w:color w:val="5A7D3A"/>
          <w:sz w:val="18"/>
        </w:rPr>
        <w:t>https://pubmed.ncbi.nlm.nih.gov/42826020/</w:t>
      </w:r>
    </w:p>
    <w:p>
      <w:pPr>
        <w:pStyle w:val="Heading2"/>
      </w:pPr>
      <w:r>
        <w:t>Regionale Disparitäten beim direkten Rettungsdienst-Transport zu geriatrischen Notfallstationen</w:t>
      </w:r>
    </w:p>
    <w:p>
      <w:r>
        <w:rPr>
          <w:i/>
          <w:color w:val="666666"/>
          <w:sz w:val="18"/>
        </w:rPr>
        <w:t>Varg S et al.  ·  BMC Geriatr  ·  02.10.2026  ·  PMID 42823763</w:t>
      </w:r>
    </w:p>
    <w:p>
      <w:r>
        <w:t>Schwedische Register-Studie zu geografischen Unterschieden bei direkter Rettungsdienst-Zuweisung älterer Patienten (≥65J.) zu Notaufnahmen versus geriatrischen Spezialstationen.</w:t>
      </w:r>
    </w:p>
    <w:p>
      <w:r>
        <w:rPr>
          <w:b/>
        </w:rPr>
        <w:t xml:space="preserve">Ergebnis: </w:t>
      </w:r>
      <w:r>
        <w:t>Von 8.208 älteren Patienten wurden 7% (603) direkt zu geriatrischen Stationen transportiert. Zwischen Krankenhauseinzugsgebieten stark variierend (4–21%). Nach Adjustierung reduzierte sich Varianz um 41%, aber erhebliche regionale Unterschiede blieben (MOR=1,54).</w:t>
      </w:r>
    </w:p>
    <w:p>
      <w:r>
        <w:rPr>
          <w:b/>
          <w:sz w:val="19"/>
        </w:rPr>
        <w:t xml:space="preserve">Übertragbarkeit: </w:t>
      </w:r>
      <w:r>
        <w:rPr>
          <w:sz w:val="19"/>
        </w:rPr>
        <w:t>Schweden (Steuerfinanzierung); Prozessqualität und Zugangssteuerung in Primärversorgung auf deutsche Kontexte nur eingeschränkt übertragbar.</w:t>
      </w:r>
    </w:p>
    <w:p>
      <w:r>
        <w:rPr>
          <w:color w:val="5A7D3A"/>
          <w:sz w:val="18"/>
        </w:rPr>
        <w:t>https://pubmed.ncbi.nlm.nih.gov/42823763/</w:t>
      </w:r>
    </w:p>
    <w:p>
      <w:pPr>
        <w:pStyle w:val="Heading2"/>
      </w:pPr>
      <w:r>
        <w:t>Aktualisiertes WHO-STEPS-Modul zur Mundhygiene-Surveillance in der Bevölkerung</w:t>
      </w:r>
    </w:p>
    <w:p>
      <w:r>
        <w:rPr>
          <w:i/>
          <w:color w:val="666666"/>
          <w:sz w:val="18"/>
        </w:rPr>
        <w:t>Rendell N et al.  ·  Bull World Health Organ  ·  01.10.2026  ·  PMID 42820175</w:t>
      </w:r>
    </w:p>
    <w:p>
      <w:r>
        <w:t>WHO-Entwicklung eines aktualisierten Moduls zur Routine-Überwachung von Mundhygieneproblemen in Bevölkerungsumfragen zu nichtübertragbaren Erkrankungen.</w:t>
      </w:r>
    </w:p>
    <w:p>
      <w:r>
        <w:rPr>
          <w:b/>
        </w:rPr>
        <w:t xml:space="preserve">Ergebnis: </w:t>
      </w:r>
      <w:r>
        <w:t>Neues STEPS-Modul ergänzt bisherige Selbstangaben durch klinische Bewertungskomponente. Kann von Zahn- und Nicht-Zahnfachpersonal nach kurzer Schulung durchgeführt werden. Praktisch skalierbar zur Schließung persistierender Überwachungslücken.</w:t>
      </w:r>
    </w:p>
    <w:p>
      <w:r>
        <w:rPr>
          <w:b/>
          <w:sz w:val="19"/>
        </w:rPr>
        <w:t xml:space="preserve">Übertragbarkeit: </w:t>
      </w:r>
      <w:r>
        <w:rPr>
          <w:sz w:val="19"/>
        </w:rPr>
        <w:t>WHO-Empfehlung für globale Anwendbarkeit; für deutsche Public-Health-Surveillance relevant.</w:t>
      </w:r>
    </w:p>
    <w:p>
      <w:r>
        <w:rPr>
          <w:color w:val="5A7D3A"/>
          <w:sz w:val="18"/>
        </w:rPr>
        <w:t>https://pubmed.ncbi.nlm.nih.gov/42820175/</w:t>
      </w:r>
    </w:p>
    <w:p>
      <w:pPr>
        <w:pStyle w:val="Heading2"/>
      </w:pPr>
      <w:r>
        <w:t>Standardisierte Entlassungskriterien von Intensivstationen: Pilotimplementierung</w:t>
      </w:r>
    </w:p>
    <w:p>
      <w:r>
        <w:rPr>
          <w:i/>
          <w:color w:val="666666"/>
          <w:sz w:val="18"/>
        </w:rPr>
        <w:t>Hiller M et al.  ·  BMC Health Serv Res  ·  28.09.2026  ·  PMID 42811355</w:t>
      </w:r>
    </w:p>
    <w:p>
      <w:r>
        <w:t>Deutsche prospektive Pilotstudie zur Implementierbarkeit und klinischen Nutzbarkeit eines standardisierten Satzes von ICU-Entlassungskriterien in zwei Kliniken.</w:t>
      </w:r>
    </w:p>
    <w:p>
      <w:r>
        <w:rPr>
          <w:b/>
        </w:rPr>
        <w:t xml:space="preserve">Ergebnis: </w:t>
      </w:r>
      <w:r>
        <w:t>Elf patientenspezifische und organisationsspezifische Kriterien zeigten &gt;80% Completion bei Entlassungsentscheidungen und wurden als Kern-Set definiert. Organisationsspezifische Kriterien sollten je Klinik, Patientengruppen und Empfängerabteilungen angepasst werden.</w:t>
      </w:r>
    </w:p>
    <w:p>
      <w:r>
        <w:rPr>
          <w:b/>
          <w:sz w:val="19"/>
        </w:rPr>
        <w:t xml:space="preserve">Übertragbarkeit: </w:t>
      </w:r>
      <w:r>
        <w:rPr>
          <w:sz w:val="19"/>
        </w:rPr>
        <w:t>Deutsche Routinedaten aus zwei ICU-Stationen; direkt auf deutsches Versorgungssystem übertragbar.</w:t>
      </w:r>
    </w:p>
    <w:p>
      <w:r>
        <w:rPr>
          <w:color w:val="5A7D3A"/>
          <w:sz w:val="18"/>
        </w:rPr>
        <w:t>https://pubmed.ncbi.nlm.nih.gov/42811355/</w:t>
      </w:r>
    </w:p>
    <w:p>
      <w:pPr>
        <w:pStyle w:val="Heading2"/>
      </w:pPr>
      <w:r>
        <w:t>Arbeitgeberperspektiven auf Arbeitsplatzinklusion bei psychischen Erkrankungen</w:t>
      </w:r>
    </w:p>
    <w:p>
      <w:r>
        <w:rPr>
          <w:i/>
          <w:color w:val="666666"/>
          <w:sz w:val="18"/>
        </w:rPr>
        <w:t>Krumm S et al.  ·  BMC Health Serv Res  ·  28.09.2026  ·  PMID 42811348</w:t>
      </w:r>
    </w:p>
    <w:p>
      <w:r>
        <w:t>Qualitative Interview-Studie mit 29 deutschen Arbeitgebern zu Sichtweisen auf Inklusion von Arbeitnehmern mit psychischen Problemen.</w:t>
      </w:r>
    </w:p>
    <w:p>
      <w:r>
        <w:rPr>
          <w:b/>
        </w:rPr>
        <w:t xml:space="preserve">Ergebnis: </w:t>
      </w:r>
      <w:r>
        <w:t>Arbeitgeber beschrieben ambivalente Orientierungen: Normalisierungstrends einerseits, aber Verunsicherung bei Arbeitsorganisation, Teamdynamiken und Vorhersehbarkeit andererseits. Offenbarung, Eigenverantwortung und gegenseitiges Vertrauen wurden als zentral für Unterstützung betont.</w:t>
      </w:r>
    </w:p>
    <w:p>
      <w:r>
        <w:rPr>
          <w:b/>
          <w:sz w:val="19"/>
        </w:rPr>
        <w:t xml:space="preserve">Übertragbarkeit: </w:t>
      </w:r>
      <w:r>
        <w:rPr>
          <w:sz w:val="19"/>
        </w:rPr>
        <w:t>Deutsche Qualitätsstudie; direkt für deutsche Arbeitsmarkt- und Versorgungspolitik relevant.</w:t>
      </w:r>
    </w:p>
    <w:p>
      <w:r>
        <w:rPr>
          <w:color w:val="5A7D3A"/>
          <w:sz w:val="18"/>
        </w:rPr>
        <w:t>https://pubmed.ncbi.nlm.nih.gov/42811348/</w:t>
      </w:r>
    </w:p>
    <w:p>
      <w:pPr>
        <w:pStyle w:val="Heading2"/>
      </w:pPr>
      <w:r>
        <w:t>Radiotherapie-Personalnotstand UK: Reforming der Zertifizierung zur Schließung der Lücke</w:t>
      </w:r>
    </w:p>
    <w:p>
      <w:r>
        <w:rPr>
          <w:i/>
          <w:color w:val="666666"/>
          <w:sz w:val="18"/>
        </w:rPr>
        <w:t>Vulpe H et al.  ·  Eur J Cancer  ·  16.09.2026  ·  PMID 42810149</w:t>
      </w:r>
    </w:p>
    <w:p>
      <w:r>
        <w:t>Politische Analyse zur Personalknappheit in der klinischen Onkologie/Strahlentherapie im UK und Vorschlag für Regulierungsreform zur internationalen Rekrutierung.</w:t>
      </w:r>
    </w:p>
    <w:p>
      <w:r>
        <w:rPr>
          <w:b/>
        </w:rPr>
        <w:t xml:space="preserve">Ergebnis: </w:t>
      </w:r>
      <w:r>
        <w:t>17% Unterbesetzung in klinischer Onkologie heute, 26% prognostiziert bis 2030. UK-Dualausbildung (Radiotherapie + Systemtherapie) behindert Rekrutierung international trainierter Radiation Oncologists aus Systemen mit separaten Fachrichtungen.</w:t>
      </w:r>
    </w:p>
    <w:p>
      <w:r>
        <w:rPr>
          <w:b/>
          <w:sz w:val="19"/>
        </w:rPr>
        <w:t xml:space="preserve">Übertragbarkeit: </w:t>
      </w:r>
      <w:r>
        <w:rPr>
          <w:sz w:val="19"/>
        </w:rPr>
        <w:t>UK-Healthcare-System mit NHS; Regulierungsfragen systemabhängig, aber Workforceplanung grundsätzlich relevant.</w:t>
      </w:r>
    </w:p>
    <w:p>
      <w:r>
        <w:rPr>
          <w:color w:val="5A7D3A"/>
          <w:sz w:val="18"/>
        </w:rPr>
        <w:t>https://pubmed.ncbi.nlm.nih.gov/42810149/</w:t>
      </w:r>
    </w:p>
    <w:p>
      <w:pPr>
        <w:pStyle w:val="Heading2"/>
      </w:pPr>
      <w:r>
        <w:t>Geschlechter- und Diversitätsfaktoren in psychiatrischer Krankenhausbehandlung: Studienprotokoll PSY-DIVER</w:t>
      </w:r>
    </w:p>
    <w:p>
      <w:r>
        <w:rPr>
          <w:i/>
          <w:color w:val="666666"/>
          <w:sz w:val="18"/>
        </w:rPr>
        <w:t>Peters SJ et al.  ·  BMC Psychiatry  ·  24.09.2026  ·  PMID 42806324</w:t>
      </w:r>
    </w:p>
    <w:p>
      <w:r>
        <w:t>Deutsches Studienprotokoll zur Untersuchung von Geschlechts- und Diversitätsfaktoren (Alter, Migration, sexuelle Orientierung, Religion, SES) in der stationären psychiatrischen Versorgung.</w:t>
      </w:r>
    </w:p>
    <w:p>
      <w:r>
        <w:rPr>
          <w:b/>
        </w:rPr>
        <w:t xml:space="preserve">Ergebnis: </w:t>
      </w:r>
      <w:r>
        <w:t>Geplantes Mixed-Methods-Design mit Routinedaten-Analyse (500.000 stationäre Fälle 2015–2024), 31 Interviews und Online-Befragungen, Delphi-Prozess. NLP-gestützte Extraktion von Diversitätsvariablen aus klinischen Texten.</w:t>
      </w:r>
    </w:p>
    <w:p>
      <w:r>
        <w:rPr>
          <w:b/>
          <w:sz w:val="19"/>
        </w:rPr>
        <w:t xml:space="preserve">Übertragbarkeit: </w:t>
      </w:r>
      <w:r>
        <w:rPr>
          <w:sz w:val="19"/>
        </w:rPr>
        <w:t>Deutsche Studienplanung, neun psychiatrische LVR-Kliniken; hochgradig auf deutsches System übertragbar.</w:t>
      </w:r>
    </w:p>
    <w:p>
      <w:r>
        <w:rPr>
          <w:color w:val="5A7D3A"/>
          <w:sz w:val="18"/>
        </w:rPr>
        <w:t>https://pubmed.ncbi.nlm.nih.gov/42806324/</w:t>
      </w:r>
    </w:p>
    <w:p>
      <w:pPr>
        <w:pStyle w:val="Heading1"/>
      </w:pPr>
      <w:r>
        <w:t>Aufgenommen am 03.10.2026</w:t>
      </w:r>
    </w:p>
    <w:p>
      <w:pPr>
        <w:pStyle w:val="Heading2"/>
      </w:pPr>
      <w:r>
        <w:t>Rural medical students in China: nur 23% planen längerfristiges Bleiben im Landdienst</w:t>
      </w:r>
    </w:p>
    <w:p>
      <w:r>
        <w:rPr>
          <w:i/>
          <w:color w:val="666666"/>
          <w:sz w:val="18"/>
        </w:rPr>
        <w:t>Zhang X et al.  ·  BMC Health Serv Res  ·  21.09.2026  ·  PMID 42823771</w:t>
      </w:r>
    </w:p>
    <w:p>
      <w:r>
        <w:t>Qualitative Studie zu Bleibechancen ländlich ausgebildeter Medizinstudierender in chinesischen Stadtgesundheitszentren nach Pflichtdienst.</w:t>
      </w:r>
    </w:p>
    <w:p>
      <w:r>
        <w:rPr>
          <w:b/>
        </w:rPr>
        <w:t xml:space="preserve">Ergebnis: </w:t>
      </w:r>
      <w:r>
        <w:t>Von 26 befragten Studierenden wollten nur 23,1% (6/26) über die vorgeschriebene Dienstzeit hinaus bleiben. Führungsunterstützung erwies sich als prominentester Faktor für Unterschiede zwischen Bleibern und Weggehern. Work-Family-Balance war Erleichterungsfaktor. Karrieremobilitätsmechanismen wurden als unterentwickelt wahrgenommen.</w:t>
      </w:r>
    </w:p>
    <w:p>
      <w:r>
        <w:rPr>
          <w:b/>
          <w:sz w:val="19"/>
        </w:rPr>
        <w:t xml:space="preserve">Übertragbarkeit: </w:t>
      </w:r>
      <w:r>
        <w:rPr>
          <w:sz w:val="19"/>
        </w:rPr>
        <w:t>Nur bedingt: ländliche Kontexte in China; Fachkräftemangel aber global relevant.</w:t>
      </w:r>
    </w:p>
    <w:p>
      <w:r>
        <w:rPr>
          <w:color w:val="5A7D3A"/>
          <w:sz w:val="18"/>
        </w:rPr>
        <w:t>https://pubmed.ncbi.nlm.nih.gov/42823771/</w:t>
      </w:r>
    </w:p>
    <w:p>
      <w:pPr>
        <w:pStyle w:val="Heading2"/>
      </w:pPr>
      <w:r>
        <w:t>Specialist-led interprofessional weaning program reduces failed weaning in high-risk ICU patients</w:t>
      </w:r>
    </w:p>
    <w:p>
      <w:r>
        <w:rPr>
          <w:i/>
          <w:color w:val="666666"/>
          <w:sz w:val="18"/>
        </w:rPr>
        <w:t>Trudzinski FC et al.  ·  Crit Care  ·  30.09.2026  ·  PMID 42823746</w:t>
      </w:r>
    </w:p>
    <w:p>
      <w:r>
        <w:t>Deutsche Studie zur Wirksamkeit eines spezialisierten, interprofessionellen Beatmungsentwöhnungsprogramms bei intensivpflichtigen Patienten mit hohemRisiko.</w:t>
      </w:r>
    </w:p>
    <w:p>
      <w:r>
        <w:rPr>
          <w:b/>
        </w:rPr>
        <w:t xml:space="preserve">Ergebnis: </w:t>
      </w:r>
      <w:r>
        <w:t>In der propensity-score-matched Analyse wiesen Interventionspatienten höhere Quoten erfolgreicher Beatmungsentwöhnung auf (58,3% vs. 46,4%, OR 2,90; 95%-KI 1,61–5,24; p&lt;0,001). Im unadjustierten primären Analyseplan erreichte der Unterschied keine statistische Signifikanz (OR 1,46; p=0,057). Die Machbarkeit wurde demonstriert, mit 16,3% der Patienten in spezialisierte Weaning-Zentren verlegt.</w:t>
      </w:r>
    </w:p>
    <w:p>
      <w:r>
        <w:rPr>
          <w:b/>
          <w:sz w:val="19"/>
        </w:rPr>
        <w:t xml:space="preserve">Übertragbarkeit: </w:t>
      </w:r>
      <w:r>
        <w:rPr>
          <w:sz w:val="19"/>
        </w:rPr>
        <w:t>Deutsche Daten, ICU-Verweildauer und Beatmungsdauer sind zentrale Versorgungsergebnisse.</w:t>
      </w:r>
    </w:p>
    <w:p>
      <w:r>
        <w:rPr>
          <w:color w:val="5A7D3A"/>
          <w:sz w:val="18"/>
        </w:rPr>
        <w:t>https://pubmed.ncbi.nlm.nih.gov/42823746/</w:t>
      </w:r>
    </w:p>
    <w:p>
      <w:pPr>
        <w:pStyle w:val="Heading2"/>
      </w:pPr>
      <w:r>
        <w:t>Globale ökonomische Last der Schizophrenie: 243 Milliarden USD im Jahr 2019</w:t>
      </w:r>
    </w:p>
    <w:p>
      <w:r>
        <w:rPr>
          <w:i/>
          <w:color w:val="666666"/>
          <w:sz w:val="18"/>
        </w:rPr>
        <w:t>Welter LS et al.  ·  Int J Ment Health Syst  ·  29.09.2026  ·  PMID 42823740</w:t>
      </w:r>
    </w:p>
    <w:p>
      <w:r>
        <w:t>Health-Economic-Modeling-Studie zur globalen sozioökonomischen Last der Schizophrenie 2019 über 204 Länder (direkte, indirekte und informale Pflegekosten).</w:t>
      </w:r>
    </w:p>
    <w:p>
      <w:r>
        <w:rPr>
          <w:b/>
        </w:rPr>
        <w:t xml:space="preserve">Ergebnis: </w:t>
      </w:r>
      <w:r>
        <w:t>22,1 Millionen Erwachsene (0,39% Prävalenz) lebten mit Schizophrenie 2019. Gesamtkosten: 243,2 Milliarden USD (Kaufkraftparität): 47% direkte Kosten, 29% indirekt (Produktivitätsverluste), 24% informale Pflege. Obere-Mittel-Länder trugen proportional zu BIP am meisten, Hocheinkommensländer in absoluten und Pro-Kopf-Kosten am meisten. Regionale Heterogenität erheblich.</w:t>
      </w:r>
    </w:p>
    <w:p>
      <w:r>
        <w:rPr>
          <w:b/>
          <w:sz w:val="19"/>
        </w:rPr>
        <w:t xml:space="preserve">Übertragbarkeit: </w:t>
      </w:r>
      <w:r>
        <w:rPr>
          <w:sz w:val="19"/>
        </w:rPr>
        <w:t>Globale Modellierung; für Versorgungsforschung Deutschland relevant zur Kostenlast-Abschätzung.</w:t>
      </w:r>
    </w:p>
    <w:p>
      <w:r>
        <w:rPr>
          <w:color w:val="5A7D3A"/>
          <w:sz w:val="18"/>
        </w:rPr>
        <w:t>https://pubmed.ncbi.nlm.nih.gov/42823740/</w:t>
      </w:r>
    </w:p>
    <w:p>
      <w:pPr>
        <w:pStyle w:val="Heading2"/>
      </w:pPr>
      <w:r>
        <w:t>Muskel-Selbstmanagement und virtuelle Physiotherapie in Saudi-Arabien: Kulturelle Anpassungen erforderlich</w:t>
      </w:r>
    </w:p>
    <w:p>
      <w:r>
        <w:rPr>
          <w:i/>
          <w:color w:val="666666"/>
          <w:sz w:val="18"/>
        </w:rPr>
        <w:t>AlMuhana N et al.  ·  BMC Health Serv Res  ·  28.09.2026  ·  PMID 42823682</w:t>
      </w:r>
    </w:p>
    <w:p>
      <w:r>
        <w:t>Qualitative Studie (8 Fokusgruppen, n=36) zu Muskel-Selbstmanagement und Akzeptanz virtueller Physiotherapie in Saudi-Arabien.</w:t>
      </w:r>
    </w:p>
    <w:p>
      <w:r>
        <w:rPr>
          <w:b/>
        </w:rPr>
        <w:t xml:space="preserve">Ergebnis: </w:t>
      </w:r>
      <w:r>
        <w:t>Patienten praktizieren selbstgesteuertes Management wegen verzögerter professioneller Versorgung. Barrieren: strukturelle, psychologische, relationale Faktoren. Neu: Kulturelle Lücke – Patienten brauchten Anleitung zum Anpassen von Salah (islamisches Gebet) bei Muskelschmerzen. Hybrida Versorgung wurde bevorzugt (virtuelle Nachsorge nach In-Person-Assessment), nicht virtuell von Anfang an.</w:t>
      </w:r>
    </w:p>
    <w:p>
      <w:r>
        <w:rPr>
          <w:b/>
          <w:sz w:val="19"/>
        </w:rPr>
        <w:t xml:space="preserve">Übertragbarkeit: </w:t>
      </w:r>
      <w:r>
        <w:rPr>
          <w:sz w:val="19"/>
        </w:rPr>
        <w:t>Saudi-Arabien; systemische Übertragbarkeit limitiert, aber Befunde zu Selbstmanagement und virtueller Versorgung aussagekräftig.</w:t>
      </w:r>
    </w:p>
    <w:p>
      <w:r>
        <w:rPr>
          <w:color w:val="5A7D3A"/>
          <w:sz w:val="18"/>
        </w:rPr>
        <w:t>https://pubmed.ncbi.nlm.nih.gov/42823682/</w:t>
      </w:r>
    </w:p>
    <w:p>
      <w:pPr>
        <w:pStyle w:val="Heading2"/>
      </w:pPr>
      <w:r>
        <w:t>mHealth-gestützte Integrated Care für ältere Vorhofflimmernpatienten: Kein Vorteil bei optimaler Baseline</w:t>
      </w:r>
    </w:p>
    <w:p>
      <w:r>
        <w:rPr>
          <w:i/>
          <w:color w:val="666666"/>
          <w:sz w:val="18"/>
        </w:rPr>
        <w:t>Lip GYH et al.  ·  Lancet Reg Health Eur  ·  30.08.2026  ·  PMID 42819749</w:t>
      </w:r>
    </w:p>
    <w:p>
      <w:r>
        <w:t>AFFIRMO cluster-RCT in 6 europäischen Ländern zu iABC-System (Integrated Care mit CGA) vs. usual care bei älteren multimorbiden Vorhofflimmernpatienten.</w:t>
      </w:r>
    </w:p>
    <w:p>
      <w:r>
        <w:rPr>
          <w:b/>
        </w:rPr>
        <w:t xml:space="preserve">Ergebnis: </w:t>
      </w:r>
      <w:r>
        <w:t>1.260 Patienten (Alter 74 Jahre, CHA₂DS₂-VASc 4). Primärer Endpunkt ungeplante Hospitalisierung: 17,1% (Intervention) vs. 18,2% (usual care), OR 0,95 (95%-KI 0,61–1,49; p=0,84). App-Nutzung suboptimal (68,5% nur 1/3 der Beobachtungszeit). Günstige Baseline-Compliance (97,3% Antikoagulation).</w:t>
      </w:r>
    </w:p>
    <w:p>
      <w:r>
        <w:rPr>
          <w:b/>
          <w:sz w:val="19"/>
        </w:rPr>
        <w:t xml:space="preserve">Übertragbarkeit: </w:t>
      </w:r>
      <w:r>
        <w:rPr>
          <w:sz w:val="19"/>
        </w:rPr>
        <w:t>Mehrländer-Studie mit europäischem Kontext, aber System steuerfinanziert; begrenzte Übertragbarkeit auf deutsches Sozialversicherungssystem.</w:t>
      </w:r>
    </w:p>
    <w:p>
      <w:r>
        <w:rPr>
          <w:color w:val="5A7D3A"/>
          <w:sz w:val="18"/>
        </w:rPr>
        <w:t>https://pubmed.ncbi.nlm.nih.gov/42819749/</w:t>
      </w:r>
    </w:p>
    <w:p>
      <w:pPr>
        <w:pStyle w:val="Heading2"/>
      </w:pPr>
      <w:r>
        <w:t>Blutbasierte Screening-Programme am Arbeitsplatz: Ökonomische Ergebnisse inkonsistent</w:t>
      </w:r>
    </w:p>
    <w:p>
      <w:r>
        <w:rPr>
          <w:i/>
          <w:color w:val="666666"/>
          <w:sz w:val="18"/>
        </w:rPr>
        <w:t>Swadźba D et al.  ·  BMC Health Serv Res  ·  29.09.2026  ·  PMID 42816856</w:t>
      </w:r>
    </w:p>
    <w:p>
      <w:r>
        <w:t>Systematischer Review (56 Studien, überwiegend US-Beobachtungsdaten) zu wirtschaftlichen und Produktivitätsergebnissen von Workplace-Health-Programmen mit Blutscreening.</w:t>
      </w:r>
    </w:p>
    <w:p>
      <w:r>
        <w:rPr>
          <w:b/>
        </w:rPr>
        <w:t xml:space="preserve">Ergebnis: </w:t>
      </w:r>
      <w:r>
        <w:t>Gesundheitskosten: 21 von 29 Studien zeigten günstige Ergebnisse. Return-on-Investment: einheitlich positiv (20 Studien), ohne Abschwächung mit Studienqualität. Absenteeismus: 23 Studien, inkonsistent. Präsentismus/Fluktuation: selten gemessen. Günstiger Effekt nur bei strukturiert begleiteten Programmen, nicht Screening allein.</w:t>
      </w:r>
    </w:p>
    <w:p>
      <w:r>
        <w:rPr>
          <w:b/>
          <w:sz w:val="19"/>
        </w:rPr>
        <w:t xml:space="preserve">Übertragbarkeit: </w:t>
      </w:r>
      <w:r>
        <w:rPr>
          <w:sz w:val="19"/>
        </w:rPr>
        <w:t>Überwiegend US-Daten; Fragestellung aber systemunabhängig relevant für Betriebliche Gesundheitsförderung.</w:t>
      </w:r>
    </w:p>
    <w:p>
      <w:r>
        <w:rPr>
          <w:color w:val="5A7D3A"/>
          <w:sz w:val="18"/>
        </w:rPr>
        <w:t>https://pubmed.ncbi.nlm.nih.gov/42816856/</w:t>
      </w:r>
    </w:p>
    <w:p>
      <w:pPr>
        <w:pStyle w:val="Heading2"/>
      </w:pPr>
      <w:r>
        <w:t>Palliativmedizin bei fortgeschrittenem Krebs: MA-Versicherte nutzen mehr, aber bekommen weniger Chemotherapie</w:t>
      </w:r>
    </w:p>
    <w:p>
      <w:r>
        <w:rPr>
          <w:i/>
          <w:color w:val="666666"/>
          <w:sz w:val="18"/>
        </w:rPr>
        <w:t>Hu X et al.  ·  JAMA Netw Open  ·  01.09.2026  ·  PMID 42814462</w:t>
      </w:r>
    </w:p>
    <w:p>
      <w:r>
        <w:t>Kohortenstudie mit SEER/Medicare-Daten zu Palliativmedizin-, Systemtherapie- und Hospiz-Nutzung bei fortgeschrittenem Krebs (Mammakarzinom, CRC, Lungenkarzinom, Pankreaskarzinom, Prostatakarzinom) in Medicare Advantage (MA) vs. Traditional Medicare (TM), 2016–2021.</w:t>
      </w:r>
    </w:p>
    <w:p>
      <w:r>
        <w:rPr>
          <w:b/>
        </w:rPr>
        <w:t xml:space="preserve">Ergebnis: </w:t>
      </w:r>
      <w:r>
        <w:t>135.402 Patienten (32,3% MA, 67,7% TM). MA-Patienten: höhere 6-Monats-Kumulativ-Inzidenz Palliativmedizin (13,3% vs. 9,3%; aHR 1,39 [95%-KI 1,35–1,44]; p&lt;0,001), vor allem HMO-Pläne (aHR 1,66). Nach Oncologist-Matching: PA-Unterschied aufgelöst (aHR 1,05; p=0,19), aber MA-Patienten hatten weniger Systemtherapie (−5,4 Prozentpunkte) und mehr Hospiz (+3,4 Prozentpunkte), persistent nach Matching.</w:t>
      </w:r>
    </w:p>
    <w:p>
      <w:r>
        <w:rPr>
          <w:b/>
          <w:sz w:val="19"/>
        </w:rPr>
        <w:t xml:space="preserve">Übertragbarkeit: </w:t>
      </w:r>
      <w:r>
        <w:rPr>
          <w:sz w:val="19"/>
        </w:rPr>
        <w:t>US-Daten; Frage zur Versorgungssteuerung systemabhängig, aber Palliativmedizin-Integration relevant.</w:t>
      </w:r>
    </w:p>
    <w:p>
      <w:r>
        <w:rPr>
          <w:color w:val="5A7D3A"/>
          <w:sz w:val="18"/>
        </w:rPr>
        <w:t>https://pubmed.ncbi.nlm.nih.gov/42814462/</w:t>
      </w:r>
    </w:p>
    <w:p>
      <w:pPr>
        <w:pStyle w:val="Heading1"/>
      </w:pPr>
      <w:r>
        <w:t>Aufgenommen am 02.10.2026</w:t>
      </w:r>
    </w:p>
    <w:p>
      <w:pPr>
        <w:pStyle w:val="Heading2"/>
      </w:pPr>
      <w:r>
        <w:t>Kosteffektivität konservativer Sauerstofftherapie bei beatmeten Intensivpatienten</w:t>
      </w:r>
    </w:p>
    <w:p>
      <w:r>
        <w:rPr>
          <w:i/>
          <w:color w:val="666666"/>
          <w:sz w:val="18"/>
        </w:rPr>
        <w:t>Zhu Z et al.  ·  Value Health  ·  01.10.2026  ·  PMID 42822832</w:t>
      </w:r>
    </w:p>
    <w:p>
      <w:r>
        <w:t>Eine ökonomische Evaluation der UK-ROX-Studie verglich konservative versus übliche Sauerstofftherapie bei invasiv beatmeten Patienten hinsichtlich Kosten, Lebensqualität und QALY-Gewinne über 90 Tage.</w:t>
      </w:r>
    </w:p>
    <w:p>
      <w:r>
        <w:rPr>
          <w:b/>
        </w:rPr>
        <w:t xml:space="preserve">Ergebnis: </w:t>
      </w:r>
      <w:r>
        <w:t>Konservative Sauerstofftherapie war kostensparend (inkrementelle Kosten −968 £, 95% KI −2279–342 £) mit ähnlichen QALY-Gewinnen (inkrementell 0,001, 95% KI −0,002–0,003); das inkrementelle Nettomonetäre Benefit betrug 979 £, beide Schätzungen aber mit erheblicher Unsicherheit.</w:t>
      </w:r>
    </w:p>
    <w:p>
      <w:r>
        <w:rPr>
          <w:b/>
          <w:sz w:val="19"/>
        </w:rPr>
        <w:t xml:space="preserve">Übertragbarkeit: </w:t>
      </w:r>
      <w:r>
        <w:rPr>
          <w:sz w:val="19"/>
        </w:rPr>
        <w:t>UK-Daten; Fragestellung zu ICU-Managementprozessen und Kosteneffektivität systemunabhängig bedeutsam</w:t>
      </w:r>
    </w:p>
    <w:p>
      <w:r>
        <w:rPr>
          <w:color w:val="5A7D3A"/>
          <w:sz w:val="18"/>
        </w:rPr>
        <w:t>https://pubmed.ncbi.nlm.nih.gov/42822832/</w:t>
      </w:r>
    </w:p>
    <w:p>
      <w:pPr>
        <w:pStyle w:val="Heading2"/>
      </w:pPr>
      <w:r>
        <w:t>Sonelokimab bei moderater bis schwerer Hidradenitis suppurativa</w:t>
      </w:r>
    </w:p>
    <w:p>
      <w:r>
        <w:rPr>
          <w:i/>
          <w:color w:val="666666"/>
          <w:sz w:val="18"/>
        </w:rPr>
        <w:t>Kimball AB et al.  ·  J Am Acad Dermatol  ·  01.10.2026  ·  PMID 42822776</w:t>
      </w:r>
    </w:p>
    <w:p>
      <w:r>
        <w:t>Phase-2-Studie (MIRA) zur Wirksamkeit und Sicherheit des IL-17A/F-inhibierenden Nanobody Sonelokimab versus Placebo bei 234 Patienten mit Hidradenitis suppurativa.</w:t>
      </w:r>
    </w:p>
    <w:p>
      <w:r>
        <w:rPr>
          <w:b/>
        </w:rPr>
        <w:t xml:space="preserve">Ergebnis: </w:t>
      </w:r>
      <w:r>
        <w:t>Sonelokimab 120 mg erreichte HiSCR75 bei 43% (p&lt;0,001) und 240 mg bei 35% (p=0,007) versus Placebo 15%; Placebo-adjustierte Response bei Woche 12 und Erhalt oder Verbesserung bis Woche 24; keine neuen Sicherheitssignale.</w:t>
      </w:r>
    </w:p>
    <w:p>
      <w:r>
        <w:rPr>
          <w:b/>
          <w:sz w:val="19"/>
        </w:rPr>
        <w:t xml:space="preserve">Übertragbarkeit: </w:t>
      </w:r>
      <w:r>
        <w:rPr>
          <w:sz w:val="19"/>
        </w:rPr>
        <w:t>Internationale Studie; neue therapeutische Option, Fragestellung zur klinischen Wirksamkeit systemunabhängig</w:t>
      </w:r>
    </w:p>
    <w:p>
      <w:r>
        <w:rPr>
          <w:color w:val="5A7D3A"/>
          <w:sz w:val="18"/>
        </w:rPr>
        <w:t>https://pubmed.ncbi.nlm.nih.gov/42822776/</w:t>
      </w:r>
    </w:p>
    <w:p>
      <w:pPr>
        <w:pStyle w:val="Heading2"/>
      </w:pPr>
      <w:r>
        <w:t>Insulindosierung im Alltag: Kohlenhydratberechnung bei Typ-1-Diabetes</w:t>
      </w:r>
    </w:p>
    <w:p>
      <w:r>
        <w:rPr>
          <w:i/>
          <w:color w:val="666666"/>
          <w:sz w:val="18"/>
        </w:rPr>
        <w:t>Everett EM et al.  ·  Endocr Pract  ·  01.10.2026  ·  PMID 42822598</w:t>
      </w:r>
    </w:p>
    <w:p>
      <w:r>
        <w:t>Versorgungsforschungsstudie mit 903 Erwachsenen mit Typ-1-Diabetes zur Charakterisierung realer Insulindosierungsstrategien, Abweichungen zwischen Patientenangaben und dokumentierten Vorgaben sowie Nutzung von Smartphone-Apps zur Kohlenhydratberechnung.</w:t>
      </w:r>
    </w:p>
    <w:p>
      <w:r>
        <w:rPr>
          <w:b/>
        </w:rPr>
        <w:t xml:space="preserve">Ergebnis: </w:t>
      </w:r>
      <w:r>
        <w:t>54% berichteten Kohlenhydratberechnung, 39% erfahrungsbasierte Schätzung, 2% Festdosierung; HbA1c unterschied sich nicht zwischen Strategien; 51% nutzten Apps niemals; Hauptbarrieren waren Memorisation häufiger Lebensmittel und wahrgenommene Zeitbelastung.</w:t>
      </w:r>
    </w:p>
    <w:p>
      <w:r>
        <w:rPr>
          <w:b/>
          <w:sz w:val="19"/>
        </w:rPr>
        <w:t xml:space="preserve">Übertragbarkeit: </w:t>
      </w:r>
      <w:r>
        <w:rPr>
          <w:sz w:val="19"/>
        </w:rPr>
        <w:t>USA, aber Versorgungsforschung zu praktischen Diabetesmanagement-Strategien und Patient-Reported-Outcomes übertragbar</w:t>
      </w:r>
    </w:p>
    <w:p>
      <w:r>
        <w:rPr>
          <w:color w:val="5A7D3A"/>
          <w:sz w:val="18"/>
        </w:rPr>
        <w:t>https://pubmed.ncbi.nlm.nih.gov/42822598/</w:t>
      </w:r>
    </w:p>
    <w:p>
      <w:pPr>
        <w:pStyle w:val="Heading2"/>
      </w:pPr>
      <w:r>
        <w:t>Virtual Nursing in der Notaufnahme: Dokumentation und Unterbrechungen</w:t>
      </w:r>
    </w:p>
    <w:p>
      <w:r>
        <w:rPr>
          <w:i/>
          <w:color w:val="666666"/>
          <w:sz w:val="18"/>
        </w:rPr>
        <w:t>Khairat S et al.  ·  J Am Med Inform Assoc  ·  01.10.2026  ·  PMID 42821433</w:t>
      </w:r>
    </w:p>
    <w:p>
      <w:r>
        <w:t>Nicht-randomisierte Kohortenstudie zur Auswirkung von Virtual Nursing auf Dokumentationsvollständigkeit, Aufnahmeuntersuchungsdauer und Arbeitsunterbrechungen bei stationär aufgenommenen Patienten.</w:t>
      </w:r>
    </w:p>
    <w:p>
      <w:r>
        <w:rPr>
          <w:b/>
        </w:rPr>
        <w:t xml:space="preserve">Ergebnis: </w:t>
      </w:r>
      <w:r>
        <w:t>Virtual Nursing war mit 3,16 Minuten längerer Aufnahmedauer verbunden, aber signifikant mehr abgeschlossenen Aufnahmeuntersuchungsaufgaben und signifikant weniger Unterbrechungen im Vergleich zu persönlichen Aufnahmen.</w:t>
      </w:r>
    </w:p>
    <w:p>
      <w:r>
        <w:rPr>
          <w:b/>
          <w:sz w:val="19"/>
        </w:rPr>
        <w:t xml:space="preserve">Übertragbarkeit: </w:t>
      </w:r>
      <w:r>
        <w:rPr>
          <w:sz w:val="19"/>
        </w:rPr>
        <w:t>USA; Versorgungsprozess und Workflow-Optimierung systemunabhängig relevant</w:t>
      </w:r>
    </w:p>
    <w:p>
      <w:r>
        <w:rPr>
          <w:color w:val="5A7D3A"/>
          <w:sz w:val="18"/>
        </w:rPr>
        <w:t>https://pubmed.ncbi.nlm.nih.gov/42821433/</w:t>
      </w:r>
    </w:p>
    <w:p>
      <w:pPr>
        <w:pStyle w:val="Heading2"/>
      </w:pPr>
      <w:r>
        <w:t>Tuberkulöse Spondylodiszitis in Deutschland: Epidemiologie und Verlauf</w:t>
      </w:r>
    </w:p>
    <w:p>
      <w:r>
        <w:rPr>
          <w:i/>
          <w:color w:val="666666"/>
          <w:sz w:val="18"/>
        </w:rPr>
        <w:t>Lang S et al.  ·  Global Spine J  ·  01.10.2026  ·  PMID 42820646</w:t>
      </w:r>
    </w:p>
    <w:p>
      <w:r>
        <w:t>Bevölkerungsgestützte DRG-Analyse zur stationären Last, Behandlungsmuster und Krankenhaussterblichkeit der spinalen Tuberkulose in Deutschland 2019–2025 während demografischen Wandels.</w:t>
      </w:r>
    </w:p>
    <w:p>
      <w:r>
        <w:rPr>
          <w:b/>
        </w:rPr>
        <w:t xml:space="preserve">Ergebnis: </w:t>
      </w:r>
      <w:r>
        <w:t>Stabile Hospitalisierungsraten (ASR 0,11–0,14/100.000; APC −3,1%, p=0,14); überwiegend männliche Patienten (70,3%), Alter 18–39 Jahre (56–69%); Krankenhausfallletalität &lt;0,5%; keine Erhöhung trotz 43% Anstieg der ausländischen Bevölkerung; operative DRG-Zuweisung variabel (13,5–42,2%).</w:t>
      </w:r>
    </w:p>
    <w:p>
      <w:r>
        <w:rPr>
          <w:b/>
          <w:sz w:val="19"/>
        </w:rPr>
        <w:t xml:space="preserve">Übertragbarkeit: </w:t>
      </w:r>
      <w:r>
        <w:rPr>
          <w:sz w:val="19"/>
        </w:rPr>
        <w:t>Deutsche Routinedaten; epidemiologisch und systemisch direkt anwendbar</w:t>
      </w:r>
    </w:p>
    <w:p>
      <w:r>
        <w:rPr>
          <w:color w:val="5A7D3A"/>
          <w:sz w:val="18"/>
        </w:rPr>
        <w:t>https://pubmed.ncbi.nlm.nih.gov/42820646/</w:t>
      </w:r>
    </w:p>
    <w:p>
      <w:pPr>
        <w:pStyle w:val="Heading2"/>
      </w:pPr>
      <w:r>
        <w:t>Psychische Anpassung an Stigma bei Hauterkrankungen im jungen Erwachsenenalter</w:t>
      </w:r>
    </w:p>
    <w:p>
      <w:r>
        <w:rPr>
          <w:i/>
          <w:color w:val="666666"/>
          <w:sz w:val="18"/>
        </w:rPr>
        <w:t>Stuhlmann CFZ et al.  ·  Br J Health Psychol  ·  Nov. 2026  ·  PMID 42820641</w:t>
      </w:r>
    </w:p>
    <w:p>
      <w:r>
        <w:t>Querschnittstudie mit 195 jungen Erwachsenen (Psoriasis 55%, atopische Dermatitis 23%, Hidradenitis suppurativa 22%) zu indirekten Effekten internalisierter Stigma in der Beziehung zwischen sozialer Stigma und psychosozialer Anpassung.</w:t>
      </w:r>
    </w:p>
    <w:p>
      <w:r>
        <w:rPr>
          <w:b/>
        </w:rPr>
        <w:t xml:space="preserve">Ergebnis: </w:t>
      </w:r>
      <w:r>
        <w:t>Signifikante indirekte Effekte internalisierter Stigma auf Beziehungen zwischen sozialer Stigma und allen Anpassungsergebnissen (p's&lt;0,01, R²=0,10–0,64); internalisierte Stigma als zentraler Treiber psychischer Belastung, Sozialsymptome und Aktivitätsreduktion.</w:t>
      </w:r>
    </w:p>
    <w:p>
      <w:r>
        <w:rPr>
          <w:b/>
          <w:sz w:val="19"/>
        </w:rPr>
        <w:t xml:space="preserve">Übertragbarkeit: </w:t>
      </w:r>
      <w:r>
        <w:rPr>
          <w:sz w:val="19"/>
        </w:rPr>
        <w:t>Deutschland (Hamburg); hochgradig übertragbar auf deutsches Versorgungssystem</w:t>
      </w:r>
    </w:p>
    <w:p>
      <w:r>
        <w:rPr>
          <w:color w:val="5A7D3A"/>
          <w:sz w:val="18"/>
        </w:rPr>
        <w:t>https://pubmed.ncbi.nlm.nih.gov/42820641/</w:t>
      </w:r>
    </w:p>
    <w:p>
      <w:pPr>
        <w:pStyle w:val="Heading1"/>
      </w:pPr>
      <w:r>
        <w:t>Aufgenommen am 01.10.2026</w:t>
      </w:r>
    </w:p>
    <w:p>
      <w:pPr>
        <w:pStyle w:val="Heading2"/>
      </w:pPr>
      <w:r>
        <w:t>Psychometric validation of German Self-efficacy Scale in hip arthroplasty patients</w:t>
      </w:r>
    </w:p>
    <w:p>
      <w:r>
        <w:rPr>
          <w:i/>
          <w:color w:val="666666"/>
          <w:sz w:val="18"/>
        </w:rPr>
        <w:t>Mooiweer Y et al.  ·  Z Evid Fortbild Qual Gesundhwes  ·  30.09.2026  ·  PMID 42816197</w:t>
      </w:r>
    </w:p>
    <w:p>
      <w:r>
        <w:t>Studie validierte die German Self-efficacy Expectation Scale (SES-G) als Messinstrument für Selbsteffizienz bei Patienten mit Hüftgelenksersatz.</w:t>
      </w:r>
    </w:p>
    <w:p>
      <w:r>
        <w:rPr>
          <w:b/>
        </w:rPr>
        <w:t xml:space="preserve">Ergebnis: </w:t>
      </w:r>
      <w:r>
        <w:t>Exploratory Faktor-Analyse zeigte 3 Komponenten, erklärt 75% der Varianz; interne Konsistenz (MacDonald's Omega = 0,81) und Test-Retest-Reliabilität (ICC 0,71) waren gut; 80% der Hypothesen zur Konstruktvalidität bestätigt. SES-G ist valides und reliables Instrument.</w:t>
      </w:r>
    </w:p>
    <w:p>
      <w:r>
        <w:rPr>
          <w:b/>
          <w:sz w:val="19"/>
        </w:rPr>
        <w:t xml:space="preserve">Übertragbarkeit: </w:t>
      </w:r>
      <w:r>
        <w:rPr>
          <w:sz w:val="19"/>
        </w:rPr>
        <w:t>Deutschland, validierte Messskala für deutschsprachige Patienten</w:t>
      </w:r>
    </w:p>
    <w:p>
      <w:r>
        <w:rPr>
          <w:color w:val="5A7D3A"/>
          <w:sz w:val="18"/>
        </w:rPr>
        <w:t>https://pubmed.ncbi.nlm.nih.gov/42816197/</w:t>
      </w:r>
    </w:p>
    <w:p>
      <w:pPr>
        <w:pStyle w:val="Heading2"/>
      </w:pPr>
      <w:r>
        <w:t>Quality improvement für Familienplanung im Wochenbett in Äthiopien</w:t>
      </w:r>
    </w:p>
    <w:p>
      <w:r>
        <w:rPr>
          <w:i/>
          <w:color w:val="666666"/>
          <w:sz w:val="18"/>
        </w:rPr>
        <w:t>Tesfaye B et al.  ·  BMJ Open Qual  ·  30.09.2026  ·  PMID 42816055</w:t>
      </w:r>
    </w:p>
    <w:p>
      <w:r>
        <w:t>Qualitätsverbesserungsprojekt mit PDSA-Zyklen zur Steigerung der unmittelbaren postpartalen Familienplanung in einem äthiopischen Lehrkrankenhaus.</w:t>
      </w:r>
    </w:p>
    <w:p>
      <w:r>
        <w:rPr>
          <w:b/>
        </w:rPr>
        <w:t xml:space="preserve">Ergebnis: </w:t>
      </w:r>
      <w:r>
        <w:t>Uptake der postpartalen Familienplanung stieg von 10,2% auf 45,8% über 14 Wochen; Implantate waren die häufigste Methode (54,2%); Hürden waren mangelhafte Beratung, begrenzte Fortbildung und schlechte Dokumentation.</w:t>
      </w:r>
    </w:p>
    <w:p>
      <w:r>
        <w:rPr>
          <w:b/>
          <w:sz w:val="19"/>
        </w:rPr>
        <w:t xml:space="preserve">Übertragbarkeit: </w:t>
      </w:r>
      <w:r>
        <w:rPr>
          <w:sz w:val="19"/>
        </w:rPr>
        <w:t>Nur bedingt übertragbar, Gesundheitssystem mit stark unterschiedlicher Ressourcenlage</w:t>
      </w:r>
    </w:p>
    <w:p>
      <w:r>
        <w:rPr>
          <w:color w:val="5A7D3A"/>
          <w:sz w:val="18"/>
        </w:rPr>
        <w:t>https://pubmed.ncbi.nlm.nih.gov/42816055/</w:t>
      </w:r>
    </w:p>
    <w:p>
      <w:pPr>
        <w:pStyle w:val="Heading2"/>
      </w:pPr>
      <w:r>
        <w:t>Generative KI-Adoption in psychotherapeutischer Praxis</w:t>
      </w:r>
    </w:p>
    <w:p>
      <w:r>
        <w:rPr>
          <w:i/>
          <w:color w:val="666666"/>
          <w:sz w:val="18"/>
        </w:rPr>
        <w:t>Blease C et al.  ·  JMIR Ment Health  ·  30.09.2026  ·  PMID 42815888</w:t>
      </w:r>
    </w:p>
    <w:p>
      <w:r>
        <w:t>Internationale Querschnittsstudie zu aktueller Nutzung von Generative-AI-Tools (ChatGPT, Gemini, Copilot) durch Psychotherapeuten in 30 Ländern.</w:t>
      </w:r>
    </w:p>
    <w:p>
      <w:r>
        <w:rPr>
          <w:b/>
        </w:rPr>
        <w:t xml:space="preserve">Ergebnis: </w:t>
      </w:r>
      <w:r>
        <w:t>54,6% (n=418/766) nutzen mindestens ein GenAI-Tool klinisch; ChatGPT am häufigsten (84,7%); Top-Anwendungen: Behandlungsplanung (41,9%), Administrative Aufgaben (41,4%), Psychoedukation (39,7%); 82,8% berichten Arbeitsbelastungsreduktion; nur 18,1% erhielten institutionelle Förderung; 81,1% erhielten keine AI-Fortbildung.</w:t>
      </w:r>
    </w:p>
    <w:p>
      <w:r>
        <w:rPr>
          <w:b/>
          <w:sz w:val="19"/>
        </w:rPr>
        <w:t xml:space="preserve">Übertragbarkeit: </w:t>
      </w:r>
      <w:r>
        <w:rPr>
          <w:sz w:val="19"/>
        </w:rPr>
        <w:t>Systemunabhängig, Fachfrage zu Technologieeinsatz in Praxis global relevant</w:t>
      </w:r>
    </w:p>
    <w:p>
      <w:r>
        <w:rPr>
          <w:color w:val="5A7D3A"/>
          <w:sz w:val="18"/>
        </w:rPr>
        <w:t>https://pubmed.ncbi.nlm.nih.gov/42815888/</w:t>
      </w:r>
    </w:p>
    <w:p>
      <w:pPr>
        <w:pStyle w:val="Heading2"/>
      </w:pPr>
      <w:r>
        <w:t>Discrete Choice Experiment zu Präferenzen für Carrier Screening in Singapur</w:t>
      </w:r>
    </w:p>
    <w:p>
      <w:r>
        <w:rPr>
          <w:i/>
          <w:color w:val="666666"/>
          <w:sz w:val="18"/>
        </w:rPr>
        <w:t>Blythe R et al.  ·  Patient  ·  30.09.2026  ·  PMID 42814378</w:t>
      </w:r>
    </w:p>
    <w:p>
      <w:r>
        <w:t>Stated-Preference-Studie mit 500 Singapurern zu bevorzugten Merkmalen eines nationalen Carrier-Screening-Programms für genetische Erkrankungen.</w:t>
      </w:r>
    </w:p>
    <w:p>
      <w:r>
        <w:rPr>
          <w:b/>
        </w:rPr>
        <w:t xml:space="preserve">Ergebnis: </w:t>
      </w:r>
      <w:r>
        <w:t>Bevorzugte niedrigere Kosten, breitere Krankheitspanels und kürzere Wartezeiten; vorhergesagte Uptake 85-90% kostenlos, 61-69% bei Zuzahlung von $1.200; nationale Budgetauswirkungen &lt;$13,1 Mio./Jahr abhängig von Programmdesign.</w:t>
      </w:r>
    </w:p>
    <w:p>
      <w:r>
        <w:rPr>
          <w:b/>
          <w:sz w:val="19"/>
        </w:rPr>
        <w:t xml:space="preserve">Übertragbarkeit: </w:t>
      </w:r>
      <w:r>
        <w:rPr>
          <w:sz w:val="19"/>
        </w:rPr>
        <w:t>Singapur, transferierbar für Screening-Programmgestaltung in ähnlichen Systemen</w:t>
      </w:r>
    </w:p>
    <w:p>
      <w:r>
        <w:rPr>
          <w:color w:val="5A7D3A"/>
          <w:sz w:val="18"/>
        </w:rPr>
        <w:t>https://pubmed.ncbi.nlm.nih.gov/42814378/</w:t>
      </w:r>
    </w:p>
    <w:p>
      <w:pPr>
        <w:pStyle w:val="Heading2"/>
      </w:pPr>
      <w:r>
        <w:t>Migräne-Versorgungslücke: qualitative Patientenperspektive</w:t>
      </w:r>
    </w:p>
    <w:p>
      <w:r>
        <w:rPr>
          <w:i/>
          <w:color w:val="666666"/>
          <w:sz w:val="18"/>
        </w:rPr>
        <w:t>Göbel CH et al.  ·  Pain Ther  ·  30.09.2026  ·  PMID 42814346</w:t>
      </w:r>
    </w:p>
    <w:p>
      <w:r>
        <w:t>Qualitative reflexive thematische Analyse von 446 Instagram/Facebook-Kommentaren zur Wahrnehmung von Migräne-Versorgung über 12 Jahre.</w:t>
      </w:r>
    </w:p>
    <w:p>
      <w:r>
        <w:rPr>
          <w:b/>
        </w:rPr>
        <w:t xml:space="preserve">Ergebnis: </w:t>
      </w:r>
      <w:r>
        <w:t>Patienten bestätigen medizinische Fortschritte (Migräne-spezifische Therapien, CGRP-Inhibitoren, spezialisierte Services), erleben diese aber als unvollständig umgesetzt; persistente Barrieren: Diagnoseverzögerung, ungleicher Zugang zu Spezialisten, Rückerstattungsbeschränkungen, Stigma, begrenzte gesellschaftliche Anerkennung. Kernkonzept: Migraine Care Gap zwischen biomedizinischer Innovation und Versorgungspraxis.</w:t>
      </w:r>
    </w:p>
    <w:p>
      <w:r>
        <w:rPr>
          <w:b/>
          <w:sz w:val="19"/>
        </w:rPr>
        <w:t xml:space="preserve">Übertragbarkeit: </w:t>
      </w:r>
      <w:r>
        <w:rPr>
          <w:sz w:val="19"/>
        </w:rPr>
        <w:t>Deutschland, Versorgungsforschung zu Patientenerleben von Innovationstransfer</w:t>
      </w:r>
    </w:p>
    <w:p>
      <w:r>
        <w:rPr>
          <w:color w:val="5A7D3A"/>
          <w:sz w:val="18"/>
        </w:rPr>
        <w:t>https://pubmed.ncbi.nlm.nih.gov/42814346/</w:t>
      </w:r>
    </w:p>
    <w:p>
      <w:pPr>
        <w:pStyle w:val="Heading2"/>
      </w:pPr>
      <w:r>
        <w:t>Kontextfaktoren und depressive Symptome: Postleitzahl-Datenverknüpfung in Deutschland</w:t>
      </w:r>
    </w:p>
    <w:p>
      <w:r>
        <w:rPr>
          <w:i/>
          <w:color w:val="666666"/>
          <w:sz w:val="18"/>
        </w:rPr>
        <w:t>Schoenweger P et al.  ·  Eur Arch Psychiatry Clin Neurosci  ·  30.09.2026  ·  PMID 42814112</w:t>
      </w:r>
    </w:p>
    <w:p>
      <w:r>
        <w:t>Querschnittsstudie, die individuelle POKAL-Umfragedaten (n=2.323) mit deutschen Routinedaten auf Postleitzahl-Ebene zu Depression verknüpfte.</w:t>
      </w:r>
    </w:p>
    <w:p>
      <w:r>
        <w:rPr>
          <w:b/>
        </w:rPr>
        <w:t xml:space="preserve">Ergebnis: </w:t>
      </w:r>
      <w:r>
        <w:t>Kontextfaktoren verbesserten Modellfit (AICc=13.640,80 vs. 13.718,24 nur Demografie); Area-level Deprivation zeigte beste einzelne Anpassung; Datenverknüpfung ist ressourcenschonend und technisch umsetzbar in German health research infrastructure. Räumliche Auflösung entscheidend für Assoziation.</w:t>
      </w:r>
    </w:p>
    <w:p>
      <w:r>
        <w:rPr>
          <w:b/>
          <w:sz w:val="19"/>
        </w:rPr>
        <w:t xml:space="preserve">Übertragbarkeit: </w:t>
      </w:r>
      <w:r>
        <w:rPr>
          <w:sz w:val="19"/>
        </w:rPr>
        <w:t>Deutsche Routinedaten, gesetzlich Versicherte, Versorgungsforschungs-Infrastruktur</w:t>
      </w:r>
    </w:p>
    <w:p>
      <w:r>
        <w:rPr>
          <w:color w:val="5A7D3A"/>
          <w:sz w:val="18"/>
        </w:rPr>
        <w:t>https://pubmed.ncbi.nlm.nih.gov/42814112/</w:t>
      </w:r>
    </w:p>
    <w:p>
      <w:pPr>
        <w:pStyle w:val="Heading1"/>
      </w:pPr>
      <w:r>
        <w:t>Aufgenommen am 30.09.2026</w:t>
      </w:r>
    </w:p>
    <w:p>
      <w:pPr>
        <w:pStyle w:val="Heading2"/>
      </w:pPr>
      <w:r>
        <w:t>Digitalisierung und Krankenhausperformance: Einfluss der elektronischen Dokumentation</w:t>
      </w:r>
    </w:p>
    <w:p>
      <w:r>
        <w:rPr>
          <w:i/>
          <w:color w:val="666666"/>
          <w:sz w:val="18"/>
        </w:rPr>
        <w:t>Remus P et al.  ·  J Med Internet Res  ·  29.09.2026  ·  PMID 42809839</w:t>
      </w:r>
    </w:p>
    <w:p>
      <w:r>
        <w:t>Longitudinale Analyse der Zusammenhänge zwischen technischer Digitalisierungsreife und finanziellen, operativen und Personalindikatoren in 70 niederländischen Krankenhäusern (2017–2023).</w:t>
      </w:r>
    </w:p>
    <w:p>
      <w:r>
        <w:rPr>
          <w:b/>
        </w:rPr>
        <w:t xml:space="preserve">Ergebnis: </w:t>
      </w:r>
      <w:r>
        <w:t>Fortgeschrittene digitale Reife war nicht signifikant mit verbesserter Profitabilität, Patientenvolumen oder Mitarbeiterfluktuation assoziiert (alle p&gt;0,05 nach Bonferroni-Korrektur); die Daten stützen das IT-Produktivitätsparadox.</w:t>
      </w:r>
    </w:p>
    <w:p>
      <w:r>
        <w:rPr>
          <w:b/>
          <w:sz w:val="19"/>
        </w:rPr>
        <w:t xml:space="preserve">Übertragbarkeit: </w:t>
      </w:r>
      <w:r>
        <w:rPr>
          <w:sz w:val="19"/>
        </w:rPr>
        <w:t>Niederlande, Sozialversicherungssystem mit Beitragsfinanzierung, vergleichbar mit Deutschland.</w:t>
      </w:r>
    </w:p>
    <w:p>
      <w:r>
        <w:rPr>
          <w:color w:val="5A7D3A"/>
          <w:sz w:val="18"/>
        </w:rPr>
        <w:t>https://pubmed.ncbi.nlm.nih.gov/42809839/</w:t>
      </w:r>
    </w:p>
    <w:p>
      <w:pPr>
        <w:pStyle w:val="Heading2"/>
      </w:pPr>
      <w:r>
        <w:t>Zeitbelastung (Time Toxicity) in der Krebsversorgung: Systematische Übersicht</w:t>
      </w:r>
    </w:p>
    <w:p>
      <w:r>
        <w:rPr>
          <w:i/>
          <w:color w:val="666666"/>
          <w:sz w:val="18"/>
        </w:rPr>
        <w:t>Wee IJY et al.  ·  Support Care Cancer  ·  29.09.2026  ·  PMID 42809115</w:t>
      </w:r>
    </w:p>
    <w:p>
      <w:r>
        <w:t>Systematische Übersicht von 56 Studien zur Definition und Messung der Zeitbelastung in der Krebsbehandlung (Inception bis März 2026).</w:t>
      </w:r>
    </w:p>
    <w:p>
      <w:r>
        <w:rPr>
          <w:b/>
        </w:rPr>
        <w:t xml:space="preserve">Ergebnis: </w:t>
      </w:r>
      <w:r>
        <w:t>Definitionen waren heterogen; 55,4 % definierten Zeitbelastung als direkte Gesundheitszeiten (Klinikbesuche, Behandlungen), 35,7 % als Zeit ohne Gesundheitswesen; nur 0 Studien nutzten Patientenperspektiven; systematisch sind noch prozessorientierte und patientenzentrierte Dimensionen unterrepräsentiert.</w:t>
      </w:r>
    </w:p>
    <w:p>
      <w:r>
        <w:rPr>
          <w:b/>
          <w:sz w:val="19"/>
        </w:rPr>
        <w:t xml:space="preserve">Übertragbarkeit: </w:t>
      </w:r>
      <w:r>
        <w:rPr>
          <w:sz w:val="19"/>
        </w:rPr>
        <w:t>Systemübergreifend relevant; Konzeptualisierung und Messqualität unabhängig von Landkontext.</w:t>
      </w:r>
    </w:p>
    <w:p>
      <w:r>
        <w:rPr>
          <w:color w:val="5A7D3A"/>
          <w:sz w:val="18"/>
        </w:rPr>
        <w:t>https://pubmed.ncbi.nlm.nih.gov/42809115/</w:t>
      </w:r>
    </w:p>
    <w:p>
      <w:pPr>
        <w:pStyle w:val="Heading2"/>
      </w:pPr>
      <w:r>
        <w:t>Kompetenzbasiertes Curriculum Allgemeinmedizin im Block-Praktikum: Lückenanalyse</w:t>
      </w:r>
    </w:p>
    <w:p>
      <w:r>
        <w:rPr>
          <w:i/>
          <w:color w:val="666666"/>
          <w:sz w:val="18"/>
        </w:rPr>
        <w:t>Schüle D et al.  ·  GMS J Med Educ  ·  15.09.2026  ·  PMID 42807621</w:t>
      </w:r>
    </w:p>
    <w:p>
      <w:r>
        <w:t>Gemischte Methoden-Studie an einem deutschen Universitätskrankenhaus zur Bewertung und Neukonzeption eines zweiwöchigen Allgemeinmedizin-Blockpraktikums anhand von NKLM 2.0 und EPAs.</w:t>
      </w:r>
    </w:p>
    <w:p>
      <w:r>
        <w:rPr>
          <w:b/>
        </w:rPr>
        <w:t xml:space="preserve">Ergebnis: </w:t>
      </w:r>
      <w:r>
        <w:t>Aktuelles Praktikum erreichte Gesamtnote 1,8 (SD 1,06), erhöhte das Interesse an Allgemeinmedizin aber nicht signifikant; fehlten: interprofessionelle Zusammenarbeit, Führungskompetenzen; vorgeschlagen wurde sechswöchiges longitudinales Modell mit Simulation und Hospitationen.</w:t>
      </w:r>
    </w:p>
    <w:p>
      <w:r>
        <w:rPr>
          <w:b/>
          <w:sz w:val="19"/>
        </w:rPr>
        <w:t xml:space="preserve">Übertragbarkeit: </w:t>
      </w:r>
      <w:r>
        <w:rPr>
          <w:sz w:val="19"/>
        </w:rPr>
        <w:t>Deutschland, Fokus auf medizinische Ausbildung und Lehrqualität.</w:t>
      </w:r>
    </w:p>
    <w:p>
      <w:r>
        <w:rPr>
          <w:color w:val="5A7D3A"/>
          <w:sz w:val="18"/>
        </w:rPr>
        <w:t>https://pubmed.ncbi.nlm.nih.gov/42807621/</w:t>
      </w:r>
    </w:p>
    <w:p>
      <w:pPr>
        <w:pStyle w:val="Heading2"/>
      </w:pPr>
      <w:r>
        <w:t>VISIONARA: Dezentrales kompetenzbasiertes Lernmodell in Hausarztpraxen</w:t>
      </w:r>
    </w:p>
    <w:p>
      <w:r>
        <w:rPr>
          <w:i/>
          <w:color w:val="666666"/>
          <w:sz w:val="18"/>
        </w:rPr>
        <w:t>Lübbert J et al.  ·  GMS J Med Educ  ·  15.09.2026  ·  PMID 42807235</w:t>
      </w:r>
    </w:p>
    <w:p>
      <w:r>
        <w:t>Konzeptentwicklung und geplante Pilotierung eines Programms für akademische Lehrpraxen (MRC-Framework), das strukturiertes kompetenzbasiertes Lernen direkt in den Versorgungsalltag der Allgemeinmedizin integriert.</w:t>
      </w:r>
    </w:p>
    <w:p>
      <w:r>
        <w:rPr>
          <w:b/>
        </w:rPr>
        <w:t xml:space="preserve">Ergebnis: </w:t>
      </w:r>
      <w:r>
        <w:t>Konzeptphase abgeschlossen; geplante Pilotphase wird Machbarkeit, Akzeptanz und Integrierbarkeit in Routinepraxen prüfen sowie personelle Ressourcen, Patientenzustimmung und logistische Hürden evaluieren.</w:t>
      </w:r>
    </w:p>
    <w:p>
      <w:r>
        <w:rPr>
          <w:b/>
          <w:sz w:val="19"/>
        </w:rPr>
        <w:t xml:space="preserve">Übertragbarkeit: </w:t>
      </w:r>
      <w:r>
        <w:rPr>
          <w:sz w:val="19"/>
        </w:rPr>
        <w:t>Deutschland, Modell für Primärversorgung und ärztliche Ausbildung direkt vor Ort.</w:t>
      </w:r>
    </w:p>
    <w:p>
      <w:r>
        <w:rPr>
          <w:color w:val="5A7D3A"/>
          <w:sz w:val="18"/>
        </w:rPr>
        <w:t>https://pubmed.ncbi.nlm.nih.gov/42807235/</w:t>
      </w:r>
    </w:p>
    <w:p>
      <w:pPr>
        <w:pStyle w:val="Heading2"/>
      </w:pPr>
      <w:r>
        <w:t>Facharztprüfung Allgemeinmedizin: Perspektiven von Prüfenden</w:t>
      </w:r>
    </w:p>
    <w:p>
      <w:r>
        <w:rPr>
          <w:i/>
          <w:color w:val="666666"/>
          <w:sz w:val="18"/>
        </w:rPr>
        <w:t>Dreher AC et al.  ·  GMS J Med Educ  ·  15.09.2026  ·  PMID 42807223</w:t>
      </w:r>
    </w:p>
    <w:p>
      <w:r>
        <w:t>Qualitative Explorationsstudie mit 12 Prüfenden aus 6 Bundesländern zu Stärken, Schwächen und Weiterentwicklungspotenzial der mündlichen Facharztprüfung.</w:t>
      </w:r>
    </w:p>
    <w:p>
      <w:r>
        <w:rPr>
          <w:b/>
        </w:rPr>
        <w:t xml:space="preserve">Ergebnis: </w:t>
      </w:r>
      <w:r>
        <w:t>Prüfende beschrieben Stärken: Mindeststandard-Sicherung, Effizienz; Schwächen: begrenzte Aussagekraft für komplexe Handlungskompetenzen; Verbesserungen: Prüfendenschulungen, gemeinsame Erwartungshorizonte, praktische Prüfungskomponenten, longitudinale Assessments.</w:t>
      </w:r>
    </w:p>
    <w:p>
      <w:r>
        <w:rPr>
          <w:b/>
          <w:sz w:val="19"/>
        </w:rPr>
        <w:t xml:space="preserve">Übertragbarkeit: </w:t>
      </w:r>
      <w:r>
        <w:rPr>
          <w:sz w:val="19"/>
        </w:rPr>
        <w:t>Deutschland, direkt auf Facharztausbildung und Qualitätssicherung bezogen.</w:t>
      </w:r>
    </w:p>
    <w:p>
      <w:r>
        <w:rPr>
          <w:color w:val="5A7D3A"/>
          <w:sz w:val="18"/>
        </w:rPr>
        <w:t>https://pubmed.ncbi.nlm.nih.gov/42807223/</w:t>
      </w:r>
    </w:p>
    <w:p>
      <w:pPr>
        <w:pStyle w:val="Heading2"/>
      </w:pPr>
      <w:r>
        <w:t>Früherkennung und Reha bei Muskelskelettstörungen reduzieren Arbeitsunfähigkeit?</w:t>
      </w:r>
    </w:p>
    <w:p>
      <w:r>
        <w:rPr>
          <w:i/>
          <w:color w:val="666666"/>
          <w:sz w:val="18"/>
        </w:rPr>
        <w:t>Bornhöft L et al.  ·  BMC Health Serv Res  ·  26.09.2026  ·  PMID 42806350</w:t>
      </w:r>
    </w:p>
    <w:p>
      <w:r>
        <w:t>Ökonomische Analyse eines randomisierten Vergleichs zwischen teambasierter Primärversorgungsrehabilitation und Standardversorgung für Patienten mit erhöhtem Fehlzeitrisiko in Schweden (N=526).</w:t>
      </w:r>
    </w:p>
    <w:p>
      <w:r>
        <w:rPr>
          <w:b/>
        </w:rPr>
        <w:t xml:space="preserve">Ergebnis: </w:t>
      </w:r>
      <w:r>
        <w:t>Team-Rehabilitation und Standardversorgung führten zu ähnlichen QALYs über ein Jahr; die Wahrscheinlichkeit der Kosteneffektivität lag bei etwa 50 % (schwedische Schwellenwerte 43.000–86.000 €/QALY); Selektion bedürftiger Patienten muss verbessert werden.</w:t>
      </w:r>
    </w:p>
    <w:p>
      <w:r>
        <w:rPr>
          <w:b/>
          <w:sz w:val="19"/>
        </w:rPr>
        <w:t xml:space="preserve">Übertragbarkeit: </w:t>
      </w:r>
      <w:r>
        <w:rPr>
          <w:sz w:val="19"/>
        </w:rPr>
        <w:t>Schweden, steuerfinanziert und hausarztgesteuert, aber Prozesse und Arbeitsfähigkeit sind übertragbar.</w:t>
      </w:r>
    </w:p>
    <w:p>
      <w:r>
        <w:rPr>
          <w:color w:val="5A7D3A"/>
          <w:sz w:val="18"/>
        </w:rPr>
        <w:t>https://pubmed.ncbi.nlm.nih.gov/42806350/</w:t>
      </w:r>
    </w:p>
    <w:p>
      <w:pPr>
        <w:pStyle w:val="Heading1"/>
      </w:pPr>
      <w:r>
        <w:t>Aufgenommen am 29.09.2026</w:t>
      </w:r>
    </w:p>
    <w:p>
      <w:pPr>
        <w:pStyle w:val="Heading2"/>
      </w:pPr>
      <w:r>
        <w:t>Kosteneffektivität eines Diabetes-Präventionsprogramms in Kanada</w:t>
      </w:r>
    </w:p>
    <w:p>
      <w:r>
        <w:rPr>
          <w:i/>
          <w:color w:val="666666"/>
          <w:sz w:val="18"/>
        </w:rPr>
        <w:t>Gupta N et al.  ·  CMAJ  ·  27.09.2026  ·  PMID 42805627</w:t>
      </w:r>
    </w:p>
    <w:p>
      <w:r>
        <w:t>Gesundheitsökonomisches Modell zum NHS-England-DPP in Quebec und Ontario über 35 Jahre.</w:t>
      </w:r>
    </w:p>
    <w:p>
      <w:r>
        <w:rPr>
          <w:b/>
        </w:rPr>
        <w:t xml:space="preserve">Ergebnis: </w:t>
      </w:r>
      <w:r>
        <w:t>DPP sparte 244 CAD pro Teilnehmer in Quebec und 242 CAD in Ontario (95% UI -1.017 bis 408). Gewinn: 0,060 QALYs pro Person (95% UI 0,024-0,094). In 74,8% der Simulationen war DPP kostengünstiger und wirksamer.</w:t>
      </w:r>
    </w:p>
    <w:p>
      <w:r>
        <w:rPr>
          <w:b/>
          <w:sz w:val="19"/>
        </w:rPr>
        <w:t xml:space="preserve">Übertragbarkeit: </w:t>
      </w:r>
      <w:r>
        <w:rPr>
          <w:sz w:val="19"/>
        </w:rPr>
        <w:t>Kanada ähnlich deutschem Sozialversicherungssystem, vergleichbare Kostenkalkulation möglich.</w:t>
      </w:r>
    </w:p>
    <w:p>
      <w:r>
        <w:rPr>
          <w:color w:val="5A7D3A"/>
          <w:sz w:val="18"/>
        </w:rPr>
        <w:t>https://pubmed.ncbi.nlm.nih.gov/42805627/</w:t>
      </w:r>
    </w:p>
    <w:p>
      <w:pPr>
        <w:pStyle w:val="Heading2"/>
      </w:pPr>
      <w:r>
        <w:t>Physiotherapie nach COVID-19 in der niederländischen Primärversorgung: Inanspruchnahme und Trends</w:t>
      </w:r>
    </w:p>
    <w:p>
      <w:r>
        <w:rPr>
          <w:i/>
          <w:color w:val="666666"/>
          <w:sz w:val="18"/>
        </w:rPr>
        <w:t>Veldkamp R et al.  ·  JMIR Public Health Surveill  ·  28.09.2026  ·  PMID 42804191</w:t>
      </w:r>
    </w:p>
    <w:p>
      <w:r>
        <w:t>Retrospektive Kohortenstudie zur Inanspruchnahme von Physiotherapie nach COVID-19 in niederländischen Hausarztpraxen über 2,5 Jahre der Pandemie.</w:t>
      </w:r>
    </w:p>
    <w:p>
      <w:r>
        <w:rPr>
          <w:b/>
        </w:rPr>
        <w:t xml:space="preserve">Ergebnis: </w:t>
      </w:r>
      <w:r>
        <w:t>Unter 71.152 Behandlungsverläufen hatten abgeschlossene Fälle eine mediane Dauer von 24 Wochen mit 28 Konsultationen. Die Physiotherapie-Inanspruchnahme sank signifikant über die Zeit (p&lt;0,001), mit maximalen Konsultationen bei 60-79-Jährigen und 1,5 Wochen längerer Behandlung bei Frauen (p&lt;0,001). In 83% waren Baseline-Werte auf Outcome-Messungen erfasst (6-Minuten-Gehtest: 420 m [340-490]).</w:t>
      </w:r>
    </w:p>
    <w:p>
      <w:r>
        <w:rPr>
          <w:b/>
          <w:sz w:val="19"/>
        </w:rPr>
        <w:t xml:space="preserve">Übertragbarkeit: </w:t>
      </w:r>
      <w:r>
        <w:rPr>
          <w:sz w:val="19"/>
        </w:rPr>
        <w:t>Niederländische Routinedaten aus Primärversorgung, direkt auf deutsches System übertragbar.</w:t>
      </w:r>
    </w:p>
    <w:p>
      <w:r>
        <w:rPr>
          <w:color w:val="5A7D3A"/>
          <w:sz w:val="18"/>
        </w:rPr>
        <w:t>https://pubmed.ncbi.nlm.nih.gov/42804191/</w:t>
      </w:r>
    </w:p>
    <w:p>
      <w:pPr>
        <w:pStyle w:val="Heading2"/>
      </w:pPr>
      <w:r>
        <w:t>Telepharmacy-Services und Notfallaufnahme-Inanspruchnahme: Systematische Übersicht</w:t>
      </w:r>
    </w:p>
    <w:p>
      <w:r>
        <w:rPr>
          <w:i/>
          <w:color w:val="666666"/>
          <w:sz w:val="18"/>
        </w:rPr>
        <w:t>Barwick AL et al.  ·  J Telemed Telecare  ·  28.09.2026  ·  PMID 42804181</w:t>
      </w:r>
    </w:p>
    <w:p>
      <w:r>
        <w:t>Metaanalyse von 17 RCTs zur Wirksamkeit von Telepharmacy-Interventionen auf Notaufnahme-Besuche und Wiederaufnahmen.</w:t>
      </w:r>
    </w:p>
    <w:p>
      <w:r>
        <w:rPr>
          <w:b/>
        </w:rPr>
        <w:t xml:space="preserve">Ergebnis: </w:t>
      </w:r>
      <w:r>
        <w:t>Telepharmacy war mit einer 6% absoluten Reduktion von 30-Tage-Notaufnahme-Besuchen assoziiert (Risikodifferenz=0,06, 95% CI: 0,02-0,10; p=0,005). Keine signifikante Reduktion bei ungeplanten Wiederaufnahmen.</w:t>
      </w:r>
    </w:p>
    <w:p>
      <w:r>
        <w:rPr>
          <w:b/>
          <w:sz w:val="19"/>
        </w:rPr>
        <w:t xml:space="preserve">Übertragbarkeit: </w:t>
      </w:r>
      <w:r>
        <w:rPr>
          <w:sz w:val="19"/>
        </w:rPr>
        <w:t>Heterogene RCTs international, Fragestellung zum Einsatz von Telemedizin systemunabhängig relevant.</w:t>
      </w:r>
    </w:p>
    <w:p>
      <w:r>
        <w:rPr>
          <w:color w:val="5A7D3A"/>
          <w:sz w:val="18"/>
        </w:rPr>
        <w:t>https://pubmed.ncbi.nlm.nih.gov/42804181/</w:t>
      </w:r>
    </w:p>
    <w:p>
      <w:pPr>
        <w:pStyle w:val="Heading2"/>
      </w:pPr>
      <w:r>
        <w:t>Intra-Session-Reliabilität des Imagined Timed Up and Go Tests bei älteren Erwachsenen</w:t>
      </w:r>
    </w:p>
    <w:p>
      <w:r>
        <w:rPr>
          <w:i/>
          <w:color w:val="666666"/>
          <w:sz w:val="18"/>
        </w:rPr>
        <w:t>Inamura T et al.  ·  Physiother Theory Pract  ·  28.09.2026  ·  PMID 42802900</w:t>
      </w:r>
    </w:p>
    <w:p>
      <w:r>
        <w:t>Reliabilitätsstudie (85 Probanden) zum Imagined Timed Up and Go Test zur Erfassung von Schätzfehlern der physischen Leistung.</w:t>
      </w:r>
    </w:p>
    <w:p>
      <w:r>
        <w:rPr>
          <w:b/>
        </w:rPr>
        <w:t xml:space="preserve">Ergebnis: </w:t>
      </w:r>
      <w:r>
        <w:t>Intra-Rater-Reliabilität moderat (ICC_A,1: 0,69-0,73); simultane Inter-Rater-Reliabilität exzellent (ICC_2,2≈0,994; ICC_2,1: 0,982-0,984). Intra-Rater MDC95: 2,3 s (35,1%); Inter-Rater MDC95: 0,3 s (4,9%). Probanden übersch ätzen ihre Fähigkeiten (TUG 6,0 s vs. ITUG 4,0 s).</w:t>
      </w:r>
    </w:p>
    <w:p>
      <w:r>
        <w:rPr>
          <w:b/>
          <w:sz w:val="19"/>
        </w:rPr>
        <w:t xml:space="preserve">Übertragbarkeit: </w:t>
      </w:r>
      <w:r>
        <w:rPr>
          <w:sz w:val="19"/>
        </w:rPr>
        <w:t>Japanische Daten, klinische Metriken systemunabhängig, Validierung vor Routineeinsatz relevant.</w:t>
      </w:r>
    </w:p>
    <w:p>
      <w:r>
        <w:rPr>
          <w:color w:val="5A7D3A"/>
          <w:sz w:val="18"/>
        </w:rPr>
        <w:t>https://pubmed.ncbi.nlm.nih.gov/42802900/</w:t>
      </w:r>
    </w:p>
    <w:p>
      <w:pPr>
        <w:pStyle w:val="Heading2"/>
      </w:pPr>
      <w:r>
        <w:t>Krankenhaus-Management-Modelle und Krebsergebnisse in São Paulo</w:t>
      </w:r>
    </w:p>
    <w:p>
      <w:r>
        <w:rPr>
          <w:i/>
          <w:color w:val="666666"/>
          <w:sz w:val="18"/>
        </w:rPr>
        <w:t>Delpino FM et al.  ·  Int J Health Plann Manage  ·  26.09.2026  ·  PMID 42800063</w:t>
      </w:r>
    </w:p>
    <w:p>
      <w:r>
        <w:t>Staggered Difference-in-Differences-Analyse zu 652.734 Brust-, Prostata- und Darmkrebs-Fällen (2000-2023) unter Vergleich von Social Health Organisations vs. direkt verwalteten Häusern.</w:t>
      </w:r>
    </w:p>
    <w:p>
      <w:r>
        <w:rPr>
          <w:b/>
        </w:rPr>
        <w:t xml:space="preserve">Ergebnis: </w:t>
      </w:r>
      <w:r>
        <w:t>SHO-Adoption assoziiert mit unpräzisen Änderungen: Diagnose-bis-Behandlung -155,3 Tage (95% CI -350,0 bis 39,4); Konsultation-bis-Diagnose -96,3 Tage (95% CI -237,7 bis 45,1); 30-Tage-Mortalität +0,8 Prozentpunkte (95% CI -4,0 bis 5,5). Kontrolle und Gewichtung materialverändernd.</w:t>
      </w:r>
    </w:p>
    <w:p>
      <w:r>
        <w:rPr>
          <w:b/>
          <w:sz w:val="19"/>
        </w:rPr>
        <w:t xml:space="preserve">Übertragbarkeit: </w:t>
      </w:r>
      <w:r>
        <w:rPr>
          <w:sz w:val="19"/>
        </w:rPr>
        <w:t>Brasilien, unterschiedliches Ressourcen-Setting; Fragestellung zu Managementmodellen kontextabhängig.</w:t>
      </w:r>
    </w:p>
    <w:p>
      <w:r>
        <w:rPr>
          <w:color w:val="5A7D3A"/>
          <w:sz w:val="18"/>
        </w:rPr>
        <w:t>https://pubmed.ncbi.nlm.nih.gov/42800063/</w:t>
      </w:r>
    </w:p>
    <w:p>
      <w:pPr>
        <w:pStyle w:val="Heading1"/>
      </w:pPr>
      <w:r>
        <w:t>Aufgenommen am 28.09.2026</w:t>
      </w:r>
    </w:p>
    <w:p>
      <w:pPr>
        <w:pStyle w:val="Heading2"/>
      </w:pPr>
      <w:r>
        <w:t>Wirksamkeit familienorientierter Intervention für Kinder psychisch erkrankter Eltern</w:t>
      </w:r>
    </w:p>
    <w:p>
      <w:r>
        <w:rPr>
          <w:i/>
          <w:color w:val="666666"/>
          <w:sz w:val="18"/>
        </w:rPr>
        <w:t>Paumen T et al.  ·  Child Adolesc Psychiatry Ment Health  ·  25.09.2026  ·  PMID 42800877</w:t>
      </w:r>
    </w:p>
    <w:p>
      <w:r>
        <w:t>Cluster-randomisierte Studie zur Wirksamkeit des CHIMPS-Programms (psychodynamische transdiagnostische Familienintervention) auf psychische Gesundheit und Lebensqualität bei 215 Kindern psychisch erkrankter Eltern in Deutschland und der Schweiz.</w:t>
      </w:r>
    </w:p>
    <w:p>
      <w:r>
        <w:rPr>
          <w:b/>
        </w:rPr>
        <w:t xml:space="preserve">Ergebnis: </w:t>
      </w:r>
      <w:r>
        <w:t>Odds Ratio 0,52 (95%-KI: 0,25-1,09) für diagnostische Remission in der Interventionsgruppe versus Kontrollgruppe – statistisch nicht signifikant. Keine klinisch relevanten Unterschiede in Sekundäroutcomes (Verhaltensauffälligkeiten, Lebensqualität). Geringe Erreichbarkeit und Adhärenz der Zielgruppe erschwerten Umsetzung.</w:t>
      </w:r>
    </w:p>
    <w:p>
      <w:r>
        <w:rPr>
          <w:b/>
          <w:sz w:val="19"/>
        </w:rPr>
        <w:t xml:space="preserve">Übertragbarkeit: </w:t>
      </w:r>
      <w:r>
        <w:rPr>
          <w:sz w:val="19"/>
        </w:rPr>
        <w:t>Deutsche Daten aus Universitätskliniken, gesetzlich versicherte Population</w:t>
      </w:r>
    </w:p>
    <w:p>
      <w:r>
        <w:rPr>
          <w:color w:val="5A7D3A"/>
          <w:sz w:val="18"/>
        </w:rPr>
        <w:t>https://pubmed.ncbi.nlm.nih.gov/42800877/</w:t>
      </w:r>
    </w:p>
    <w:p>
      <w:pPr>
        <w:pStyle w:val="Heading2"/>
      </w:pPr>
      <w:r>
        <w:t>Tamil-Validierung des Diabetes Quality-of-Life Brief Clinical Inventory</w:t>
      </w:r>
    </w:p>
    <w:p>
      <w:r>
        <w:rPr>
          <w:i/>
          <w:color w:val="666666"/>
          <w:sz w:val="18"/>
        </w:rPr>
        <w:t>Darshana N et al.  ·  BMC Health Serv Res  ·  14.09.2026  ·  PMID 42791544</w:t>
      </w:r>
    </w:p>
    <w:p>
      <w:r>
        <w:t>Kulturelle Adaptation und Validierung eines Instruments zur Messung der diabetesspezifischen Lebensqualität bei tamilsprachigen Erwachsenen mit Typ-2-Diabetes in Sri Lanka (n=165).</w:t>
      </w:r>
    </w:p>
    <w:p>
      <w:r>
        <w:rPr>
          <w:b/>
        </w:rPr>
        <w:t xml:space="preserve">Ergebnis: </w:t>
      </w:r>
      <w:r>
        <w:t>Cronbachs α=0,682, signifikante negative Korrelation mit WHOQOL-BREF (r=-0,559, p&lt;0,001), signifikant niedrigere Lebensqualität bei Patienten mit Mikrovaskularisierungskomplikationen (p=0,040). KMO=0,729, Faktorenanalyse erklärt 72% der Gesamtvarianz.</w:t>
      </w:r>
    </w:p>
    <w:p>
      <w:r>
        <w:rPr>
          <w:b/>
          <w:sz w:val="19"/>
        </w:rPr>
        <w:t xml:space="preserve">Übertragbarkeit: </w:t>
      </w:r>
      <w:r>
        <w:rPr>
          <w:sz w:val="19"/>
        </w:rPr>
        <w:t>Nur begrenzt: Südasiatische Bevölkerung, anderes Gesundheitssystem</w:t>
      </w:r>
    </w:p>
    <w:p>
      <w:r>
        <w:rPr>
          <w:color w:val="5A7D3A"/>
          <w:sz w:val="18"/>
        </w:rPr>
        <w:t>https://pubmed.ncbi.nlm.nih.gov/42791544/</w:t>
      </w:r>
    </w:p>
    <w:p>
      <w:pPr>
        <w:pStyle w:val="Heading2"/>
      </w:pPr>
      <w:r>
        <w:t>Gesundheitskompetenz und Versorgungsintegration bei Kindern mit Spezialversorgungsbedarfen</w:t>
      </w:r>
    </w:p>
    <w:p>
      <w:r>
        <w:rPr>
          <w:i/>
          <w:color w:val="666666"/>
          <w:sz w:val="18"/>
        </w:rPr>
        <w:t>Skoss R et al.  ·  BMC Health Serv Res  ·  11.08.2026  ·  PMID 42791541</w:t>
      </w:r>
    </w:p>
    <w:p>
      <w:r>
        <w:t>Querschnittstudie zur Beziehung zwischen Gesundheitskompetenz von Eltern, Erfahrungen mit Versorgungsintegration und Elternbelastung bei 126 australischen Eltern von Kindern mit Spezialversorgungsbedarfen.</w:t>
      </w:r>
    </w:p>
    <w:p>
      <w:r>
        <w:rPr>
          <w:b/>
        </w:rPr>
        <w:t xml:space="preserve">Ergebnis: </w:t>
      </w:r>
      <w:r>
        <w:t>Clusteranalyse identifizierte drei Gesundheitskompetenz-Profile; höhere Kompetenz assoziiert mit besseren Erfahrungen bei Versorgungsintegration und niedrigerem Elternstress. Mehrheitlich Eltern mit Behinderungs-(53,7%) und Atemwegserkrankungen (38,9%) vertreten.</w:t>
      </w:r>
    </w:p>
    <w:p>
      <w:r>
        <w:rPr>
          <w:b/>
          <w:sz w:val="19"/>
        </w:rPr>
        <w:t xml:space="preserve">Übertragbarkeit: </w:t>
      </w:r>
      <w:r>
        <w:rPr>
          <w:sz w:val="19"/>
        </w:rPr>
        <w:t>Steuerfinanziert, englischsprachig – begrenzte Übertragbarkeit auf deutsches SV-System</w:t>
      </w:r>
    </w:p>
    <w:p>
      <w:r>
        <w:rPr>
          <w:color w:val="5A7D3A"/>
          <w:sz w:val="18"/>
        </w:rPr>
        <w:t>https://pubmed.ncbi.nlm.nih.gov/42791541/</w:t>
      </w:r>
    </w:p>
    <w:p>
      <w:pPr>
        <w:pStyle w:val="Heading2"/>
      </w:pPr>
      <w:r>
        <w:t>Zivilgesellschaftliche Organisationen in Gesundheitsversorgung für Migranten auf der Balkanroute</w:t>
      </w:r>
    </w:p>
    <w:p>
      <w:r>
        <w:rPr>
          <w:i/>
          <w:color w:val="666666"/>
          <w:sz w:val="18"/>
        </w:rPr>
        <w:t>Link F et al.  ·  Int J Equity Health  ·  24.09.2026  ·  PMID 42791536</w:t>
      </w:r>
    </w:p>
    <w:p>
      <w:r>
        <w:t>Qualitative Studie mit 15 CSO-Mitarbeitern aus 11 Ländern (März–Mai 2024) zu Barrieren, Erleichterungen und Rollen von Zivilgesellschaft bei Gesundheitsversorgung für Menschen in Migrationsprozessen.</w:t>
      </w:r>
    </w:p>
    <w:p>
      <w:r>
        <w:rPr>
          <w:b/>
        </w:rPr>
        <w:t xml:space="preserve">Ergebnis: </w:t>
      </w:r>
      <w:r>
        <w:t>Vier Hauptkategorien identifiziert: fragmentierte Migrationspolitik, begrenzte Systemkapazitäten, Diskriminierung und Rechtsbarrieren. CSO erfüllen kritische Lückenfüllungsfunktion durch Mediation und Advocacy; jedoch chronische Finanzierungsunsicherheit, Personalengpässe und ethische Spannungen. Vertrauen zwischen CSO, Gesundheitssystem und Behörden essentiell.</w:t>
      </w:r>
    </w:p>
    <w:p>
      <w:r>
        <w:rPr>
          <w:b/>
          <w:sz w:val="19"/>
        </w:rPr>
        <w:t xml:space="preserve">Übertragbarkeit: </w:t>
      </w:r>
      <w:r>
        <w:rPr>
          <w:sz w:val="19"/>
        </w:rPr>
        <w:t>Europäischer Kontext (11 Länder), Mehrländer-Perspektive – Migrationsstrukturen relevant</w:t>
      </w:r>
    </w:p>
    <w:p>
      <w:r>
        <w:rPr>
          <w:color w:val="5A7D3A"/>
          <w:sz w:val="18"/>
        </w:rPr>
        <w:t>https://pubmed.ncbi.nlm.nih.gov/42791536/</w:t>
      </w:r>
    </w:p>
    <w:p>
      <w:pPr>
        <w:pStyle w:val="Heading2"/>
      </w:pPr>
      <w:r>
        <w:t>Präklinische Halswirbelimmobilisierung und Mortalität bei Traumapatienten</w:t>
      </w:r>
    </w:p>
    <w:p>
      <w:r>
        <w:rPr>
          <w:i/>
          <w:color w:val="666666"/>
          <w:sz w:val="18"/>
        </w:rPr>
        <w:t>Häske D et al.  ·  World J Emerg Surg  ·  22.09.2026  ·  PMID 42786484</w:t>
      </w:r>
    </w:p>
    <w:p>
      <w:r>
        <w:t>Retrospektive Beobachtungsstudie aus deutschem Traumaregister (TraumaRegister DGU, 2020–2022) mit Propensity-Score-Matching zu Effekt präklinischer Halswirbelimmobilisierung auf Krankenhausmortalität und neurologische Outcomes (n=31.055, davon 16.922 gematched).</w:t>
      </w:r>
    </w:p>
    <w:p>
      <w:r>
        <w:rPr>
          <w:b/>
        </w:rPr>
        <w:t xml:space="preserve">Ergebnis: </w:t>
      </w:r>
      <w:r>
        <w:t>Mortalität gematched: 12,0% mit Immobilisierung vs. 13,6% ohne (p=0,001), kein klinisch bedeutsamer Unterschied. Bei bestätigter Halswirbelverletztung (n=1.362): Mortalität 17,9% vs. 18,2% (p=0,888), Glasgow Outcome Scale zeigt kein signifikanten Unterschied. GCS-Verbesserung Einsatzstelle-Hospital marginal höher mit Immobilisierung (15,7% vs. 12,8%, p&lt;0,001).</w:t>
      </w:r>
    </w:p>
    <w:p>
      <w:r>
        <w:rPr>
          <w:b/>
          <w:sz w:val="19"/>
        </w:rPr>
        <w:t xml:space="preserve">Übertragbarkeit: </w:t>
      </w:r>
      <w:r>
        <w:rPr>
          <w:sz w:val="19"/>
        </w:rPr>
        <w:t>Deutsche Routinedaten aus standardisiertem Traumaregister, System vergleichbar</w:t>
      </w:r>
    </w:p>
    <w:p>
      <w:r>
        <w:rPr>
          <w:color w:val="5A7D3A"/>
          <w:sz w:val="18"/>
        </w:rPr>
        <w:t>https://pubmed.ncbi.nlm.nih.gov/42786484/</w:t>
      </w:r>
    </w:p>
    <w:p>
      <w:pPr>
        <w:pStyle w:val="Heading2"/>
      </w:pPr>
      <w:r>
        <w:t>Empagliflozin-Effekte auf kardiovaskuläre Outcomes in sociodemografischen Subgruppen</w:t>
      </w:r>
    </w:p>
    <w:p>
      <w:r>
        <w:rPr>
          <w:i/>
          <w:color w:val="666666"/>
          <w:sz w:val="18"/>
        </w:rPr>
        <w:t>Cromer SJ et al.  ·  Diabetes Care  ·  21.09.2026  ·  PMID 42765974</w:t>
      </w:r>
    </w:p>
    <w:p>
      <w:r>
        <w:t>Real-World-Analyse aus US-Medicare-Daten (2014–2020) zur Heterogenität der Effekte von Empagliflozin auf MACE, Herzinsuffizienz-Hospitalisierung und Mortalität bei älteren Erwachsenen mit Typ-2-Diabetes (n propensity-matched: 16.922).</w:t>
      </w:r>
    </w:p>
    <w:p>
      <w:r>
        <w:rPr>
          <w:b/>
        </w:rPr>
        <w:t xml:space="preserve">Ergebnis: </w:t>
      </w:r>
      <w:r>
        <w:t>Empagliflozin vs. DPP4-Inhibitoren: MACE HR 0,77 (99,9%-KI 0,69–0,85, IRD –10,3), HHF HR 0,72 (0,67–0,79, IRD –18,3), Mortalität HR 0,66 (0,57–0,76, IRD –8,6). Konsistente Effekte über sociodemografische Gruppen, höherer absoluter Nutzen mit prävalenter kardiovaskulärer Erkrankung.</w:t>
      </w:r>
    </w:p>
    <w:p>
      <w:r>
        <w:rPr>
          <w:b/>
          <w:sz w:val="19"/>
        </w:rPr>
        <w:t xml:space="preserve">Übertragbarkeit: </w:t>
      </w:r>
      <w:r>
        <w:rPr>
          <w:sz w:val="19"/>
        </w:rPr>
        <w:t>US-Daten – Fragestellung aber systemunabhängig, kardiometabolisch relevant</w:t>
      </w:r>
    </w:p>
    <w:p>
      <w:r>
        <w:rPr>
          <w:color w:val="5A7D3A"/>
          <w:sz w:val="18"/>
        </w:rPr>
        <w:t>https://pubmed.ncbi.nlm.nih.gov/42765974/</w:t>
      </w:r>
    </w:p>
    <w:p>
      <w:pPr>
        <w:pStyle w:val="Heading1"/>
      </w:pPr>
      <w:r>
        <w:t>Aufgenommen am 27.09.2026</w:t>
      </w:r>
    </w:p>
    <w:p>
      <w:pPr>
        <w:pStyle w:val="Heading2"/>
      </w:pPr>
      <w:r>
        <w:t>Geschlechtsspezifische Depressionsdiagnostik: Validierung des DESY-PC in der Primärversorgung</w:t>
      </w:r>
    </w:p>
    <w:p>
      <w:r>
        <w:rPr>
          <w:i/>
          <w:color w:val="666666"/>
          <w:sz w:val="18"/>
        </w:rPr>
        <w:t>Schäffler L et al.  ·  Eur Arch Psychiatry Clin Neurosci  ·  26.09.2026  ·  PMID 42799905</w:t>
      </w:r>
    </w:p>
    <w:p>
      <w:r>
        <w:t>Sekundäranalyse einer diagnostischen Querschnittsstudie mit 431 Primärversorgungspatienten (61% Frauen) zur Testgüte des neuen DESY-PC-Fragebogens versus PHQ-9 mit strukturiertem klinischem Interview als Goldstandard.</w:t>
      </w:r>
    </w:p>
    <w:p>
      <w:r>
        <w:rPr>
          <w:b/>
        </w:rPr>
        <w:t xml:space="preserve">Ergebnis: </w:t>
      </w:r>
      <w:r>
        <w:t>DESY-PC zeigte vergleichbare diagnostische Genauigkeit bei Frauen (AUC 0,85, 95% CI 0,80-0,91) und Männern (AUC 0,90, 95% CI 0,83-0,97, p=0,340). Sensitivität und Spezifität waren ausgeglichen (Cut-off 16: Sensitivität Frauen 74%, Männer 83%, p=0,422; Spezifität Frauen 82%, Männer 87%, p=0,220). Messinvarianz über Geschlechter bestätigt.</w:t>
      </w:r>
    </w:p>
    <w:p>
      <w:r>
        <w:rPr>
          <w:b/>
          <w:sz w:val="19"/>
        </w:rPr>
        <w:t xml:space="preserve">Übertragbarkeit: </w:t>
      </w:r>
      <w:r>
        <w:rPr>
          <w:sz w:val="19"/>
        </w:rPr>
        <w:t>Deutsche Akademische Primärversorgungspraxis in München; Screening-Instrument systemunabhängig</w:t>
      </w:r>
    </w:p>
    <w:p>
      <w:r>
        <w:rPr>
          <w:color w:val="5A7D3A"/>
          <w:sz w:val="18"/>
        </w:rPr>
        <w:t>https://pubmed.ncbi.nlm.nih.gov/42799905/</w:t>
      </w:r>
    </w:p>
    <w:p>
      <w:pPr>
        <w:pStyle w:val="Heading2"/>
      </w:pPr>
      <w:r>
        <w:t>Psychische Gesundheitsdiagnosen bei Kindern und Jugendlichen vor und während COVID-19 in Niedersachsen</w:t>
      </w:r>
    </w:p>
    <w:p>
      <w:r>
        <w:rPr>
          <w:i/>
          <w:color w:val="666666"/>
          <w:sz w:val="18"/>
        </w:rPr>
        <w:t>Jobski K et al.  ·  Children (Basel)  ·  14.09.2026  ·  PMID 42794265</w:t>
      </w:r>
    </w:p>
    <w:p>
      <w:r>
        <w:t>Trends-Analyse mit Routinedaten der AOK Niedersachsen 2018-2022 bei etwa 500.000 Versicherten unter 18 Jahren zur Inzidenz und Prävalenz von Angststörungen, depressiven Störungen, Essstörungen und ADHS.</w:t>
      </w:r>
    </w:p>
    <w:p>
      <w:r>
        <w:rPr>
          <w:b/>
        </w:rPr>
        <w:t xml:space="preserve">Ergebnis: </w:t>
      </w:r>
      <w:r>
        <w:t>2021 höchste Inzidenz für Angststörungen (34,7/1.000), gefolgt von ADHS (18,0/1.000), Depression (13,7/1.000) und Essstörungen (2,7/1.000). Vergleich 2019 zu 2021: Inzidenzen stiegen alle, besonders bei Mädchen 15-17 Jahre (Angst +23%, Depression +25%, ADHS +54%, Essstörungen +90%). 2022 Rückgang, aber Prävalenz bei Mädchen nicht auf Vor-Pandemie-Niveau.</w:t>
      </w:r>
    </w:p>
    <w:p>
      <w:r>
        <w:rPr>
          <w:b/>
          <w:sz w:val="19"/>
        </w:rPr>
        <w:t xml:space="preserve">Übertragbarkeit: </w:t>
      </w:r>
      <w:r>
        <w:rPr>
          <w:sz w:val="19"/>
        </w:rPr>
        <w:t>Deutsche Routinedaten, gesetzlich versicherte Kinder und Jugendliche Niedersachsen</w:t>
      </w:r>
    </w:p>
    <w:p>
      <w:r>
        <w:rPr>
          <w:color w:val="5A7D3A"/>
          <w:sz w:val="18"/>
        </w:rPr>
        <w:t>https://pubmed.ncbi.nlm.nih.gov/42794265/</w:t>
      </w:r>
    </w:p>
    <w:p>
      <w:pPr>
        <w:pStyle w:val="Heading2"/>
      </w:pPr>
      <w:r>
        <w:t>Schlaganfallzertifizierung und Prozessqualität in der akuten ischämischen Schlaganfallbehandlung</w:t>
      </w:r>
    </w:p>
    <w:p>
      <w:r>
        <w:rPr>
          <w:i/>
          <w:color w:val="666666"/>
          <w:sz w:val="18"/>
        </w:rPr>
        <w:t>Boehl M et al.  ·  Neurol Res Pract  ·  25.09.2026  ·  PMID 42791587</w:t>
      </w:r>
    </w:p>
    <w:p>
      <w:r>
        <w:t>Retrospektive Registeranalyse zur Assoziation zwischen Schlaganfalleinheitszertifizierung und Qualitätsindikatoren der intravenösen Thrombolyse in Hessen 2021-2024.</w:t>
      </w:r>
    </w:p>
    <w:p>
      <w:r>
        <w:rPr>
          <w:b/>
        </w:rPr>
        <w:t xml:space="preserve">Ergebnis: </w:t>
      </w:r>
      <w:r>
        <w:t>Zertifizierte Schlaganfalleinheiten führten signifikant häufiger Thrombolyse durch (primär 4,5 h: OR 2,32, 95% CI 1,65-3,27 für pSU; OR 2,19, 95% CI 1,57-3,07 für cSU). Door-to-needle ≤60 min wurden häufiger erreicht (pSU OR 3,13, 95% CI 2,13-4,61; cSU OR 2,60, 95% CI 1,80-3,75). Zertifizierung ist mit besseren Prozessqualitätsindikatoren assoziiert.</w:t>
      </w:r>
    </w:p>
    <w:p>
      <w:r>
        <w:rPr>
          <w:b/>
          <w:sz w:val="19"/>
        </w:rPr>
        <w:t xml:space="preserve">Übertragbarkeit: </w:t>
      </w:r>
      <w:r>
        <w:rPr>
          <w:sz w:val="19"/>
        </w:rPr>
        <w:t>Deutsche Routinedaten aus Hessen, gesetzlich versicherte Schlaganfallpatienten</w:t>
      </w:r>
    </w:p>
    <w:p>
      <w:r>
        <w:rPr>
          <w:color w:val="5A7D3A"/>
          <w:sz w:val="18"/>
        </w:rPr>
        <w:t>https://pubmed.ncbi.nlm.nih.gov/42791587/</w:t>
      </w:r>
    </w:p>
    <w:p>
      <w:pPr>
        <w:pStyle w:val="Heading2"/>
      </w:pPr>
      <w:r>
        <w:t>Patient-reported Experience und psychische Gesundheit: Unterschiede zwischen Immigrant*innen und norwegischer Bevölkerung in der Psychiatrie</w:t>
      </w:r>
    </w:p>
    <w:p>
      <w:r>
        <w:rPr>
          <w:i/>
          <w:color w:val="666666"/>
          <w:sz w:val="18"/>
        </w:rPr>
        <w:t>Ellingsen-Dalskau LH et al.  ·  BMC Health Serv Res  ·  12.09.2026  ·  PMID 42791573</w:t>
      </w:r>
    </w:p>
    <w:p>
      <w:r>
        <w:t>Nationale Befragung (2020-2022) von 8.184 Patienten in norwegischen psychiatrischen Stationen mit gemischten Methoden zu Unterschieden in Patientenerfahrung und Zwangsmaßnahmen zwischen Immigrant*innen und Mehrheitsbevölkerung.</w:t>
      </w:r>
    </w:p>
    <w:p>
      <w:r>
        <w:rPr>
          <w:b/>
        </w:rPr>
        <w:t xml:space="preserve">Ergebnis: </w:t>
      </w:r>
      <w:r>
        <w:t>Einige Immigrant*innengruppen berichteten höhere Zwangsanwendung und geringere Verbesserung der psychischen Gesundheit; qualitative Analyse zeigte unterschiedliche Erwartungen, Vertrauen, Kommunikation und Informationszugang als Einflussfaktoren. Insgesamt ähnliche Erfahrungswerte, aber kontextabhängige Unterschiede.</w:t>
      </w:r>
    </w:p>
    <w:p>
      <w:r>
        <w:rPr>
          <w:b/>
          <w:sz w:val="19"/>
        </w:rPr>
        <w:t xml:space="preserve">Übertragbarkeit: </w:t>
      </w:r>
      <w:r>
        <w:rPr>
          <w:sz w:val="19"/>
        </w:rPr>
        <w:t>Norwegen, Skandinavien mit ähnlichem Sozialversicherungssystem; Patientenperspektive übertragbar</w:t>
      </w:r>
    </w:p>
    <w:p>
      <w:r>
        <w:rPr>
          <w:color w:val="5A7D3A"/>
          <w:sz w:val="18"/>
        </w:rPr>
        <w:t>https://pubmed.ncbi.nlm.nih.gov/42791573/</w:t>
      </w:r>
    </w:p>
    <w:p>
      <w:pPr>
        <w:pStyle w:val="Heading2"/>
      </w:pPr>
      <w:r>
        <w:t>Bedeutung von Präsenzberatung in TIA-Kliniken aus Patienten- und Fachperspektive</w:t>
      </w:r>
    </w:p>
    <w:p>
      <w:r>
        <w:rPr>
          <w:i/>
          <w:color w:val="666666"/>
          <w:sz w:val="18"/>
        </w:rPr>
        <w:t>Heath J et al.  ·  BMC Health Serv Res  ·  14.09.2026  ·  PMID 42791572</w:t>
      </w:r>
    </w:p>
    <w:p>
      <w:r>
        <w:t>Qualitative Interviews mit 15 Patienten und 12 Fachpersonen in England zur Evaluation von virtuellen versus Face-to-Face-TIA-Kliniken während und nach COVID-19.</w:t>
      </w:r>
    </w:p>
    <w:p>
      <w:r>
        <w:rPr>
          <w:b/>
        </w:rPr>
        <w:t xml:space="preserve">Ergebnis: </w:t>
      </w:r>
      <w:r>
        <w:t>Patienten betonten die Wichtigkeit von Präsenzkontakt ('being seen'); zwei Kernthemen identifiziert: (1) bessere Kommunikationsmöglichkeiten und (2) Gefühl, von einem multiprofessionellen Team versorgt zu werden. Fachpersonen sahen virtuelle Kliniken positiver als Patienten; eine Hybrid-Lösung könnte optimal sein.</w:t>
      </w:r>
    </w:p>
    <w:p>
      <w:r>
        <w:rPr>
          <w:b/>
          <w:sz w:val="19"/>
        </w:rPr>
        <w:t xml:space="preserve">Übertragbarkeit: </w:t>
      </w:r>
      <w:r>
        <w:rPr>
          <w:sz w:val="19"/>
        </w:rPr>
        <w:t>Großbritannien (NHS), aber Fragestellung zu Patientenperspektive systemunabhängig</w:t>
      </w:r>
    </w:p>
    <w:p>
      <w:r>
        <w:rPr>
          <w:color w:val="5A7D3A"/>
          <w:sz w:val="18"/>
        </w:rPr>
        <w:t>https://pubmed.ncbi.nlm.nih.gov/42791572/</w:t>
      </w:r>
    </w:p>
    <w:p>
      <w:pPr>
        <w:pStyle w:val="Heading2"/>
      </w:pPr>
      <w:r>
        <w:t>Patient-Journey-Mapping für allogene Stammzelltransplantation: Holistische Versorgungsbedarfe</w:t>
      </w:r>
    </w:p>
    <w:p>
      <w:r>
        <w:rPr>
          <w:i/>
          <w:color w:val="666666"/>
          <w:sz w:val="18"/>
        </w:rPr>
        <w:t>Nan J et al.  ·  BMC Health Serv Res  ·  13.08.2026  ·  PMID 42786489</w:t>
      </w:r>
    </w:p>
    <w:p>
      <w:r>
        <w:t>Qualitative Studie mit 16 allogenen-HSCT-Patienten (November-Dezember 2025) zur Kartierung der Gesundheitsmanagement-Reise über vier Phasen (Screening, Transplantation, Erhaltungstherapie, Langzeit-Follow-up).</w:t>
      </w:r>
    </w:p>
    <w:p>
      <w:r>
        <w:rPr>
          <w:b/>
        </w:rPr>
        <w:t xml:space="preserve">Ergebnis: </w:t>
      </w:r>
      <w:r>
        <w:t>31 Themen über drei Dimensionen identifiziert (Aufgabenausführung, emotionaler Zustand, Schmerzpunkte). Symptombelastung verschoben sich dynamisch: psychische Belastung und Entscheidungslähmung in Phase 1, akute physische Symptome in Phase 2, chronische funktionelle Rückgänge in Phase 4. Durchgehend kritische Schmerzpunkte: fragmentierte Übergänge, Misalignment von Information zu Bedarf, fehlendes Selbstmanagement-Support, finanzielle Last.</w:t>
      </w:r>
    </w:p>
    <w:p>
      <w:r>
        <w:rPr>
          <w:b/>
          <w:sz w:val="19"/>
        </w:rPr>
        <w:t xml:space="preserve">Übertragbarkeit: </w:t>
      </w:r>
      <w:r>
        <w:rPr>
          <w:sz w:val="19"/>
        </w:rPr>
        <w:t>China, aber patient-centered Journey-Mapping-Methodik systemunabhängig übertragbar</w:t>
      </w:r>
    </w:p>
    <w:p>
      <w:r>
        <w:rPr>
          <w:color w:val="5A7D3A"/>
          <w:sz w:val="18"/>
        </w:rPr>
        <w:t>https://pubmed.ncbi.nlm.nih.gov/42786489/</w:t>
      </w:r>
    </w:p>
    <w:p>
      <w:pPr>
        <w:pStyle w:val="Heading1"/>
      </w:pPr>
      <w:r>
        <w:t>Aufgenommen am 26.09.2026</w:t>
      </w:r>
    </w:p>
    <w:p>
      <w:pPr>
        <w:pStyle w:val="Heading2"/>
      </w:pPr>
      <w:r>
        <w:t>Strukturiertes Shared Decision-Making in der Krankenhausversorgung</w:t>
      </w:r>
    </w:p>
    <w:p>
      <w:r>
        <w:rPr>
          <w:i/>
          <w:color w:val="666666"/>
          <w:sz w:val="18"/>
        </w:rPr>
        <w:t>Salas-Gama K et al.  ·  J Healthc Qual Res  ·  25.09.2026  ·  PMID 42790349</w:t>
      </w:r>
    </w:p>
    <w:p>
      <w:r>
        <w:t>Entwicklung und pilotweise Implementierung eines sechsstufigen Shared-Decision-Making-Modells zur Integration in Krankenhausabläufe mit Evaluation von Machbarkeit, Akzeptabilität und Outcome.</w:t>
      </w:r>
    </w:p>
    <w:p>
      <w:r>
        <w:rPr>
          <w:b/>
        </w:rPr>
        <w:t xml:space="preserve">Ergebnis: </w:t>
      </w:r>
      <w:r>
        <w:t>Bei Adipositas berichteten SDM-Teilnehmer höheres Patientenwissen (80,0% vs. 48,8%; p&lt;0,001) und größere Entscheidungszufriedenheit (28,0 vs. 24,2; p=0,022). Bei chronischer Nierenkrankheit zeigte sich signifikant höheres Wissen (91,1% vs. 37,1%; p&lt;0,001). Machbarkeitsschwellen wurden in beiden Indikationen erreicht.</w:t>
      </w:r>
    </w:p>
    <w:p>
      <w:r>
        <w:rPr>
          <w:b/>
          <w:sz w:val="19"/>
        </w:rPr>
        <w:t xml:space="preserve">Übertragbarkeit: </w:t>
      </w:r>
      <w:r>
        <w:rPr>
          <w:sz w:val="19"/>
        </w:rPr>
        <w:t>Spanien, Pilotprojekt im Krankenhaus - methodische Übertragbarkeit auf deutsches Setting gegeben</w:t>
      </w:r>
    </w:p>
    <w:p>
      <w:r>
        <w:rPr>
          <w:color w:val="5A7D3A"/>
          <w:sz w:val="18"/>
        </w:rPr>
        <w:t>https://pubmed.ncbi.nlm.nih.gov/42790349/</w:t>
      </w:r>
    </w:p>
    <w:p>
      <w:pPr>
        <w:pStyle w:val="Heading2"/>
      </w:pPr>
      <w:r>
        <w:t>Surgery on Foot-Protokoll: Patientenerfahrung bei Kolorektalkarzinom</w:t>
      </w:r>
    </w:p>
    <w:p>
      <w:r>
        <w:rPr>
          <w:i/>
          <w:color w:val="666666"/>
          <w:sz w:val="18"/>
        </w:rPr>
        <w:t>van Gool ISM et al.  ·  J Surg Oncol  ·  25.09.2026  ·  PMID 42788955</w:t>
      </w:r>
    </w:p>
    <w:p>
      <w:r>
        <w:t>Qualitative Studie zu Patientenerfahrungen mit dem Surgery-on-Foot-Protokoll, bei dem Patienten am OP-Tag (statt Vortagnacht) aufgenommen und zur OP gehen.</w:t>
      </w:r>
    </w:p>
    <w:p>
      <w:r>
        <w:rPr>
          <w:b/>
        </w:rPr>
        <w:t xml:space="preserve">Ergebnis: </w:t>
      </w:r>
      <w:r>
        <w:t>14 Patienten befragt; Gesamterfahrung positiv. Faktoren für Kontrollgefühl: persönlicher Umgang, involvierte Ärzte und Anwesenheit von Bezugspersonen. Einige Patienten berichteten Angst und Unbehagen bezüglich Krankenhausumgebung. Protokoll wirkte sich positiv auf patientenzentrierte Aspekte aus.</w:t>
      </w:r>
    </w:p>
    <w:p>
      <w:r>
        <w:rPr>
          <w:b/>
          <w:sz w:val="19"/>
        </w:rPr>
        <w:t xml:space="preserve">Übertragbarkeit: </w:t>
      </w:r>
      <w:r>
        <w:rPr>
          <w:sz w:val="19"/>
        </w:rPr>
        <w:t>Niederlande (akademisches Krankenhaus), vergleichbares Versorgungssystem mit Deutschland</w:t>
      </w:r>
    </w:p>
    <w:p>
      <w:r>
        <w:rPr>
          <w:color w:val="5A7D3A"/>
          <w:sz w:val="18"/>
        </w:rPr>
        <w:t>https://pubmed.ncbi.nlm.nih.gov/42788955/</w:t>
      </w:r>
    </w:p>
    <w:p>
      <w:pPr>
        <w:pStyle w:val="Heading2"/>
      </w:pPr>
      <w:r>
        <w:t>Transformatives Governance-Modell für Gesundheit - Evaluierung des Programms Alles ist Gezondheid</w:t>
      </w:r>
    </w:p>
    <w:p>
      <w:r>
        <w:rPr>
          <w:i/>
          <w:color w:val="666666"/>
          <w:sz w:val="18"/>
        </w:rPr>
        <w:t>Bekker MPM et al.  ·  TSG  ·  16.09.2026  ·  PMID 42787321</w:t>
      </w:r>
    </w:p>
    <w:p>
      <w:r>
        <w:t>Mehrfachfallstudie zur Evaluierung eines niederländischen Programms für domeinoverstijgende Gesundheitsnetze; Entwicklung eines heuristischen Transformativen-Governance-Modells basierend auf Interviews, Beobachtungen und Workshops.</w:t>
      </w:r>
    </w:p>
    <w:p>
      <w:r>
        <w:rPr>
          <w:b/>
        </w:rPr>
        <w:t xml:space="preserve">Ergebnis: </w:t>
      </w:r>
      <w:r>
        <w:t>Fünf Small Wins und fünf Veränderungsmechanismen identifiziert, die sich nicht-linear gegenseitig verstärken. Konflikteskalation und -management essentiell für Anpassung von Normen und Regeln. Modell zeigt, wie Transformationsprozesse durch nationale Plattform und Zusammenarbeit ermöglicht werden.</w:t>
      </w:r>
    </w:p>
    <w:p>
      <w:r>
        <w:rPr>
          <w:b/>
          <w:sz w:val="19"/>
        </w:rPr>
        <w:t xml:space="preserve">Übertragbarkeit: </w:t>
      </w:r>
      <w:r>
        <w:rPr>
          <w:sz w:val="19"/>
        </w:rPr>
        <w:t>Niederlande, Sozialversicherungssystem - hohe Übertragbarkeit auf Deutschland</w:t>
      </w:r>
    </w:p>
    <w:p>
      <w:r>
        <w:rPr>
          <w:color w:val="5A7D3A"/>
          <w:sz w:val="18"/>
        </w:rPr>
        <w:t>https://pubmed.ncbi.nlm.nih.gov/42787321/</w:t>
      </w:r>
    </w:p>
    <w:p>
      <w:pPr>
        <w:pStyle w:val="Heading2"/>
      </w:pPr>
      <w:r>
        <w:t>Komplexität von Beatmungsentwöhnung in der Intensivmedizin</w:t>
      </w:r>
    </w:p>
    <w:p>
      <w:r>
        <w:rPr>
          <w:i/>
          <w:color w:val="666666"/>
          <w:sz w:val="18"/>
        </w:rPr>
        <w:t>Sterr F et al.  ·  Nurs Crit Care  ·  Nov. 2026  ·  PMID 42786673</w:t>
      </w:r>
    </w:p>
    <w:p>
      <w:r>
        <w:t>Qualitative Studie mit 29 Intensivpflegefachkräften zur Identifikation von Charakteristika und Mechanismen der Beatmungsentwöhnung als komplexe Intervention.</w:t>
      </w:r>
    </w:p>
    <w:p>
      <w:r>
        <w:rPr>
          <w:b/>
        </w:rPr>
        <w:t xml:space="preserve">Ergebnis: </w:t>
      </w:r>
      <w:r>
        <w:t>Vier Hauptthemen identifiziert: Komplexität der Beatmungsentwöhnung, Outcomes, Interventionen sowie Verknüpfungen und Wechselwirkungen. Analyse zeigt, dass Beatmungsentwöhnung durch Interaktion verschiedener Interventionen, Outcomes und kontextueller Faktoren geprägt ist und theoretisch-konzeptuell organisiert werden muss.</w:t>
      </w:r>
    </w:p>
    <w:p>
      <w:r>
        <w:rPr>
          <w:b/>
          <w:sz w:val="19"/>
        </w:rPr>
        <w:t xml:space="preserve">Übertragbarkeit: </w:t>
      </w:r>
      <w:r>
        <w:rPr>
          <w:sz w:val="19"/>
        </w:rPr>
        <w:t>Deutschland, qualitative Analyse von Intensivpflegeprozessen - systemunabhängig übertragbar</w:t>
      </w:r>
    </w:p>
    <w:p>
      <w:r>
        <w:rPr>
          <w:color w:val="5A7D3A"/>
          <w:sz w:val="18"/>
        </w:rPr>
        <w:t>https://pubmed.ncbi.nlm.nih.gov/42786673/</w:t>
      </w:r>
    </w:p>
    <w:p>
      <w:pPr>
        <w:pStyle w:val="Heading2"/>
      </w:pPr>
      <w:r>
        <w:t>Vertrauen in Gesundheitssystem und Vermeidung von Gesundheitsleistungen</w:t>
      </w:r>
    </w:p>
    <w:p>
      <w:r>
        <w:rPr>
          <w:i/>
          <w:color w:val="666666"/>
          <w:sz w:val="18"/>
        </w:rPr>
        <w:t>Uçar M et al.  ·  BMC Health Serv Res  ·  31.08.2026  ·  PMID 42786500</w:t>
      </w:r>
    </w:p>
    <w:p>
      <w:r>
        <w:t>Querschnittsuntersuchung zum Zusammenhang zwischen medizinischem Vertrauen, Systemvertrauen und Verzögerungsverhalten bei der Inanspruchnahme sowie Einstellung zu Krebsscreening in der Primärversorgung.</w:t>
      </w:r>
    </w:p>
    <w:p>
      <w:r>
        <w:rPr>
          <w:b/>
        </w:rPr>
        <w:t xml:space="preserve">Ergebnis: </w:t>
      </w:r>
      <w:r>
        <w:t>Medizinisches Misstrauen und Systemvertrauen waren positiv mit Verzögerungsverhalten assoziiert und negativ mit Screening-Einstellungen (p&lt;0,001). Medizinisches Misstrauen zeigte stärkste unabhängige Assoziation mit Verzögerungsverhalten (β=0,59) und Screening-Einstellung (β=-0,79).</w:t>
      </w:r>
    </w:p>
    <w:p>
      <w:r>
        <w:rPr>
          <w:b/>
          <w:sz w:val="19"/>
        </w:rPr>
        <w:t xml:space="preserve">Übertragbarkeit: </w:t>
      </w:r>
      <w:r>
        <w:rPr>
          <w:sz w:val="19"/>
        </w:rPr>
        <w:t>Türkei, aber Fragestellung zum Vertrauensaufbau systemunabhängig relevant</w:t>
      </w:r>
    </w:p>
    <w:p>
      <w:r>
        <w:rPr>
          <w:color w:val="5A7D3A"/>
          <w:sz w:val="18"/>
        </w:rPr>
        <w:t>https://pubmed.ncbi.nlm.nih.gov/42786500/</w:t>
      </w:r>
    </w:p>
    <w:p>
      <w:pPr>
        <w:pStyle w:val="Heading2"/>
      </w:pPr>
      <w:r>
        <w:t>Versorgungslücken in der Rehabilitation von unter 60-Jährigen in Deutschland</w:t>
      </w:r>
    </w:p>
    <w:p>
      <w:r>
        <w:rPr>
          <w:i/>
          <w:color w:val="666666"/>
          <w:sz w:val="18"/>
        </w:rPr>
        <w:t>Armbruster C et al.  ·  BMC Health Serv Res  ·  24.09.2026  ·  PMID 42786497</w:t>
      </w:r>
    </w:p>
    <w:p>
      <w:r>
        <w:t>Exploratory Expertenbefragung zu Versorgungslücken und Machbarkeit einer indikationsübergreifenden, ambulanten Rehabilitationsversorgung für Patienten unter 60 Jahren mit komplexen Beeinträchtigungen.</w:t>
      </w:r>
    </w:p>
    <w:p>
      <w:r>
        <w:rPr>
          <w:b/>
        </w:rPr>
        <w:t xml:space="preserve">Ergebnis: </w:t>
      </w:r>
      <w:r>
        <w:t>136 Experten aus sechs Fachbereichen nahmen teil; überwiegende Mehrheit sah hohe Versorgungslücken in aktuellen Rehabilitationsdiensten. Experten bewerteten indikationsübergreifende, ambulante Rehabilitation positiv bezüglich Nutzen und Notwendigkeit, um bestehende Versorgungslücken zu schließen.</w:t>
      </w:r>
    </w:p>
    <w:p>
      <w:r>
        <w:rPr>
          <w:b/>
          <w:sz w:val="19"/>
        </w:rPr>
        <w:t xml:space="preserve">Übertragbarkeit: </w:t>
      </w:r>
      <w:r>
        <w:rPr>
          <w:sz w:val="19"/>
        </w:rPr>
        <w:t>Deutsche Expertenbefragung, direkt auf deutsches Versorgungssystem anwendbar</w:t>
      </w:r>
    </w:p>
    <w:p>
      <w:r>
        <w:rPr>
          <w:color w:val="5A7D3A"/>
          <w:sz w:val="18"/>
        </w:rPr>
        <w:t>https://pubmed.ncbi.nlm.nih.gov/42786497/</w:t>
      </w:r>
    </w:p>
    <w:p>
      <w:pPr>
        <w:pStyle w:val="Heading1"/>
      </w:pPr>
      <w:r>
        <w:t>Aufgenommen am 25.09.2026</w:t>
      </w:r>
    </w:p>
    <w:p>
      <w:pPr>
        <w:pStyle w:val="Heading2"/>
      </w:pPr>
      <w:r>
        <w:t>Morbiditäten und Infektionen bei MS-Patienten in niederländischen Hausarztpraxen</w:t>
      </w:r>
    </w:p>
    <w:p>
      <w:r>
        <w:rPr>
          <w:i/>
          <w:color w:val="666666"/>
          <w:sz w:val="18"/>
        </w:rPr>
        <w:t>Lemmens CMC et al.  ·  Mult Scler Relat Disord  ·  14.09.2026  ·  PMID 42785001</w:t>
      </w:r>
    </w:p>
    <w:p>
      <w:r>
        <w:t>Retrospektive Fall-Kontroll-Studie zu Begleiterkrankungen und Infektionsraten bei MS-Patienten versus Kontrollpersonen in niederländischen Primärversorgungspraxen (Nivel-Datenbank 2019).</w:t>
      </w:r>
    </w:p>
    <w:p>
      <w:r>
        <w:rPr>
          <w:b/>
        </w:rPr>
        <w:t xml:space="preserve">Ergebnis: </w:t>
      </w:r>
      <w:r>
        <w:t>MS-Patienten zeigten höhere Lebenszeitprävalenz chronischer Erkrankungen (insbesondere Osteoporose, Schlaganfall, Epilepsie); jährliche Infektionsrate OR 1,86 (95%-KI 1,73–1,99). CCI-Scores ≥2 und ≥1 Infektionsepisode waren mit erhöhter 5-Jahres-Mortalität assoziiert (aHR 3,30 bzw. 1,68).</w:t>
      </w:r>
    </w:p>
    <w:p>
      <w:r>
        <w:rPr>
          <w:b/>
          <w:sz w:val="19"/>
        </w:rPr>
        <w:t xml:space="preserve">Übertragbarkeit: </w:t>
      </w:r>
      <w:r>
        <w:rPr>
          <w:sz w:val="19"/>
        </w:rPr>
        <w:t>Niederlande, Primärversorgungsdaten; vergleichbares Sozialversicherungssystem</w:t>
      </w:r>
    </w:p>
    <w:p>
      <w:r>
        <w:rPr>
          <w:color w:val="5A7D3A"/>
          <w:sz w:val="18"/>
        </w:rPr>
        <w:t>https://pubmed.ncbi.nlm.nih.gov/42785001/</w:t>
      </w:r>
    </w:p>
    <w:p>
      <w:pPr>
        <w:pStyle w:val="Heading2"/>
      </w:pPr>
      <w:r>
        <w:t>Patientenperspektiven auf Apotheker-gesteuertes Hypertonie-Management nach Notaufnahme</w:t>
      </w:r>
    </w:p>
    <w:p>
      <w:r>
        <w:rPr>
          <w:i/>
          <w:color w:val="666666"/>
          <w:sz w:val="18"/>
        </w:rPr>
        <w:t>Kuhn D et al.  ·  Am J Health Syst Pharm  ·  24.09.2026  ·  PMID 42781767</w:t>
      </w:r>
    </w:p>
    <w:p>
      <w:r>
        <w:t>Qualitative Studie mit 11 Patienten aus urban-akademischer Notaufnahme zur Akzeptanz von Apotheker-gesteuerter Hypertonie-Nachbetreuung nach Entlassung.</w:t>
      </w:r>
    </w:p>
    <w:p>
      <w:r>
        <w:rPr>
          <w:b/>
        </w:rPr>
        <w:t xml:space="preserve">Ergebnis: </w:t>
      </w:r>
      <w:r>
        <w:t>Vier Themen: (1) begrenzte Hypertonie-Kommunikation, Wissenslücken; (2) Technologie mindert Barrieren; (3) Apotheker-Expertise akzeptiert, aber Unsicherheit zu Qualifikation/Verschreibungsrecht; (4) Wert von Kontinuität und Arzt-Apotheker-Zusammenarbeit.</w:t>
      </w:r>
    </w:p>
    <w:p>
      <w:r>
        <w:rPr>
          <w:b/>
          <w:sz w:val="19"/>
        </w:rPr>
        <w:t xml:space="preserve">Übertragbarkeit: </w:t>
      </w:r>
      <w:r>
        <w:rPr>
          <w:sz w:val="19"/>
        </w:rPr>
        <w:t>USA, aber Fragestellung zu Prozessen/Patientenperspektive teilweise übertragbar</w:t>
      </w:r>
    </w:p>
    <w:p>
      <w:r>
        <w:rPr>
          <w:color w:val="5A7D3A"/>
          <w:sz w:val="18"/>
        </w:rPr>
        <w:t>https://pubmed.ncbi.nlm.nih.gov/42781767/</w:t>
      </w:r>
    </w:p>
    <w:p>
      <w:pPr>
        <w:pStyle w:val="Heading2"/>
      </w:pPr>
      <w:r>
        <w:t>Referenzpreise beeinflussen Kostenanalysen in gesundheitsökonomischen Evaluationen</w:t>
      </w:r>
    </w:p>
    <w:p>
      <w:r>
        <w:rPr>
          <w:i/>
          <w:color w:val="666666"/>
          <w:sz w:val="18"/>
        </w:rPr>
        <w:t>Hoelen TA et al.  ·  Int J Technol Assess Health Care  ·  24.09.2026  ·  PMID 42779108</w:t>
      </w:r>
    </w:p>
    <w:p>
      <w:r>
        <w:t>Empirischer Vergleich der Auswirkungen nationaler Preisrichtlinien auf Kostenanalysen von Gesundheitstechnologien anhand idiopathischer Skoliose in Niederlanden und Großbritannien.</w:t>
      </w:r>
    </w:p>
    <w:p>
      <w:r>
        <w:rPr>
          <w:b/>
        </w:rPr>
        <w:t xml:space="preserve">Ergebnis: </w:t>
      </w:r>
      <w:r>
        <w:t>Niederländische Kostenestimate stiegen um 18% nach Richtlinien-Update 2014–2024; UK-Kosten waren 69% höher als in NL. Zwölf niederländische Kostenposten änderten sich um &gt;10%, vier britische – deutliche Methodenvariation zwischen Ländern.</w:t>
      </w:r>
    </w:p>
    <w:p>
      <w:r>
        <w:rPr>
          <w:b/>
          <w:sz w:val="19"/>
        </w:rPr>
        <w:t xml:space="preserve">Übertragbarkeit: </w:t>
      </w:r>
      <w:r>
        <w:rPr>
          <w:sz w:val="19"/>
        </w:rPr>
        <w:t>Niederlande, Vereinigtes Königreich; zentrale Erkenntnisse zu Übertragbarkeitsgrenzen</w:t>
      </w:r>
    </w:p>
    <w:p>
      <w:r>
        <w:rPr>
          <w:color w:val="5A7D3A"/>
          <w:sz w:val="18"/>
        </w:rPr>
        <w:t>https://pubmed.ncbi.nlm.nih.gov/42779108/</w:t>
      </w:r>
    </w:p>
    <w:p>
      <w:pPr>
        <w:pStyle w:val="Heading2"/>
      </w:pPr>
      <w:r>
        <w:t>Regionale Demenz-Strategie durch Delphi-Prozess: Sachsen-Anhalt</w:t>
      </w:r>
    </w:p>
    <w:p>
      <w:r>
        <w:rPr>
          <w:i/>
          <w:color w:val="666666"/>
          <w:sz w:val="18"/>
        </w:rPr>
        <w:t>Schiller C et al.  ·  BMC Health Serv Res  ·  22.09.2026  ·  PMID 42778917</w:t>
      </w:r>
    </w:p>
    <w:p>
      <w:r>
        <w:t>Partizipative, zweiphasige Methode (Delphi + deliberative Dialoge) zur Entwicklung einer regionalen Demenz-Strategie mit 406 Teilnehmern (Betroffene, Angehörige, Fachkräfte, Politiker).</w:t>
      </w:r>
    </w:p>
    <w:p>
      <w:r>
        <w:rPr>
          <w:b/>
        </w:rPr>
        <w:t xml:space="preserve">Ergebnis: </w:t>
      </w:r>
      <w:r>
        <w:t>88 initiale Ziele; 47 erreichten Konsens in Runde 1, 21 weitere in Runde 2, 7 durch Dialoge validiert. Finale Strategie: 40 strategische Ziele in vier Themenbereichen. Identifizierte Hürden: Fachkräftemangel, Bürokratie, Angehörigen-Belastung.</w:t>
      </w:r>
    </w:p>
    <w:p>
      <w:r>
        <w:rPr>
          <w:b/>
          <w:sz w:val="19"/>
        </w:rPr>
        <w:t xml:space="preserve">Übertragbarkeit: </w:t>
      </w:r>
      <w:r>
        <w:rPr>
          <w:sz w:val="19"/>
        </w:rPr>
        <w:t>Deutschland (Sachsen-Anhalt); direkter Übertrag auf Versorgungsplanung</w:t>
      </w:r>
    </w:p>
    <w:p>
      <w:r>
        <w:rPr>
          <w:color w:val="5A7D3A"/>
          <w:sz w:val="18"/>
        </w:rPr>
        <w:t>https://pubmed.ncbi.nlm.nih.gov/42778917/</w:t>
      </w:r>
    </w:p>
    <w:p>
      <w:pPr>
        <w:pStyle w:val="Heading2"/>
      </w:pPr>
      <w:r>
        <w:t>Ökonomische Evaluation von Prävention gegen Langzeiterkrankschreibung</w:t>
      </w:r>
    </w:p>
    <w:p>
      <w:r>
        <w:rPr>
          <w:i/>
          <w:color w:val="666666"/>
          <w:sz w:val="18"/>
        </w:rPr>
        <w:t>Klasen S et al.  ·  J Occup Rehabil  ·  23.09.2026  ·  PMID 42778834</w:t>
      </w:r>
    </w:p>
    <w:p>
      <w:r>
        <w:t>Gesundheitsökonomische Analyse einer Früh-Interventionsstrategie gegen Langzeitausfallrisiko basierend auf RCT-Daten mit 12-Monats-Follow-up in Niederlanden.</w:t>
      </w:r>
    </w:p>
    <w:p>
      <w:r>
        <w:rPr>
          <w:b/>
        </w:rPr>
        <w:t xml:space="preserve">Ergebnis: </w:t>
      </w:r>
      <w:r>
        <w:t>Aus Arbeitgeber-Perspektive dominant (€–3,92/Punkt Selbstempfundene-Gesundheit-Verbesserung mit Kostenersparnis durch reduzierte Krankschreibung). Aus Gesellschafts- und Gesundheitswesen-Perspektive: ICER €39,19–39,77/Punkt.</w:t>
      </w:r>
    </w:p>
    <w:p>
      <w:r>
        <w:rPr>
          <w:b/>
          <w:sz w:val="19"/>
        </w:rPr>
        <w:t xml:space="preserve">Übertragbarkeit: </w:t>
      </w:r>
      <w:r>
        <w:rPr>
          <w:sz w:val="19"/>
        </w:rPr>
        <w:t>Niederlande, Sozialversicherungssystem, Arbeitsmedizin-Fokus</w:t>
      </w:r>
    </w:p>
    <w:p>
      <w:r>
        <w:rPr>
          <w:color w:val="5A7D3A"/>
          <w:sz w:val="18"/>
        </w:rPr>
        <w:t>https://pubmed.ncbi.nlm.nih.gov/42778834/</w:t>
      </w:r>
    </w:p>
    <w:p>
      <w:pPr>
        <w:pStyle w:val="Heading2"/>
      </w:pPr>
      <w:r>
        <w:t>Kosteneffektivität von endoskopischer Schlauchmagen-Bildung in Singapur</w:t>
      </w:r>
    </w:p>
    <w:p>
      <w:r>
        <w:rPr>
          <w:i/>
          <w:color w:val="666666"/>
          <w:sz w:val="18"/>
        </w:rPr>
        <w:t>Chay J et al.  ·  Surg Obes Relat Dis  ·  28.08.2026  ·  PMID 42767913</w:t>
      </w:r>
    </w:p>
    <w:p>
      <w:r>
        <w:t>Markov-Modell zur Lebenszeitanalyse von endoskopischer Schlauchmagen-Bildung plus Lebensstiländerung versus alleinige Lebensstiländerung bei Adipositas.</w:t>
      </w:r>
    </w:p>
    <w:p>
      <w:r>
        <w:rPr>
          <w:b/>
        </w:rPr>
        <w:t xml:space="preserve">Ergebnis: </w:t>
      </w:r>
      <w:r>
        <w:t>ICER SG$24.580/QALY (US$18.410). Für Patienten ohne T2D: SG$19.320/QALY; mit T2D: SG$37.320/QALY. Bei Schwelle SG$75.000/QALY kosteneffektiv in 98,8% probabilistischer Sensitivitätsanalysen.</w:t>
      </w:r>
    </w:p>
    <w:p>
      <w:r>
        <w:rPr>
          <w:b/>
          <w:sz w:val="19"/>
        </w:rPr>
        <w:t xml:space="preserve">Übertragbarkeit: </w:t>
      </w:r>
      <w:r>
        <w:rPr>
          <w:sz w:val="19"/>
        </w:rPr>
        <w:t>Nur bedingt: Singapur-Kontext, andere Kostenstrukturen; Fragestellung aber systemunabhängig</w:t>
      </w:r>
    </w:p>
    <w:p>
      <w:r>
        <w:rPr>
          <w:color w:val="5A7D3A"/>
          <w:sz w:val="18"/>
        </w:rPr>
        <w:t>https://pubmed.ncbi.nlm.nih.gov/42767913/</w:t>
      </w:r>
    </w:p>
    <w:p>
      <w:pPr>
        <w:pStyle w:val="Heading1"/>
      </w:pPr>
      <w:r>
        <w:t>Aufgenommen am 24.09.2026</w:t>
      </w:r>
    </w:p>
    <w:p>
      <w:pPr>
        <w:pStyle w:val="Heading2"/>
      </w:pPr>
      <w:r>
        <w:t>Rauchen und schwere Erkrankungen: 10-Jahres-Assoziation mit Nikotinentwöhnung</w:t>
      </w:r>
    </w:p>
    <w:p>
      <w:r>
        <w:rPr>
          <w:i/>
          <w:color w:val="666666"/>
          <w:sz w:val="18"/>
        </w:rPr>
        <w:t>Imai E et al.  ·  J Epidemiol  ·  19.09.2026  ·  PMID 42778372</w:t>
      </w:r>
    </w:p>
    <w:p>
      <w:r>
        <w:t>Prospektive Kohortenstudie mit 17.779 japanischen Rauchern zur Assoziation von Herzinfarkt, Schlaganfall, Krebs und Chirurgie mit langfristiger Rauchentwöhnung.</w:t>
      </w:r>
    </w:p>
    <w:p>
      <w:r>
        <w:rPr>
          <w:b/>
        </w:rPr>
        <w:t xml:space="preserve">Ergebnis: </w:t>
      </w:r>
      <w:r>
        <w:t>26,9 % der Raucher (n=4.789) beendeten das Rauchen über 10 Jahre. Major-disease-Diagnosen zeigten starke Assoziation mit Entwöhnung (OR 5,39; 95%-KI 4,80–6,05); Herzinfarkt OR 6,87 (95%-KI 5,18–9,12), Schlaganfall OR 4,03 (95%-KI 3,40–4,78), Lungenkrebs OR 7,41 (95%-KI 4,44–12,51).</w:t>
      </w:r>
    </w:p>
    <w:p>
      <w:r>
        <w:rPr>
          <w:b/>
          <w:sz w:val="19"/>
        </w:rPr>
        <w:t xml:space="preserve">Übertragbarkeit: </w:t>
      </w:r>
      <w:r>
        <w:rPr>
          <w:sz w:val="19"/>
        </w:rPr>
        <w:t>Japan – Fragestellung systemunabhängig; vergleichbare Verhaltensforschung übertragbar</w:t>
      </w:r>
    </w:p>
    <w:p>
      <w:r>
        <w:rPr>
          <w:color w:val="5A7D3A"/>
          <w:sz w:val="18"/>
        </w:rPr>
        <w:t>https://pubmed.ncbi.nlm.nih.gov/42778372/</w:t>
      </w:r>
    </w:p>
    <w:p>
      <w:pPr>
        <w:pStyle w:val="Heading2"/>
      </w:pPr>
      <w:r>
        <w:t>Gemeindeverankerung und Verbleib von Ärzten in unterversorgten Regionen</w:t>
      </w:r>
    </w:p>
    <w:p>
      <w:r>
        <w:rPr>
          <w:i/>
          <w:color w:val="666666"/>
          <w:sz w:val="18"/>
        </w:rPr>
        <w:t>Pathman DE et al.  ·  JAMA Netw Open  ·  01.09.2026  ·  PMID 42776525</w:t>
      </w:r>
    </w:p>
    <w:p>
      <w:r>
        <w:t>Querschnittsstudie mit 1.074 Ärzten in ländlichen und urbanen Health Professional Shortage Areas (HPSA) zur Assoziation von Gemeindeintegration mit beabsichtigtem Verbleib.</w:t>
      </w:r>
    </w:p>
    <w:p>
      <w:r>
        <w:rPr>
          <w:b/>
        </w:rPr>
        <w:t xml:space="preserve">Ergebnis: </w:t>
      </w:r>
      <w:r>
        <w:t>75,5 % der Ärzte in ländlichen und 71,2 % in urbanen HPSA planten Verbleib &gt;2 Jahre (p=0,14). Beide Dimensionen (Gemeindeintegration β=0,58–0,69; Gemeindebedarfserfüllung β=0,56–0,61) waren unabhängig assoziiert mit Verbleib; keine signifikanten ländlich-urbanen Unterschiede.</w:t>
      </w:r>
    </w:p>
    <w:p>
      <w:r>
        <w:rPr>
          <w:b/>
          <w:sz w:val="19"/>
        </w:rPr>
        <w:t xml:space="preserve">Übertragbarkeit: </w:t>
      </w:r>
      <w:r>
        <w:rPr>
          <w:sz w:val="19"/>
        </w:rPr>
        <w:t>USA-Daten – Fragestellung zu Ärztebindung aber systemunabhängig relevant</w:t>
      </w:r>
    </w:p>
    <w:p>
      <w:r>
        <w:rPr>
          <w:color w:val="5A7D3A"/>
          <w:sz w:val="18"/>
        </w:rPr>
        <w:t>https://pubmed.ncbi.nlm.nih.gov/42776525/</w:t>
      </w:r>
    </w:p>
    <w:p>
      <w:pPr>
        <w:pStyle w:val="Heading2"/>
      </w:pPr>
      <w:r>
        <w:t>Unkomplizierte Harnwegsinfekte: Apothekerverschreibung in der Gemeindepharmzie</w:t>
      </w:r>
    </w:p>
    <w:p>
      <w:r>
        <w:rPr>
          <w:i/>
          <w:color w:val="666666"/>
          <w:sz w:val="18"/>
        </w:rPr>
        <w:t>Budden M et al.  ·  Int J Clin Pharm  ·  23.09.2026  ·  PMID 42776432</w:t>
      </w:r>
    </w:p>
    <w:p>
      <w:r>
        <w:t>Große Kohortenstudie (n=14.680 Follow-up) zu Wirksamkeit und Sicherheit von strukturierter Apothekerverschreibung für unkomplizierte Harnwegsinfekte in Australien.</w:t>
      </w:r>
    </w:p>
    <w:p>
      <w:r>
        <w:rPr>
          <w:b/>
        </w:rPr>
        <w:t xml:space="preserve">Ergebnis: </w:t>
      </w:r>
      <w:r>
        <w:t>Symptomauflösung nach 7 Tagen bei 79,4 % der Patienten, weitere 17,9 % mit Teilbesserung. Antibiotika in 92,6 % verschrieben, Überweisungen in 6,9 %, Nebenwirkungen in 5,0 % (meist milde gastrointestinale Symptome).</w:t>
      </w:r>
    </w:p>
    <w:p>
      <w:r>
        <w:rPr>
          <w:b/>
          <w:sz w:val="19"/>
        </w:rPr>
        <w:t xml:space="preserve">Übertragbarkeit: </w:t>
      </w:r>
      <w:r>
        <w:rPr>
          <w:sz w:val="19"/>
        </w:rPr>
        <w:t>Australien – vergleichbar zu Apotheker-Extended-Services in Sozialversicherungssystemen</w:t>
      </w:r>
    </w:p>
    <w:p>
      <w:r>
        <w:rPr>
          <w:color w:val="5A7D3A"/>
          <w:sz w:val="18"/>
        </w:rPr>
        <w:t>https://pubmed.ncbi.nlm.nih.gov/42776432/</w:t>
      </w:r>
    </w:p>
    <w:p>
      <w:pPr>
        <w:pStyle w:val="Heading2"/>
      </w:pPr>
      <w:r>
        <w:t>Augenärztliche Versorgung in deutschen Seniorenheimen: TOVIS-Studie</w:t>
      </w:r>
    </w:p>
    <w:p>
      <w:r>
        <w:rPr>
          <w:i/>
          <w:color w:val="666666"/>
          <w:sz w:val="18"/>
        </w:rPr>
        <w:t>Ach T et al.  ·  Z Gerontol Geriatr  ·  23.09.2026  ·  PMID 42776232</w:t>
      </w:r>
    </w:p>
    <w:p>
      <w:r>
        <w:t>Narrative Übersicht mit Fokus auf Versorgungslücken bei Augenerkrankungen in deutschen Pflegeheimen und Teleophthalmologie-Modell TOVIS (n=109 Bewohner).</w:t>
      </w:r>
    </w:p>
    <w:p>
      <w:r>
        <w:rPr>
          <w:b/>
        </w:rPr>
        <w:t xml:space="preserve">Ergebnis: </w:t>
      </w:r>
      <w:r>
        <w:t>OVIS-Studie: 61 % der Bewohner hatten behandlungsbedürftige ophthalmologische Befunde (Katarakt 53 %, AMD 39 %); letzte Augenarztvisite durchschnittlich 4 Jahre zurück. TOVIS-Pilotstudie: 48,5 % visusrelevante Katarakt, 34,1 % AMD, 60,6 % unzureichend angepasste Brille; nur 26,9 % der empfohlenen Nachuntersuchungen tatsächlich wahrgenommen.</w:t>
      </w:r>
    </w:p>
    <w:p>
      <w:r>
        <w:rPr>
          <w:b/>
          <w:sz w:val="19"/>
        </w:rPr>
        <w:t xml:space="preserve">Übertragbarkeit: </w:t>
      </w:r>
      <w:r>
        <w:rPr>
          <w:sz w:val="19"/>
        </w:rPr>
        <w:t>Deutsche Daten, Seniorenheime – direkt auf deutsches System übertragbar</w:t>
      </w:r>
    </w:p>
    <w:p>
      <w:r>
        <w:rPr>
          <w:color w:val="5A7D3A"/>
          <w:sz w:val="18"/>
        </w:rPr>
        <w:t>https://pubmed.ncbi.nlm.nih.gov/42776232/</w:t>
      </w:r>
    </w:p>
    <w:p>
      <w:pPr>
        <w:pStyle w:val="Heading2"/>
      </w:pPr>
      <w:r>
        <w:t>Soziale Determinanten und Gesundheitsungleichheit: Systemdynamische Perspektive</w:t>
      </w:r>
    </w:p>
    <w:p>
      <w:r>
        <w:rPr>
          <w:i/>
          <w:color w:val="666666"/>
          <w:sz w:val="18"/>
        </w:rPr>
        <w:t>Sturmberg JP et al.  ·  Front Public Health  ·  08.09.2026  ·  PMID 42774359</w:t>
      </w:r>
    </w:p>
    <w:p>
      <w:r>
        <w:t>Konzeptionelle Übersichtsarbeit zu Mechanismen, wie vernetzte soziale Determinanten Gesundheitsungleichheit durch biologisches Embedding und Rückkopplungsschleifen über die Lebensspanne verfestigen.</w:t>
      </w:r>
    </w:p>
    <w:p>
      <w:r>
        <w:rPr>
          <w:b/>
        </w:rPr>
        <w:t xml:space="preserve">Ergebnis: </w:t>
      </w:r>
      <w:r>
        <w:t>Kernaussage: Frühe biologische Prägung (Stressregulation, Entzündung, Epigenetik) und systemische Rückkopplungsschleifen stabilisieren Nachteil über Generationen; Nichtlinearität erklärt begrenzte Effekte isolierter Interventionen. Koordinierte, ortsgestützte Strategien und relationale Kontinuität in Primärversorgung zeigen Potenzial.</w:t>
      </w:r>
    </w:p>
    <w:p>
      <w:r>
        <w:rPr>
          <w:b/>
          <w:sz w:val="19"/>
        </w:rPr>
        <w:t xml:space="preserve">Übertragbarkeit: </w:t>
      </w:r>
      <w:r>
        <w:rPr>
          <w:sz w:val="19"/>
        </w:rPr>
        <w:t>Konzeptionelle Analyse – systemunabhängig, aber besonders relevant für Versorgungsstruktur</w:t>
      </w:r>
    </w:p>
    <w:p>
      <w:r>
        <w:rPr>
          <w:color w:val="5A7D3A"/>
          <w:sz w:val="18"/>
        </w:rPr>
        <w:t>https://pubmed.ncbi.nlm.nih.gov/42774359/</w:t>
      </w:r>
    </w:p>
    <w:p>
      <w:pPr>
        <w:pStyle w:val="Heading2"/>
      </w:pPr>
      <w:r>
        <w:t>Künstliche Intelligenz in der Kosten-Effektivitäts-Bewertung von Schmerztherapie</w:t>
      </w:r>
    </w:p>
    <w:p>
      <w:r>
        <w:rPr>
          <w:i/>
          <w:color w:val="666666"/>
          <w:sz w:val="18"/>
        </w:rPr>
        <w:t>Zmudzki F et al.  ·  Expert Rev Pharmacoecon Outcomes Res  ·  22.09.2026  ·  PMID 42773780</w:t>
      </w:r>
    </w:p>
    <w:p>
      <w:r>
        <w:t>Übersichtsarbeit zu Integration von KI-Methoden in ökonomische Evaluationen zur Präzisionsmedizin bei chronischem Schmerz.</w:t>
      </w:r>
    </w:p>
    <w:p>
      <w:r>
        <w:rPr>
          <w:b/>
        </w:rPr>
        <w:t xml:space="preserve">Ergebnis: </w:t>
      </w:r>
      <w:r>
        <w:t>Diskussion, wie maschinelles Lernen und automatisierte Datenverarbeitung ökonomische Rahmen für personalisierte Schmerzmanagement-Strategien verbessern können; konkrete Ergebnisse im Abstract nicht quantifiziert.</w:t>
      </w:r>
    </w:p>
    <w:p>
      <w:r>
        <w:rPr>
          <w:b/>
          <w:sz w:val="19"/>
        </w:rPr>
        <w:t xml:space="preserve">Übertragbarkeit: </w:t>
      </w:r>
      <w:r>
        <w:rPr>
          <w:sz w:val="19"/>
        </w:rPr>
        <w:t>Konzeptionelle Methodologie – systemunabhängig auf KI-Anwendungen fokussiert</w:t>
      </w:r>
    </w:p>
    <w:p>
      <w:r>
        <w:rPr>
          <w:color w:val="5A7D3A"/>
          <w:sz w:val="18"/>
        </w:rPr>
        <w:t>https://pubmed.ncbi.nlm.nih.gov/42773780/</w:t>
      </w:r>
    </w:p>
    <w:p>
      <w:pPr>
        <w:pStyle w:val="Heading1"/>
      </w:pPr>
      <w:r>
        <w:t>Aufgenommen am 23.09.2026</w:t>
      </w:r>
    </w:p>
    <w:p>
      <w:pPr>
        <w:pStyle w:val="Heading2"/>
      </w:pPr>
      <w:r>
        <w:t>Einkommensvolatilität und Mortalität bei Depression</w:t>
      </w:r>
    </w:p>
    <w:p>
      <w:r>
        <w:rPr>
          <w:i/>
          <w:color w:val="666666"/>
          <w:sz w:val="18"/>
        </w:rPr>
        <w:t>Cho H et al.  ·  J Korean Med Sci  ·  21.09.2026  ·  PMID 42773077</w:t>
      </w:r>
    </w:p>
    <w:p>
      <w:r>
        <w:t>Koreanische Kohortenstudie an 735.922 Personen mit Depression, die Zusammenhang zwischen Einkommensvolatilität und all-cause-Mortalität sowie Hospitalisierungen untersuchte.</w:t>
      </w:r>
    </w:p>
    <w:p>
      <w:r>
        <w:rPr>
          <w:b/>
        </w:rPr>
        <w:t xml:space="preserve">Ergebnis: </w:t>
      </w:r>
      <w:r>
        <w:t>Höhere Einkommensvolatilität assoziiert mit erhöhtem Mortalitätsrisiko (HR 1,18; 95%-KI 1,16–1,19) und Hospitalisierungen (IRR 1,07; 1,06–1,08). Bei Männern stärker ausgeprägt (HR 1,26 vs. 1,12 bei Frauen). Besonders hohe Risiken für Bluterkrankungen (IRR 1,47), endokrine Erkrankungen (1,40) und psychische Störungen (1,26).</w:t>
      </w:r>
    </w:p>
    <w:p>
      <w:r>
        <w:rPr>
          <w:b/>
          <w:sz w:val="19"/>
        </w:rPr>
        <w:t xml:space="preserve">Übertragbarkeit: </w:t>
      </w:r>
      <w:r>
        <w:rPr>
          <w:sz w:val="19"/>
        </w:rPr>
        <w:t>Südkorea – begrenzte Übertragbarkeit auf deutsches System mit anderer Sozialstruktur</w:t>
      </w:r>
    </w:p>
    <w:p>
      <w:r>
        <w:rPr>
          <w:color w:val="5A7D3A"/>
          <w:sz w:val="18"/>
        </w:rPr>
        <w:t>https://pubmed.ncbi.nlm.nih.gov/42773077/</w:t>
      </w:r>
    </w:p>
    <w:p>
      <w:pPr>
        <w:pStyle w:val="Heading2"/>
      </w:pPr>
      <w:r>
        <w:t>Ultra-verarbeitete Lebensmittel und chronische Erkrankungen</w:t>
      </w:r>
    </w:p>
    <w:p>
      <w:r>
        <w:rPr>
          <w:i/>
          <w:color w:val="666666"/>
          <w:sz w:val="18"/>
        </w:rPr>
        <w:t>Liu X et al.  ·  Fam Med Community Health  ·  22.09.2026  ·  PMID 42773062</w:t>
      </w:r>
    </w:p>
    <w:p>
      <w:r>
        <w:t>Metaanalyse von 51 prospektiven Kohortenstudien mit 8,8 Mio. Teilnehmern zu Risiken ultra-verarbeiteter Lebensmittel.</w:t>
      </w:r>
    </w:p>
    <w:p>
      <w:r>
        <w:rPr>
          <w:b/>
        </w:rPr>
        <w:t xml:space="preserve">Ergebnis: </w:t>
      </w:r>
      <w:r>
        <w:t>Ultra-verarbeitete Lebensmittel assoziiert mit kardiovaskulären Ereignissen (HR 1,24), Krebs (HR 1,12), Adipositas (HR 1,23), Diabetes (HR 1,24), Depression/Angststörung (HR 1,27), Verdauungserkrankungen (HR 1,31) und all-cause-Mortalität (HR 1,18). Pro 100 g/Tag zusätzlich: kardiovaskuläre Ereignisse HR 1,14.</w:t>
      </w:r>
    </w:p>
    <w:p>
      <w:r>
        <w:rPr>
          <w:b/>
          <w:sz w:val="19"/>
        </w:rPr>
        <w:t xml:space="preserve">Übertragbarkeit: </w:t>
      </w:r>
      <w:r>
        <w:rPr>
          <w:sz w:val="19"/>
        </w:rPr>
        <w:t>Internationale Daten – Fragestellung systemunabhängig, für Public-Health-Empfehlungen universell übertragbar</w:t>
      </w:r>
    </w:p>
    <w:p>
      <w:r>
        <w:rPr>
          <w:color w:val="5A7D3A"/>
          <w:sz w:val="18"/>
        </w:rPr>
        <w:t>https://pubmed.ncbi.nlm.nih.gov/42773062/</w:t>
      </w:r>
    </w:p>
    <w:p>
      <w:pPr>
        <w:pStyle w:val="Heading2"/>
      </w:pPr>
      <w:r>
        <w:t>Kardiovaskuläre Autonome Neuropathie und Diabeteskomplikationen</w:t>
      </w:r>
    </w:p>
    <w:p>
      <w:r>
        <w:rPr>
          <w:i/>
          <w:color w:val="666666"/>
          <w:sz w:val="18"/>
        </w:rPr>
        <w:t>Ignacy P et al.  ·  Clin Ther  ·  22.09.2026  ·  PMID 42773037</w:t>
      </w:r>
    </w:p>
    <w:p>
      <w:r>
        <w:t>Polnische Querschnittsstudie mit 728 Diabetespatienten zur Assoziation zwischen mikrovaskulären/makrovaskulären Komplikationen und kardiovaskulärer autonomer Neuropathie.</w:t>
      </w:r>
    </w:p>
    <w:p>
      <w:r>
        <w:rPr>
          <w:b/>
        </w:rPr>
        <w:t xml:space="preserve">Ergebnis: </w:t>
      </w:r>
      <w:r>
        <w:t>Kardiovaskuläre autonome Neuropathie bei 48,2% (davon definit 15,8%). Unabhängig assoziiert mit diabetischer Retinopathie (OR 2,26; 95%-KI 1,25–4,19; p=0,008); borderline mit CKD (OR 1,57; p=0,049). Keine signifikante Assoziation mit ASCVD.</w:t>
      </w:r>
    </w:p>
    <w:p>
      <w:r>
        <w:rPr>
          <w:b/>
          <w:sz w:val="19"/>
        </w:rPr>
        <w:t xml:space="preserve">Übertragbarkeit: </w:t>
      </w:r>
      <w:r>
        <w:rPr>
          <w:sz w:val="19"/>
        </w:rPr>
        <w:t>Polen – ähnliches Sozialversicherungssystem, gute Übertragbarkeit auf Deutschland</w:t>
      </w:r>
    </w:p>
    <w:p>
      <w:r>
        <w:rPr>
          <w:color w:val="5A7D3A"/>
          <w:sz w:val="18"/>
        </w:rPr>
        <w:t>https://pubmed.ncbi.nlm.nih.gov/42773037/</w:t>
      </w:r>
    </w:p>
    <w:p>
      <w:pPr>
        <w:pStyle w:val="Heading2"/>
      </w:pPr>
      <w:r>
        <w:t>Persona-Methode in partizipativer Versorgungsforschung</w:t>
      </w:r>
    </w:p>
    <w:p>
      <w:r>
        <w:rPr>
          <w:i/>
          <w:color w:val="666666"/>
          <w:sz w:val="18"/>
        </w:rPr>
        <w:t>Dittmer K et al.  ·  Z Evid Fortbild Qual Gesundhwes  ·  22.09.2026  ·  PMID 42773021</w:t>
      </w:r>
    </w:p>
    <w:p>
      <w:r>
        <w:t>Deutschsprachiger Methodenbericht zur Anwendung der Persona-Methode bei partizipativer Versorgungsforschung mit Fokusgruppen und Expert*innen.</w:t>
      </w:r>
    </w:p>
    <w:p>
      <w:r>
        <w:rPr>
          <w:b/>
        </w:rPr>
        <w:t xml:space="preserve">Ergebnis: </w:t>
      </w:r>
      <w:r>
        <w:t>Personas integrieren Erfahrungswissen mehrerer Experten anonym, ohne persönliche Daten preiszugeben; ideal für vulnerable Gruppen. Risiken: Stereotypisierung; Mitigation durch reflektive Entwicklungsprozesse. Reflexionsfragen zur Bias-Reduktion werden präsentiert.</w:t>
      </w:r>
    </w:p>
    <w:p>
      <w:r>
        <w:rPr>
          <w:b/>
          <w:sz w:val="19"/>
        </w:rPr>
        <w:t xml:space="preserve">Übertragbarkeit: </w:t>
      </w:r>
      <w:r>
        <w:rPr>
          <w:sz w:val="19"/>
        </w:rPr>
        <w:t>Deutsches Projekt – direkt übertragbar auf deutsche Versorgungsforschung</w:t>
      </w:r>
    </w:p>
    <w:p>
      <w:r>
        <w:rPr>
          <w:color w:val="5A7D3A"/>
          <w:sz w:val="18"/>
        </w:rPr>
        <w:t>https://pubmed.ncbi.nlm.nih.gov/42773021/</w:t>
      </w:r>
    </w:p>
    <w:p>
      <w:pPr>
        <w:pStyle w:val="Heading2"/>
      </w:pPr>
      <w:r>
        <w:t>Mobile Screening-Einheit für Barretts Ösophagus in England</w:t>
      </w:r>
    </w:p>
    <w:p>
      <w:r>
        <w:rPr>
          <w:i/>
          <w:color w:val="666666"/>
          <w:sz w:val="18"/>
        </w:rPr>
        <w:t>Landy R et al.  ·  BMJ Open Gastroenterol  ·  22.09.2026  ·  PMID 42772946</w:t>
      </w:r>
    </w:p>
    <w:p>
      <w:r>
        <w:t>Implementierungsstudie in England mit mobiler Einheit zur Kapselschwamm-Testung bei Refluxpatienten; Vergleich Hausarzt-Rekrutierung vs. Selbstmeldung.</w:t>
      </w:r>
    </w:p>
    <w:p>
      <w:r>
        <w:rPr>
          <w:b/>
        </w:rPr>
        <w:t xml:space="preserve">Ergebnis: </w:t>
      </w:r>
      <w:r>
        <w:t>Bei GP-Einladung: 50% Antwortquote, 59,6% interessiert, 66,3% elegibel, 532 teilgenommen; 15% aller Eingeladenen erfolgreich getestet. Bei Selbstmeldung: 39,6% erfolgreich getestet. Barretts-Prävalenz 4,2% (GP-invitiert) vs. 3,4% (Selbstmeldung). Akzeptanz &gt;99%.</w:t>
      </w:r>
    </w:p>
    <w:p>
      <w:r>
        <w:rPr>
          <w:b/>
          <w:sz w:val="19"/>
        </w:rPr>
        <w:t xml:space="preserve">Übertragbarkeit: </w:t>
      </w:r>
      <w:r>
        <w:rPr>
          <w:sz w:val="19"/>
        </w:rPr>
        <w:t>Großbritannien – ähnliche Primärversorgungsstruktur, begrenzte Übertragbarkeit (steuerfinanziert)</w:t>
      </w:r>
    </w:p>
    <w:p>
      <w:r>
        <w:rPr>
          <w:color w:val="5A7D3A"/>
          <w:sz w:val="18"/>
        </w:rPr>
        <w:t>https://pubmed.ncbi.nlm.nih.gov/42772946/</w:t>
      </w:r>
    </w:p>
    <w:p>
      <w:pPr>
        <w:pStyle w:val="Heading2"/>
      </w:pPr>
      <w:r>
        <w:t>Forschungsprioritäten in Hebammentätigkeit und Geburtshilfe</w:t>
      </w:r>
    </w:p>
    <w:p>
      <w:r>
        <w:rPr>
          <w:i/>
          <w:color w:val="666666"/>
          <w:sz w:val="18"/>
        </w:rPr>
        <w:t>Field J et al.  ·  BMJ Open  ·  21.09.2026  ·  PMID 42767736</w:t>
      </w:r>
    </w:p>
    <w:p>
      <w:r>
        <w:t>UK James-Lind-Alliance Priority-Setting Partnership mit 977 Befragten (Hebammen, Eltern, schwangere Personen) zur Identifikation von Forschungslücken in Geburtshilfe.</w:t>
      </w:r>
    </w:p>
    <w:p>
      <w:r>
        <w:rPr>
          <w:b/>
        </w:rPr>
        <w:t xml:space="preserve">Ergebnis: </w:t>
      </w:r>
      <w:r>
        <w:t>68 Priority-Topics identifiziert, nach evidenzbasierter Prüfung auf 67 reduziert, dann von 548 Befragten gereiht. 10 Top-Prioritäten durch Konsens vereinbart; umfassen klinische Versorgung, Personalwohlbefinden und Ausbildung.</w:t>
      </w:r>
    </w:p>
    <w:p>
      <w:r>
        <w:rPr>
          <w:b/>
          <w:sz w:val="19"/>
        </w:rPr>
        <w:t xml:space="preserve">Übertragbarkeit: </w:t>
      </w:r>
      <w:r>
        <w:rPr>
          <w:sz w:val="19"/>
        </w:rPr>
        <w:t>Großbritannien – methodisch stark, bedingt übertragbar auf deutsches Hebammensystem</w:t>
      </w:r>
    </w:p>
    <w:p>
      <w:r>
        <w:rPr>
          <w:color w:val="5A7D3A"/>
          <w:sz w:val="18"/>
        </w:rPr>
        <w:t>https://pubmed.ncbi.nlm.nih.gov/42767736/</w:t>
      </w:r>
    </w:p>
    <w:p>
      <w:pPr>
        <w:pStyle w:val="Heading2"/>
      </w:pPr>
      <w:r>
        <w:t>FeNO und Blut-Eosinophile zur Asthmadiagnose bei Kindern und Erwachsenen</w:t>
      </w:r>
    </w:p>
    <w:p>
      <w:r>
        <w:rPr>
          <w:i/>
          <w:color w:val="666666"/>
          <w:sz w:val="18"/>
        </w:rPr>
        <w:t>Roy MA et al.  ·  Lancet Respir Med  ·  15.09.2026  ·  PMID 42743935</w:t>
      </w:r>
    </w:p>
    <w:p>
      <w:r>
        <w:t>Metaanalyse von 30 diagnostischen Studien (22 bei Erwachsenen, 9 bei Kindern) zur Genauigkeit von FeNO und Blut-Eosinophilen gegenüber Bronchialprovokationstests.</w:t>
      </w:r>
    </w:p>
    <w:p>
      <w:r>
        <w:rPr>
          <w:b/>
        </w:rPr>
        <w:t xml:space="preserve">Ergebnis: </w:t>
      </w:r>
      <w:r>
        <w:t>FeNO diagnostische Genauigkeit: Erwachsene AUC 0,80, Kinder AUC 0,75. Bei Erwachsenen FeNO≥65 ppb: positive Vorhersagekraft 80%, &lt;20 ppb: negative VK 93%. Blut-Eosinophile schwache Leistung (AUC 0,65). Prospektive Validierung in DIVE-Kohorte (n=123) bestätigte Ergebnisse (FeNO AUC 0,77).</w:t>
      </w:r>
    </w:p>
    <w:p>
      <w:r>
        <w:rPr>
          <w:b/>
          <w:sz w:val="19"/>
        </w:rPr>
        <w:t xml:space="preserve">Übertragbarkeit: </w:t>
      </w:r>
      <w:r>
        <w:rPr>
          <w:sz w:val="19"/>
        </w:rPr>
        <w:t>Internationale Daten mit prospektiver Primärversorgungsvalidierung – Diagnostik systemunabhängig</w:t>
      </w:r>
    </w:p>
    <w:p>
      <w:r>
        <w:rPr>
          <w:color w:val="5A7D3A"/>
          <w:sz w:val="18"/>
        </w:rPr>
        <w:t>https://pubmed.ncbi.nlm.nih.gov/42743935/</w:t>
      </w:r>
    </w:p>
    <w:p>
      <w:pPr>
        <w:pStyle w:val="Heading1"/>
      </w:pPr>
      <w:r>
        <w:t>Aufgenommen am 22.09.2026</w:t>
      </w:r>
    </w:p>
    <w:p>
      <w:pPr>
        <w:pStyle w:val="Heading2"/>
      </w:pPr>
      <w:r>
        <w:t>Teletherapy-Einsatz in der Physiotherapie: deutsche Versorgungsforschung zu Barrieren und Förderfaktoren</w:t>
      </w:r>
    </w:p>
    <w:p>
      <w:r>
        <w:rPr>
          <w:i/>
          <w:color w:val="666666"/>
          <w:sz w:val="18"/>
        </w:rPr>
        <w:t>Michels T et al.  ·  JMIR Form Res  ·  21.09.2026  ·  PMID 42766842</w:t>
      </w:r>
    </w:p>
    <w:p>
      <w:r>
        <w:t>Querschnittsstudie von 458 Physiotherapeuten in Deutschland, die Barrieren und Förderfaktoren für die Implementierung von Teletherapie in der Praxis erfasste.</w:t>
      </w:r>
    </w:p>
    <w:p>
      <w:r>
        <w:rPr>
          <w:b/>
        </w:rPr>
        <w:t xml:space="preserve">Ergebnis: </w:t>
      </w:r>
      <w:r>
        <w:t>Nur 6,6 % der Teilnehmer hatten Teletherapie-Erfahrung; 87,3 % hielten Teletherapie für sinnvoll, aber nur 15,5 % fühlten sich ausreichend informiert. Häufigste Barrieren: Integration in Praxisroutinen, unzureichende Informationen zu rechtlichen Rahmenbedingungen und digitale Infrastruktur (Nennungen nicht weiter spezifiziert). Die Ergebnisse zeigen hohe Akzeptanz bei niedriger Nutzung und Informationsdefiziten.</w:t>
      </w:r>
    </w:p>
    <w:p>
      <w:r>
        <w:rPr>
          <w:b/>
          <w:sz w:val="19"/>
        </w:rPr>
        <w:t xml:space="preserve">Übertragbarkeit: </w:t>
      </w:r>
      <w:r>
        <w:rPr>
          <w:sz w:val="19"/>
        </w:rPr>
        <w:t>Deutsche Routinedaten aus der Physiotherapie; direkt auf das System übertragbar.</w:t>
      </w:r>
    </w:p>
    <w:p>
      <w:r>
        <w:rPr>
          <w:color w:val="5A7D3A"/>
          <w:sz w:val="18"/>
        </w:rPr>
        <w:t>https://pubmed.ncbi.nlm.nih.gov/42766842/</w:t>
      </w:r>
    </w:p>
    <w:p>
      <w:pPr>
        <w:pStyle w:val="Heading2"/>
      </w:pPr>
      <w:r>
        <w:t>Implementierung der elektronischen Patientenakte (ePA) in deutschen Arztpraxen: qualitative Frühevaluierung</w:t>
      </w:r>
    </w:p>
    <w:p>
      <w:r>
        <w:rPr>
          <w:i/>
          <w:color w:val="666666"/>
          <w:sz w:val="18"/>
        </w:rPr>
        <w:t>May S et al.  ·  J Med Internet Res  ·  21.09.2026  ·  PMID 42766713</w:t>
      </w:r>
    </w:p>
    <w:p>
      <w:r>
        <w:t>Qualitative Studie mit 49 semistrukturierten Interviews zu Implementierungsbarrieren und -förderfaktoren der ePA in ambulanten Praxen nach dem Rollout im Januar 2025.</w:t>
      </w:r>
    </w:p>
    <w:p>
      <w:r>
        <w:rPr>
          <w:b/>
        </w:rPr>
        <w:t xml:space="preserve">Ergebnis: </w:t>
      </w:r>
      <w:r>
        <w:t>Erleichterer: Führungsengagement, interne Kommunikation und Lernklima. Barrieren: technische Instabilität, heterogene Funktionalität von Praxismanagementsystemen, begrenzte Sektorübergreifung, unzureichendes Patientenbewusstsein. Implementierung stark abhängig von Organisationskapazität und Infrastrukturstabilität, nicht von professionellem Widerstand.</w:t>
      </w:r>
    </w:p>
    <w:p>
      <w:r>
        <w:rPr>
          <w:b/>
          <w:sz w:val="19"/>
        </w:rPr>
        <w:t xml:space="preserve">Übertragbarkeit: </w:t>
      </w:r>
      <w:r>
        <w:rPr>
          <w:sz w:val="19"/>
        </w:rPr>
        <w:t>Deutsche Routinedaten zur ePA-Implementierung; hochgradig systemrelevant für deutsches Versorgungssystem.</w:t>
      </w:r>
    </w:p>
    <w:p>
      <w:r>
        <w:rPr>
          <w:color w:val="5A7D3A"/>
          <w:sz w:val="18"/>
        </w:rPr>
        <w:t>https://pubmed.ncbi.nlm.nih.gov/42766713/</w:t>
      </w:r>
    </w:p>
    <w:p>
      <w:pPr>
        <w:pStyle w:val="Heading2"/>
      </w:pPr>
      <w:r>
        <w:t>Framework für klinische Bewertung von Large Language Models in der Patientenedukation</w:t>
      </w:r>
    </w:p>
    <w:p>
      <w:r>
        <w:rPr>
          <w:i/>
          <w:color w:val="666666"/>
          <w:sz w:val="18"/>
        </w:rPr>
        <w:t>Austria D et al.  ·  JMIR Form Res  ·  21.09.2026  ·  PMID 42766478</w:t>
      </w:r>
    </w:p>
    <w:p>
      <w:r>
        <w:t>Positions- und konzeptionelle Arbeit, die ein kliniker-zentriertes Evaluierungsframework (TAM-MCRS) für LLM-generierte Patientenedukation integriert Technology Acceptance Model und Medical Condition Regard Scale.</w:t>
      </w:r>
    </w:p>
    <w:p>
      <w:r>
        <w:rPr>
          <w:b/>
        </w:rPr>
        <w:t xml:space="preserve">Ergebnis: </w:t>
      </w:r>
      <w:r>
        <w:t>Das Framework kombiniert Usefulness/Completeness mit Ease of Use/Appropriateness und erfasst dabei Evaluator-Attitudinalvarianz durch MCRS als Kovariate. Ziel ist objektive, klinisch realistische und disparity-responsive Evidenz zur Qualität von LLM-generierten Unterlagen für Patientenbildung.</w:t>
      </w:r>
    </w:p>
    <w:p>
      <w:r>
        <w:rPr>
          <w:b/>
          <w:sz w:val="19"/>
        </w:rPr>
        <w:t xml:space="preserve">Übertragbarkeit: </w:t>
      </w:r>
      <w:r>
        <w:rPr>
          <w:sz w:val="19"/>
        </w:rPr>
        <w:t>Theoretischer Ansatz systemunabhängig, aber Methodenentwicklung US-fokussiert; nur bedingt übertragbar.</w:t>
      </w:r>
    </w:p>
    <w:p>
      <w:r>
        <w:rPr>
          <w:color w:val="5A7D3A"/>
          <w:sz w:val="18"/>
        </w:rPr>
        <w:t>https://pubmed.ncbi.nlm.nih.gov/42766478/</w:t>
      </w:r>
    </w:p>
    <w:p>
      <w:pPr>
        <w:pStyle w:val="Heading2"/>
      </w:pPr>
      <w:r>
        <w:t>Kontextfaktoren und Lernbedarfe bei Leitlinienentwicklung: qualitative Multiplenfall-Studie</w:t>
      </w:r>
    </w:p>
    <w:p>
      <w:r>
        <w:rPr>
          <w:i/>
          <w:color w:val="666666"/>
          <w:sz w:val="18"/>
        </w:rPr>
        <w:t>de Mortier CA et al.  ·  Med Teach  ·  21.09.2026  ·  PMID 42766408</w:t>
      </w:r>
    </w:p>
    <w:p>
      <w:r>
        <w:t>Qualitative Längsschnittstudie mit 18 Panelmitgliedern und 10 Projektleitern in 5 niederländischen Leitlinienprojekten; Analyse, welche kontextuellen Faktoren die Lernbedarfe in der Guideline-Entwicklung prägen.</w:t>
      </w:r>
    </w:p>
    <w:p>
      <w:r>
        <w:rPr>
          <w:b/>
        </w:rPr>
        <w:t xml:space="preserve">Ergebnis: </w:t>
      </w:r>
      <w:r>
        <w:t>Drei interaktive Themen beeinflussen Lernbedarfe: Leitlinienthema (Zusammensetzung, Methodik, Evidenzunsicherheit), Partizipationsdynamiken (Hierarchie, Sicherheit), Aufgabenverteilung. Methodische Kompetenz allein genügt nicht; Lernbedarfe entstehen aus Kombination aller drei Faktoren. Empfehlung: flexible, kontextsensitive und rollenpezifische Bildungsinitiativen.</w:t>
      </w:r>
    </w:p>
    <w:p>
      <w:r>
        <w:rPr>
          <w:b/>
          <w:sz w:val="19"/>
        </w:rPr>
        <w:t xml:space="preserve">Übertragbarkeit: </w:t>
      </w:r>
      <w:r>
        <w:rPr>
          <w:sz w:val="19"/>
        </w:rPr>
        <w:t>Niederlande, Versorgungsforschungs-Setting; gut übertragbar auf deutsches System zur Leitlinienentwicklung.</w:t>
      </w:r>
    </w:p>
    <w:p>
      <w:r>
        <w:rPr>
          <w:color w:val="5A7D3A"/>
          <w:sz w:val="18"/>
        </w:rPr>
        <w:t>https://pubmed.ncbi.nlm.nih.gov/42766408/</w:t>
      </w:r>
    </w:p>
    <w:p>
      <w:pPr>
        <w:pStyle w:val="Heading2"/>
      </w:pPr>
      <w:r>
        <w:t>Länderverglichende Forschungsinfrastruktur für Diabetes-Versorgung im ländlichen Raum</w:t>
      </w:r>
    </w:p>
    <w:p>
      <w:r>
        <w:rPr>
          <w:i/>
          <w:color w:val="666666"/>
          <w:sz w:val="18"/>
        </w:rPr>
        <w:t>Murfet G et al.  ·  Glob Health Action  ·  21.09.2026  ·  PMID 42765135</w:t>
      </w:r>
    </w:p>
    <w:p>
      <w:r>
        <w:t>Konzeptuelle Positionspapier, das ein neues International Consortium for Rural Diabetes Research (ICRDR) vorstellt, um fragmentierte Diabetes-Forschung in ländlichen Regionen zu koordinieren.</w:t>
      </w:r>
    </w:p>
    <w:p>
      <w:r>
        <w:rPr>
          <w:b/>
        </w:rPr>
        <w:t xml:space="preserve">Ergebnis: </w:t>
      </w:r>
      <w:r>
        <w:t>Kernaussage: Ländliche Diabetes-Versorgungsforschung bleibt isoliert und stützt sich auf urbane Evidenz; koordinierte internationale Infrastruktur mit gemeinsamen Prioritäten, Methoden und Outcome-Maßstäben ist erforderlich. Das ICRDR adressiert Zugangsbarrien (Fachkräftemangel, Isolation, fragmentierte Services) durch Multicentre-Studien und Kapazitätsaufbau.</w:t>
      </w:r>
    </w:p>
    <w:p>
      <w:r>
        <w:rPr>
          <w:b/>
          <w:sz w:val="19"/>
        </w:rPr>
        <w:t xml:space="preserve">Übertragbarkeit: </w:t>
      </w:r>
      <w:r>
        <w:rPr>
          <w:sz w:val="19"/>
        </w:rPr>
        <w:t>Konzeptionell und methodisch international orientiert; hilft deutschem System, Evidenzlücken in ländlichen Regionen zu schließen.</w:t>
      </w:r>
    </w:p>
    <w:p>
      <w:r>
        <w:rPr>
          <w:color w:val="5A7D3A"/>
          <w:sz w:val="18"/>
        </w:rPr>
        <w:t>https://pubmed.ncbi.nlm.nih.gov/42765135/</w:t>
      </w:r>
    </w:p>
    <w:p>
      <w:pPr>
        <w:pStyle w:val="Heading2"/>
      </w:pPr>
      <w:r>
        <w:t>Kernoutcome-Set für Shared-Decision-Making-Interventionen: Entwicklungsprotokoll</w:t>
      </w:r>
    </w:p>
    <w:p>
      <w:r>
        <w:rPr>
          <w:i/>
          <w:color w:val="666666"/>
          <w:sz w:val="18"/>
        </w:rPr>
        <w:t>Hoffmann C et al.  ·  BMJ Open  ·  15.09.2026  ·  PMID 42744360</w:t>
      </w:r>
    </w:p>
    <w:p>
      <w:r>
        <w:t>Studienprotokoll zur Entwicklung eines Core Outcome Set (COS) für die Evaluation von Shared-Decision-Making-Interventionen mittels Delphi-Survey und Konsensuskonferenz.</w:t>
      </w:r>
    </w:p>
    <w:p>
      <w:r>
        <w:rPr>
          <w:b/>
        </w:rPr>
        <w:t xml:space="preserve">Ergebnis: </w:t>
      </w:r>
      <w:r>
        <w:t>Geplante Struktur: Schritt 1: Erstellung einer langen Kandidaten-Outcome-Liste durch Literaturanalyse und qualitative Interviews (mind. 20 Stakeholder). Schritt 2: Delphi-Survey mit mind. 150 internationalen Teilnehmern (Profis, Patienten) in zwei Runden zur Priorisierung. Schritt 3: Konsensus per modified nominal group technique. Laufzeit Juni 2025 bis September 2026; Ergebnisse erwartungsgemäß für standardisierte Evaluationspraxis verfügbar.</w:t>
      </w:r>
    </w:p>
    <w:p>
      <w:r>
        <w:rPr>
          <w:b/>
          <w:sz w:val="19"/>
        </w:rPr>
        <w:t xml:space="preserve">Übertragbarkeit: </w:t>
      </w:r>
      <w:r>
        <w:rPr>
          <w:sz w:val="19"/>
        </w:rPr>
        <w:t>Britische Studienkoordination; Shared Decision Making ist international etabliertes Konzept; methodisch auf deutsche SDM-Forschung anwendbar.</w:t>
      </w:r>
    </w:p>
    <w:p>
      <w:r>
        <w:rPr>
          <w:color w:val="5A7D3A"/>
          <w:sz w:val="18"/>
        </w:rPr>
        <w:t>https://pubmed.ncbi.nlm.nih.gov/42744360/</w:t>
      </w:r>
    </w:p>
    <w:p>
      <w:pPr>
        <w:pStyle w:val="Heading1"/>
      </w:pPr>
      <w:r>
        <w:t>Aufgenommen am 21.09.2026</w:t>
      </w:r>
    </w:p>
    <w:p>
      <w:pPr>
        <w:pStyle w:val="Heading2"/>
      </w:pPr>
      <w:r>
        <w:t>Geburtshilfe-Standardisierung: Ballonkatheter und Wehenmuster nach Einleitung</w:t>
      </w:r>
    </w:p>
    <w:p>
      <w:r>
        <w:rPr>
          <w:i/>
          <w:color w:val="666666"/>
          <w:sz w:val="18"/>
        </w:rPr>
        <w:t>Baboeuf A et al.  ·  J Gynecol Obstet Hum Reprod  ·  19.09.2026  ·  PMID 42762855</w:t>
      </w:r>
    </w:p>
    <w:p>
      <w:r>
        <w:t>Retrospektive Evaluierung eines standardisierten Induktionsprotokolls mit Ballonkatheter zur Zervixreifung als Erstlinientherapie vs. freie Wahl in französischer Tertiärklinik.</w:t>
      </w:r>
    </w:p>
    <w:p>
      <w:r>
        <w:rPr>
          <w:b/>
        </w:rPr>
        <w:t xml:space="preserve">Ergebnis: </w:t>
      </w:r>
      <w:r>
        <w:t>Vaginale Geburt innerhalb 24h: 27,3% (Protokoll) vs. 34,0% (Baseline), p=0,18; nächtliche Epiduralanalgesie signifikant weniger häufig nach Protokoll (35,6% vs. 46,2%, p=0,008); 77,4% der Frauen mit Gesamtzufriedenheit einverstanden.</w:t>
      </w:r>
    </w:p>
    <w:p>
      <w:r>
        <w:rPr>
          <w:b/>
          <w:sz w:val="19"/>
        </w:rPr>
        <w:t xml:space="preserve">Übertragbarkeit: </w:t>
      </w:r>
      <w:r>
        <w:rPr>
          <w:sz w:val="19"/>
        </w:rPr>
        <w:t>Französische Tertiärklinik, übertragbare Implementierungsfrage, aber begrenzte klinische Effekte</w:t>
      </w:r>
    </w:p>
    <w:p>
      <w:r>
        <w:rPr>
          <w:color w:val="5A7D3A"/>
          <w:sz w:val="18"/>
        </w:rPr>
        <w:t>https://pubmed.ncbi.nlm.nih.gov/42762855/</w:t>
      </w:r>
    </w:p>
    <w:p>
      <w:pPr>
        <w:pStyle w:val="Heading2"/>
      </w:pPr>
      <w:r>
        <w:t>Palliativversorgungsqualität für Patienten mit schweren psychischen Störungen</w:t>
      </w:r>
    </w:p>
    <w:p>
      <w:r>
        <w:rPr>
          <w:i/>
          <w:color w:val="666666"/>
          <w:sz w:val="18"/>
        </w:rPr>
        <w:t>Bøndergaard K et al.  ·  Omega (Westport)  ·  19.09.2026  ·  PMID 42762069</w:t>
      </w:r>
    </w:p>
    <w:p>
      <w:r>
        <w:t>Querschnitts-Fragebogenstudie mit dänischen Hausärzten und Palliativmedizinern zu Qualität der Palliativbetreuung bei verstorbenen Patienten mit schweren psychischen Störungen.</w:t>
      </w:r>
    </w:p>
    <w:p>
      <w:r>
        <w:rPr>
          <w:b/>
        </w:rPr>
        <w:t xml:space="preserve">Ergebnis: </w:t>
      </w:r>
      <w:r>
        <w:t>123 Fragebogen von 162 (76% Rücklaufquote); die meisten Verläufe als gut oder sehr gut bewertet; qualitative Analyse enthüllte drei Themen: Zusammenarbeit/Timing, Kommunikation/Beziehungen, Komplexität; Koordination und Kommunikation bei Lebensende-Entscheidungen teilweise herausfordernd.</w:t>
      </w:r>
    </w:p>
    <w:p>
      <w:r>
        <w:rPr>
          <w:b/>
          <w:sz w:val="19"/>
        </w:rPr>
        <w:t xml:space="preserve">Übertragbarkeit: </w:t>
      </w:r>
      <w:r>
        <w:rPr>
          <w:sz w:val="19"/>
        </w:rPr>
        <w:t>Dänemark, skandinavisches steuerfinanziertes System mit Hausarztfokus</w:t>
      </w:r>
    </w:p>
    <w:p>
      <w:r>
        <w:rPr>
          <w:color w:val="5A7D3A"/>
          <w:sz w:val="18"/>
        </w:rPr>
        <w:t>https://pubmed.ncbi.nlm.nih.gov/42762069/</w:t>
      </w:r>
    </w:p>
    <w:p>
      <w:pPr>
        <w:pStyle w:val="Heading2"/>
      </w:pPr>
      <w:r>
        <w:t>Angiotensin-Inhibitoren vor elektiver Chirurgie: RCT-Absetzen vs. Fortführen</w:t>
      </w:r>
    </w:p>
    <w:p>
      <w:r>
        <w:rPr>
          <w:i/>
          <w:color w:val="666666"/>
          <w:sz w:val="18"/>
        </w:rPr>
        <w:t>Scott IA et al.  ·  J Hosp Med  ·  19.09.2026  ·  PMID 42762066</w:t>
      </w:r>
    </w:p>
    <w:p>
      <w:r>
        <w:t>Single-Center-RCT zu kardiovaskulären Komplikationen nach elektiver, nicht-kardischer Chirurgie unter Fortführung vs. 24h-Absetzen von ACE-Inhibitoren/ARBs.</w:t>
      </w:r>
    </w:p>
    <w:p>
      <w:r>
        <w:rPr>
          <w:b/>
        </w:rPr>
        <w:t xml:space="preserve">Ergebnis: </w:t>
      </w:r>
      <w:r>
        <w:t>667 Patienten randomisiert (325 Fortführung, 313 Absetzen); primärer Outcome MACE: 2,8% vs. 2,9% (Differenz 0,1%, 95% CI −2,5% bis 2,8%, p=1,00); intraop. Hypotonie 63,5% vs. 60,7%, AKI 7,4% vs. 4,8%; keine signifikanten Unterschiede; Absetzen reduzierte nicht MACE, Hypotonie oder AKI.</w:t>
      </w:r>
    </w:p>
    <w:p>
      <w:r>
        <w:rPr>
          <w:b/>
          <w:sz w:val="19"/>
        </w:rPr>
        <w:t xml:space="preserve">Übertragbarkeit: </w:t>
      </w:r>
      <w:r>
        <w:rPr>
          <w:sz w:val="19"/>
        </w:rPr>
        <w:t>Australische Tertiärklinik, aber klinische Prozessfrage systemunabhängig</w:t>
      </w:r>
    </w:p>
    <w:p>
      <w:r>
        <w:rPr>
          <w:color w:val="5A7D3A"/>
          <w:sz w:val="18"/>
        </w:rPr>
        <w:t>https://pubmed.ncbi.nlm.nih.gov/42762066/</w:t>
      </w:r>
    </w:p>
    <w:p>
      <w:pPr>
        <w:pStyle w:val="Heading2"/>
      </w:pPr>
      <w:r>
        <w:t>Frühe Krebsinzidenz in Nordischen Ländern 2003–2022 mit Projektion bis 2050</w:t>
      </w:r>
    </w:p>
    <w:p>
      <w:r>
        <w:rPr>
          <w:i/>
          <w:color w:val="666666"/>
          <w:sz w:val="18"/>
        </w:rPr>
        <w:t>Johansson AL et al.  ·  Lancet Reg Health Eur  ·  12.09.2026  ·  PMID 42761845</w:t>
      </w:r>
    </w:p>
    <w:p>
      <w:r>
        <w:t>Bevölkerungsbasierte Trendstudie der Inzidenz früher Krebserkrankungen (Alter 20–49) in Nordischen Ländern über 20 Jahre mit Vorhersagen bis 2050.</w:t>
      </w:r>
    </w:p>
    <w:p>
      <w:r>
        <w:rPr>
          <w:b/>
        </w:rPr>
        <w:t xml:space="preserve">Ergebnis: </w:t>
      </w:r>
      <w:r>
        <w:t>Signifikante Inzidenzzunahme bei 12 von 18 Krebsarten; Darmkrebs &lt;35 Jahren höchster EAPC (&gt;2%), mit 9.174 zusätzlichen Fällen (2003–2007 zu 2018–2022: 47.491 zu 56.665); regionale Variation Appalachien und Südosten USA.</w:t>
      </w:r>
    </w:p>
    <w:p>
      <w:r>
        <w:rPr>
          <w:b/>
          <w:sz w:val="19"/>
        </w:rPr>
        <w:t xml:space="preserve">Übertragbarkeit: </w:t>
      </w:r>
      <w:r>
        <w:rPr>
          <w:sz w:val="19"/>
        </w:rPr>
        <w:t>Nordische Länder, vergleichbare Gesundheitssysteme mit guten Datenregistern</w:t>
      </w:r>
    </w:p>
    <w:p>
      <w:r>
        <w:rPr>
          <w:color w:val="5A7D3A"/>
          <w:sz w:val="18"/>
        </w:rPr>
        <w:t>https://pubmed.ncbi.nlm.nih.gov/42761845/</w:t>
      </w:r>
    </w:p>
    <w:p>
      <w:pPr>
        <w:pStyle w:val="Heading2"/>
      </w:pPr>
      <w:r>
        <w:t>Darmkrebsscreening bei sexuellen Minderheiten nach US-Guidelines 2021</w:t>
      </w:r>
    </w:p>
    <w:p>
      <w:r>
        <w:rPr>
          <w:i/>
          <w:color w:val="666666"/>
          <w:sz w:val="18"/>
        </w:rPr>
        <w:t>George L et al.  ·  AJPM Focus  ·  12.05.2026  ·  PMID 42761516</w:t>
      </w:r>
    </w:p>
    <w:p>
      <w:r>
        <w:t>Querschnittsanalyse der Screening-Compliance für Darmkrebs bei sexuellen Minderheiten nach Aktualisierung der USPSTF-Richtlinien (2021), USA 2022.</w:t>
      </w:r>
    </w:p>
    <w:p>
      <w:r>
        <w:rPr>
          <w:b/>
        </w:rPr>
        <w:t xml:space="preserve">Ergebnis: </w:t>
      </w:r>
      <w:r>
        <w:t>Screening-Rate insgesamt: 69,0% (gay/lesbian), 62,7% (bisexual), 58,4% (andere Orientierung), 68,8% (heterosexuell); Personen mit anderer Orientierung signifikant niedriger als heterosexuell (aPR=0,90, 95% CI 0,84–0,97); Dispariät besonders in Alter 65–75 und Frauen.</w:t>
      </w:r>
    </w:p>
    <w:p>
      <w:r>
        <w:rPr>
          <w:b/>
          <w:sz w:val="19"/>
        </w:rPr>
        <w:t xml:space="preserve">Übertragbarkeit: </w:t>
      </w:r>
      <w:r>
        <w:rPr>
          <w:sz w:val="19"/>
        </w:rPr>
        <w:t>USA, aber Screeningdisparität bei Minderheiten systemunabhängig relevant</w:t>
      </w:r>
    </w:p>
    <w:p>
      <w:r>
        <w:rPr>
          <w:color w:val="5A7D3A"/>
          <w:sz w:val="18"/>
        </w:rPr>
        <w:t>https://pubmed.ncbi.nlm.nih.gov/42761516/</w:t>
      </w:r>
    </w:p>
    <w:p>
      <w:pPr>
        <w:pStyle w:val="Heading2"/>
      </w:pPr>
      <w:r>
        <w:t>Kulturelle Diabetes-Schulung: Kosteneffektivität für Marshallese-Bevölkerung</w:t>
      </w:r>
    </w:p>
    <w:p>
      <w:r>
        <w:rPr>
          <w:i/>
          <w:color w:val="666666"/>
          <w:sz w:val="18"/>
        </w:rPr>
        <w:t>Lamprecht-Carson D et al.  ·  Diabetes Obes Metab  ·  17.09.2026  ·  PMID 42755138</w:t>
      </w:r>
    </w:p>
    <w:p>
      <w:r>
        <w:t>Markov-Modell zur Kosteneffektivität eines kulturell angepassten Diabetes-Selbstmanagement-Programms vs. Standard-DSME für Marshallese-Erwachsene mit Typ-2-Diabetes.</w:t>
      </w:r>
    </w:p>
    <w:p>
      <w:r>
        <w:rPr>
          <w:b/>
        </w:rPr>
        <w:t xml:space="preserve">Ergebnis: </w:t>
      </w:r>
      <w:r>
        <w:t>Kulturell angepasstes Programm cost-effective mit ICER von 3.083 Dollar pro QALY; in 87,1% der Simulationen bevorzugte Strategie bei WTP 50.000 Dollar pro QALY; bescheidene aber relevante Unterschiede zwischen Interventionszenarien.</w:t>
      </w:r>
    </w:p>
    <w:p>
      <w:r>
        <w:rPr>
          <w:b/>
          <w:sz w:val="19"/>
        </w:rPr>
        <w:t xml:space="preserve">Übertragbarkeit: </w:t>
      </w:r>
      <w:r>
        <w:rPr>
          <w:sz w:val="19"/>
        </w:rPr>
        <w:t>USA-Daten, aber Fragestellung zur Kultursensitivität systemunabhängig transferierbar</w:t>
      </w:r>
    </w:p>
    <w:p>
      <w:r>
        <w:rPr>
          <w:color w:val="5A7D3A"/>
          <w:sz w:val="18"/>
        </w:rPr>
        <w:t>https://pubmed.ncbi.nlm.nih.gov/42755138/</w:t>
      </w:r>
    </w:p>
    <w:p>
      <w:pPr>
        <w:pStyle w:val="Heading1"/>
      </w:pPr>
      <w:r>
        <w:t>Aufgenommen am 20.09.2026</w:t>
      </w:r>
    </w:p>
    <w:p>
      <w:pPr>
        <w:pStyle w:val="Heading2"/>
      </w:pPr>
      <w:r>
        <w:t>Workplace-Health-Promotion in Pflegeheimen: qualitative Prozessevaluation</w:t>
      </w:r>
    </w:p>
    <w:p>
      <w:r>
        <w:rPr>
          <w:i/>
          <w:color w:val="666666"/>
          <w:sz w:val="18"/>
        </w:rPr>
        <w:t>Czakert J et al.  ·  Front Public Health  ·  04.09.2026  ·  PMID 42761123</w:t>
      </w:r>
    </w:p>
    <w:p>
      <w:r>
        <w:t>Qualitative Prozessevaluation zur Entwicklung und Implementierung von drei WHP-Workshops in einem Pilotheim nach RE-AIM-Framework.</w:t>
      </w:r>
    </w:p>
    <w:p>
      <w:r>
        <w:rPr>
          <w:b/>
        </w:rPr>
        <w:t xml:space="preserve">Ergebnis: </w:t>
      </w:r>
      <w:r>
        <w:t>Entwicklung aus sieben Phasen. Etwa ein Drittel der Teilnehmenden aktiv involviert, andere passiv oder resistiv. Engagement variabel, Schlüsselhemmnisse: Motivation, wahrgenommene Relevanz, Gruppendynamik, Fatigue, Sprachbarrieren. Zentral: organisatorische Vorbereitung und Partizipation.</w:t>
      </w:r>
    </w:p>
    <w:p>
      <w:r>
        <w:rPr>
          <w:b/>
          <w:sz w:val="19"/>
        </w:rPr>
        <w:t xml:space="preserve">Übertragbarkeit: </w:t>
      </w:r>
      <w:r>
        <w:rPr>
          <w:sz w:val="19"/>
        </w:rPr>
        <w:t>Deutschland, Langzeitpflegesektor, hohe Relevanz für Implementierungspraxis</w:t>
      </w:r>
    </w:p>
    <w:p>
      <w:r>
        <w:rPr>
          <w:color w:val="5A7D3A"/>
          <w:sz w:val="18"/>
        </w:rPr>
        <w:t>https://pubmed.ncbi.nlm.nih.gov/42761123/</w:t>
      </w:r>
    </w:p>
    <w:p>
      <w:pPr>
        <w:pStyle w:val="Heading2"/>
      </w:pPr>
      <w:r>
        <w:t>Regionale Disparitäten Zahngesundheit Deutschland</w:t>
      </w:r>
    </w:p>
    <w:p>
      <w:r>
        <w:rPr>
          <w:i/>
          <w:color w:val="666666"/>
          <w:sz w:val="18"/>
        </w:rPr>
        <w:t>Gortschakow J et al.  ·  J Clin Periodontol  ·  18.09.2026  ·  PMID 42760791</w:t>
      </w:r>
    </w:p>
    <w:p>
      <w:r>
        <w:t>Bevölkerungsstudie mit 184.871 Erwachsenen untersucht Prävalenz von Zahnlosigkeit und Taschentiefen bundesweit mittels klinischer Untersuchung.</w:t>
      </w:r>
    </w:p>
    <w:p>
      <w:r>
        <w:rPr>
          <w:b/>
        </w:rPr>
        <w:t xml:space="preserve">Ergebnis: </w:t>
      </w:r>
      <w:r>
        <w:t>Zahnlosigkeitsprävalenz: 1,7 % (95%-KI 1,6–1,9). Mittlere Taschentiefe: 1,89 mm (1,87–1,91). Deutliche regionale Disparitäten von 1,3 % (Augsburg/Regensburg) bis 2,3 % (Neubrandenburg).</w:t>
      </w:r>
    </w:p>
    <w:p>
      <w:r>
        <w:rPr>
          <w:b/>
          <w:sz w:val="19"/>
        </w:rPr>
        <w:t xml:space="preserve">Übertragbarkeit: </w:t>
      </w:r>
      <w:r>
        <w:rPr>
          <w:sz w:val="19"/>
        </w:rPr>
        <w:t>Deutsche Routinedaten aus Kohorte, exzellente Übertragbarkeit</w:t>
      </w:r>
    </w:p>
    <w:p>
      <w:r>
        <w:rPr>
          <w:color w:val="5A7D3A"/>
          <w:sz w:val="18"/>
        </w:rPr>
        <w:t>https://pubmed.ncbi.nlm.nih.gov/42760791/</w:t>
      </w:r>
    </w:p>
    <w:p>
      <w:pPr>
        <w:pStyle w:val="Heading2"/>
      </w:pPr>
      <w:r>
        <w:t>Arbeitsbelastung und Berufsverbleib in Gesundheitsberufen</w:t>
      </w:r>
    </w:p>
    <w:p>
      <w:r>
        <w:rPr>
          <w:i/>
          <w:color w:val="666666"/>
          <w:sz w:val="18"/>
        </w:rPr>
        <w:t>Andersson Hammar I et al.  ·  BMC Health Serv Res  ·  17.09.2026  ·  PMID 42760563</w:t>
      </w:r>
    </w:p>
    <w:p>
      <w:r>
        <w:t>Längsschnittstudie untersuchte Zusammenhänge zwischen Arbeitserfahrungen, Gesundheit und Verbleibsabsicht bei Fachpersonen drei Jahre nach Berufsstart.</w:t>
      </w:r>
    </w:p>
    <w:p>
      <w:r>
        <w:rPr>
          <w:b/>
        </w:rPr>
        <w:t xml:space="preserve">Ergebnis: </w:t>
      </w:r>
      <w:r>
        <w:t>Höhere Arbeitszufriedenheit war mit besserer Gesundheit und deutlich gestärkter Absicht zum Verbleib in der Profession assoziiert. Die 30–36-Jährigen zeigten niedrigere Verbleibsabsicht als jüngere und ältere Kohorten.</w:t>
      </w:r>
    </w:p>
    <w:p>
      <w:r>
        <w:rPr>
          <w:b/>
          <w:sz w:val="19"/>
        </w:rPr>
        <w:t xml:space="preserve">Übertragbarkeit: </w:t>
      </w:r>
      <w:r>
        <w:rPr>
          <w:sz w:val="19"/>
        </w:rPr>
        <w:t>Schweden, gut übertragbar auf deutsches Gesundheitssystem und Arbeitskontexte</w:t>
      </w:r>
    </w:p>
    <w:p>
      <w:r>
        <w:rPr>
          <w:color w:val="5A7D3A"/>
          <w:sz w:val="18"/>
        </w:rPr>
        <w:t>https://pubmed.ncbi.nlm.nih.gov/42760563/</w:t>
      </w:r>
    </w:p>
    <w:p>
      <w:pPr>
        <w:pStyle w:val="Heading2"/>
      </w:pPr>
      <w:r>
        <w:t>Apotheker-Intervention bei koronaren Patienten: Medication-Review-Studie</w:t>
      </w:r>
    </w:p>
    <w:p>
      <w:r>
        <w:rPr>
          <w:i/>
          <w:color w:val="666666"/>
          <w:sz w:val="18"/>
        </w:rPr>
        <w:t>Östbring MJ et al.  ·  BMC Health Serv Res  ·  15.09.2026  ·  PMID 42760559</w:t>
      </w:r>
    </w:p>
    <w:p>
      <w:r>
        <w:t>Prozessevaluation eines randomisierten Trials zu pharmazeutisch-gesteuerter Adhärence-Intervention mittels Motivierender Gesprächsführung bei Herzkranken.</w:t>
      </w:r>
    </w:p>
    <w:p>
      <w:r>
        <w:rPr>
          <w:b/>
        </w:rPr>
        <w:t xml:space="preserve">Ergebnis: </w:t>
      </w:r>
      <w:r>
        <w:t>Klinische Apotheker identifizierten durchschnittlich 4,3 medikationsbezogene Probleme pro Patient. In 194 von 218 bekannten Fällen wurde das Problem gelöst/verbessert. 52,8 % der Interventionsgruppe vs. 31,0 % der Kontrollgruppe verschoben sich zu akzeptierenderer Arzneimittelhaltung (p = 0,051).</w:t>
      </w:r>
    </w:p>
    <w:p>
      <w:r>
        <w:rPr>
          <w:b/>
          <w:sz w:val="19"/>
        </w:rPr>
        <w:t xml:space="preserve">Übertragbarkeit: </w:t>
      </w:r>
      <w:r>
        <w:rPr>
          <w:sz w:val="19"/>
        </w:rPr>
        <w:t>Schweden, Sozialversicherungssystem, pharmazeutische Versorgungsrollen</w:t>
      </w:r>
    </w:p>
    <w:p>
      <w:r>
        <w:rPr>
          <w:color w:val="5A7D3A"/>
          <w:sz w:val="18"/>
        </w:rPr>
        <w:t>https://pubmed.ncbi.nlm.nih.gov/42760559/</w:t>
      </w:r>
    </w:p>
    <w:p>
      <w:pPr>
        <w:pStyle w:val="Heading2"/>
      </w:pPr>
      <w:r>
        <w:t>Psychische Gesundheit peripartal: Screening-Barrieren in Indien</w:t>
      </w:r>
    </w:p>
    <w:p>
      <w:r>
        <w:rPr>
          <w:i/>
          <w:color w:val="666666"/>
          <w:sz w:val="18"/>
        </w:rPr>
        <w:t>Basu P et al.  ·  BMC Health Serv Res  ·  03.08.2026  ·  PMID 42760554</w:t>
      </w:r>
    </w:p>
    <w:p>
      <w:r>
        <w:t>Qualitative Studie zu Hemmnissen und Facilitatoren von perinataler psychischer Gesundheitsscreening aus Perspektive von Frauen und Angehörigen des Gesundheitswesens.</w:t>
      </w:r>
    </w:p>
    <w:p>
      <w:r>
        <w:rPr>
          <w:b/>
        </w:rPr>
        <w:t xml:space="preserve">Ergebnis: </w:t>
      </w:r>
      <w:r>
        <w:t>Facilitatoren: etabliertes Referralsystem, Medikamentenverfügbarkeit, Datenschutz. Barrieren: fragmentierte Services, hohe Arbeitsbelastung, Stigma, unzureichende Schulung, mangelndes Vertrauen. Familienpräsenz behinderte offene Diskussionen.</w:t>
      </w:r>
    </w:p>
    <w:p>
      <w:r>
        <w:rPr>
          <w:b/>
          <w:sz w:val="19"/>
        </w:rPr>
        <w:t xml:space="preserve">Übertragbarkeit: </w:t>
      </w:r>
      <w:r>
        <w:rPr>
          <w:sz w:val="19"/>
        </w:rPr>
        <w:t>Indien; Fragestellung systemunabhängig, aber Übertragbarkeit limitiert durch andere Ressourcenlage</w:t>
      </w:r>
    </w:p>
    <w:p>
      <w:r>
        <w:rPr>
          <w:color w:val="5A7D3A"/>
          <w:sz w:val="18"/>
        </w:rPr>
        <w:t>https://pubmed.ncbi.nlm.nih.gov/42760554/</w:t>
      </w:r>
    </w:p>
    <w:p>
      <w:pPr>
        <w:pStyle w:val="Heading2"/>
      </w:pPr>
      <w:r>
        <w:t>Gestationsdiabetes Südlichasiatische Frauen: PPIE-Insights</w:t>
      </w:r>
    </w:p>
    <w:p>
      <w:r>
        <w:rPr>
          <w:i/>
          <w:color w:val="666666"/>
          <w:sz w:val="18"/>
        </w:rPr>
        <w:t>Dapre E et al.  ·  NIHR Open Res  ·  03.09.2026  ·  PMID 42750677</w:t>
      </w:r>
    </w:p>
    <w:p>
      <w:r>
        <w:t>Patient- und Public-Involvement-Engagement-Studie mit südlichasiatischen Frauen zur Verbesserung der Adhärenz in Ernährungsintervention bei Gestationsdiabetes.</w:t>
      </w:r>
    </w:p>
    <w:p>
      <w:r>
        <w:rPr>
          <w:b/>
        </w:rPr>
        <w:t xml:space="preserve">Ergebnis: </w:t>
      </w:r>
      <w:r>
        <w:t>17 Frauen identifizierten drei Schlüsselprobleme: Vulnerabilität (Vertrauensmangel, Kontrollverlust), Zugänglichkeit (flexible Formate, finanzielle Unterstützung), Mentale Belastung (emotionales Wohlbefinden, Familieneinfluss). Empfehlungen: familienbasierte Essensplanung, visuelle Guides, psychosoziale Unterstützung.</w:t>
      </w:r>
    </w:p>
    <w:p>
      <w:r>
        <w:rPr>
          <w:b/>
          <w:sz w:val="19"/>
        </w:rPr>
        <w:t xml:space="preserve">Übertragbarkeit: </w:t>
      </w:r>
      <w:r>
        <w:rPr>
          <w:sz w:val="19"/>
        </w:rPr>
        <w:t>Qualitative UK-Studie; Fragestellung zu Barrieren und Facilitatoren systemunabhängig</w:t>
      </w:r>
    </w:p>
    <w:p>
      <w:r>
        <w:rPr>
          <w:color w:val="5A7D3A"/>
          <w:sz w:val="18"/>
        </w:rPr>
        <w:t>https://pubmed.ncbi.nlm.nih.gov/42750677/</w:t>
      </w:r>
    </w:p>
    <w:p>
      <w:pPr>
        <w:pStyle w:val="Heading1"/>
      </w:pPr>
      <w:r>
        <w:t>Aufgenommen am 19.09.2026</w:t>
      </w:r>
    </w:p>
    <w:p>
      <w:pPr>
        <w:pStyle w:val="Heading2"/>
      </w:pPr>
      <w:r>
        <w:t>Verbesserung von Peer-Support für Mütter mit HIV in Kenia</w:t>
      </w:r>
    </w:p>
    <w:p>
      <w:r>
        <w:rPr>
          <w:i/>
          <w:color w:val="666666"/>
          <w:sz w:val="18"/>
        </w:rPr>
        <w:t>Carlucci JG et al.  ·  PLOS Glob Public Health  ·  18.09.2026  ·  PMID 42758698</w:t>
      </w:r>
    </w:p>
    <w:p>
      <w:r>
        <w:t>Qualitative Interviews mit 16 Mentor Mothers und 36 Frauen mit HIV in Westkenias PMTCT-Programmen zur Verbesserung von Peer-Support-Diensten.</w:t>
      </w:r>
    </w:p>
    <w:p>
      <w:r>
        <w:rPr>
          <w:b/>
        </w:rPr>
        <w:t xml:space="preserve">Ergebnis: </w:t>
      </w:r>
      <w:r>
        <w:t>Beide Gruppen befürworteten Risikostratifizierung: intensive Services für Hochrisiko-Mütter, weniger intensive für Niedrigrisiko. Zentral: empathische Mentoring-Beziehungen mit geteilten Erfahrungen; nötig aber bessere Aufgabendefinition, Kapazitätsaufbau, faire Kompensation und Ressourcen für ökonomische Barrieren.</w:t>
      </w:r>
    </w:p>
    <w:p>
      <w:r>
        <w:rPr>
          <w:b/>
          <w:sz w:val="19"/>
        </w:rPr>
        <w:t xml:space="preserve">Übertragbarkeit: </w:t>
      </w:r>
      <w:r>
        <w:rPr>
          <w:sz w:val="19"/>
        </w:rPr>
        <w:t>Kenia; Modell zu Peer-Support-Effektivität auf andere LMIC-Kontexte übertragbar</w:t>
      </w:r>
    </w:p>
    <w:p>
      <w:r>
        <w:rPr>
          <w:color w:val="5A7D3A"/>
          <w:sz w:val="18"/>
        </w:rPr>
        <w:t>https://pubmed.ncbi.nlm.nih.gov/42758698/</w:t>
      </w:r>
    </w:p>
    <w:p>
      <w:pPr>
        <w:pStyle w:val="Heading2"/>
      </w:pPr>
      <w:r>
        <w:t>Implementierungsstrategie für betriebliche Rauchentwöhnung mit Anreizen</w:t>
      </w:r>
    </w:p>
    <w:p>
      <w:r>
        <w:rPr>
          <w:i/>
          <w:color w:val="666666"/>
          <w:sz w:val="18"/>
        </w:rPr>
        <w:t>van den Brand FA et al.  ·  PLoS One  ·  18.09.2026  ·  PMID 42758680</w:t>
      </w:r>
    </w:p>
    <w:p>
      <w:r>
        <w:t>Systematische Entwicklung einer Implementierungsstrategie für Workplace-Rauchentwöhnungsprogramme mit finanziellen Anreizen mittels Implementation Mapping in den Niederlanden.</w:t>
      </w:r>
    </w:p>
    <w:p>
      <w:r>
        <w:rPr>
          <w:b/>
        </w:rPr>
        <w:t xml:space="preserve">Ergebnis: </w:t>
      </w:r>
      <w:r>
        <w:t>Identifizierte Schlüsseladoptoren (Geschäftsführung, HR-Manager) und Implementierer sowie sieben Determinanten für erfolgreiche Durchführung. Entwickelte evidenzbasierte Strategien einschließlich Implementierungsleitfaden, Website, Video und Webinar. Stakeholder-Feedback führte zu Verbesserungen.</w:t>
      </w:r>
    </w:p>
    <w:p>
      <w:r>
        <w:rPr>
          <w:b/>
          <w:sz w:val="19"/>
        </w:rPr>
        <w:t xml:space="preserve">Übertragbarkeit: </w:t>
      </w:r>
      <w:r>
        <w:rPr>
          <w:sz w:val="19"/>
        </w:rPr>
        <w:t>Niederlande, ähnliches Sozialversicherungssystem mit Betriebsstruktur</w:t>
      </w:r>
    </w:p>
    <w:p>
      <w:r>
        <w:rPr>
          <w:color w:val="5A7D3A"/>
          <w:sz w:val="18"/>
        </w:rPr>
        <w:t>https://pubmed.ncbi.nlm.nih.gov/42758680/</w:t>
      </w:r>
    </w:p>
    <w:p>
      <w:pPr>
        <w:pStyle w:val="Heading2"/>
      </w:pPr>
      <w:r>
        <w:t>Kognitive Verzerrungen und Nierenfunktions-Risikoperception bei älteren CKD-Patienten</w:t>
      </w:r>
    </w:p>
    <w:p>
      <w:r>
        <w:rPr>
          <w:i/>
          <w:color w:val="666666"/>
          <w:sz w:val="18"/>
        </w:rPr>
        <w:t>Bonnet K et al.  ·  Clin J Am Soc Nephrol  ·  18.09.2026  ·  PMID 42758548</w:t>
      </w:r>
    </w:p>
    <w:p>
      <w:r>
        <w:t>Mixed-Methods-Studie mit Älteren (&gt;60 Jahre) im Stadium 3B–5 CKD zu kognitiven Verzerrungen bei der Wahrnehmung ihres Nierenfunktionsausfallrisikos.</w:t>
      </w:r>
    </w:p>
    <w:p>
      <w:r>
        <w:rPr>
          <w:b/>
        </w:rPr>
        <w:t xml:space="preserve">Ergebnis: </w:t>
      </w:r>
      <w:r>
        <w:t>Nur 24% der Teilnehmer hatten Prognosekonsens (objektives vs. subjektiv wahrgenommenes Risiko). Höhere Patient Activation war unabhängig mit niedrigeren Odds für Unsicherheit assoziiert (OR 0,66; 95%-KI 0,44–0,99). Qualitativ: Empfehlungen für hoffnungsvolle Sprache, Einbeziehen von Angehörigen und numeracy-Berücksichtigung.</w:t>
      </w:r>
    </w:p>
    <w:p>
      <w:r>
        <w:rPr>
          <w:b/>
          <w:sz w:val="19"/>
        </w:rPr>
        <w:t xml:space="preserve">Übertragbarkeit: </w:t>
      </w:r>
      <w:r>
        <w:rPr>
          <w:sz w:val="19"/>
        </w:rPr>
        <w:t>US-Daten, aber Fragestellung zur Patientenkommunikation systemunabhängig</w:t>
      </w:r>
    </w:p>
    <w:p>
      <w:r>
        <w:rPr>
          <w:color w:val="5A7D3A"/>
          <w:sz w:val="18"/>
        </w:rPr>
        <w:t>https://pubmed.ncbi.nlm.nih.gov/42758548/</w:t>
      </w:r>
    </w:p>
    <w:p>
      <w:pPr>
        <w:pStyle w:val="Heading2"/>
      </w:pPr>
      <w:r>
        <w:t>Komplexe-Versorgungsprogramm reduziert Krankenhausnutzung bei Kindern</w:t>
      </w:r>
    </w:p>
    <w:p>
      <w:r>
        <w:rPr>
          <w:i/>
          <w:color w:val="666666"/>
          <w:sz w:val="18"/>
        </w:rPr>
        <w:t>Lee J et al.  ·  J Pediatr Health Care  ·  17.09.2026  ·  PMID 42758058</w:t>
      </w:r>
    </w:p>
    <w:p>
      <w:r>
        <w:t>Retrospektive Kohortenstudie von 71 Kindern mit medizinischer Komplexität in einem Cross-Setting-Komplexcare-Programm mit kleinem Kernteam (2015–2024).</w:t>
      </w:r>
    </w:p>
    <w:p>
      <w:r>
        <w:rPr>
          <w:b/>
        </w:rPr>
        <w:t xml:space="preserve">Ergebnis: </w:t>
      </w:r>
      <w:r>
        <w:t>Hospitalisierungen sanken von 3,5 auf 2,0 pro Jahr (p &lt; 0,001), Verweildauer von 41,5 auf 11,5 Tage pro Jahr (p &lt; 0,001). Adjustierte Analysen zeigten 32% Reduktion bei Hospitalisierungen und 72% bei Verweildauer.</w:t>
      </w:r>
    </w:p>
    <w:p>
      <w:r>
        <w:rPr>
          <w:b/>
          <w:sz w:val="19"/>
        </w:rPr>
        <w:t xml:space="preserve">Übertragbarkeit: </w:t>
      </w:r>
      <w:r>
        <w:rPr>
          <w:sz w:val="19"/>
        </w:rPr>
        <w:t>US-amerikanische Universitätsklinik, aber Modell zum Case Management übertragbar</w:t>
      </w:r>
    </w:p>
    <w:p>
      <w:r>
        <w:rPr>
          <w:color w:val="5A7D3A"/>
          <w:sz w:val="18"/>
        </w:rPr>
        <w:t>https://pubmed.ncbi.nlm.nih.gov/42758058/</w:t>
      </w:r>
    </w:p>
    <w:p>
      <w:pPr>
        <w:pStyle w:val="Heading2"/>
      </w:pPr>
      <w:r>
        <w:t>Barrieren von Frontline-Mitarbeitern bei TB-Diensten in High-Burden-Ländern</w:t>
      </w:r>
    </w:p>
    <w:p>
      <w:r>
        <w:rPr>
          <w:i/>
          <w:color w:val="666666"/>
          <w:sz w:val="18"/>
        </w:rPr>
        <w:t>Cox SR et al.  ·  J Glob Health  ·  18.09.2026  ·  PMID 42757757</w:t>
      </w:r>
    </w:p>
    <w:p>
      <w:r>
        <w:t>Scoping Review von 189 Studien (2010–2025) zu Healthcare-Worker-bezogenen Barrieren bei TB-Prävention, Diagnostik und Behandlung in WHO-High-Burden-Ländern.</w:t>
      </w:r>
    </w:p>
    <w:p>
      <w:r>
        <w:rPr>
          <w:b/>
        </w:rPr>
        <w:t xml:space="preserve">Ergebnis: </w:t>
      </w:r>
      <w:r>
        <w:t>Wissens- und Skill-Lücken waren die häufigsten Barrieren (n = 128 Studien). Weitere Themen: Provider-Patient-Kommunikation, Stigma (n = 74 Studien), Motivation für qualitativ hochwertige TB-Pflege (n = 69 Studien). COM-B-Framework identifizierte umsetzbare Targets.</w:t>
      </w:r>
    </w:p>
    <w:p>
      <w:r>
        <w:rPr>
          <w:b/>
          <w:sz w:val="19"/>
        </w:rPr>
        <w:t xml:space="preserve">Übertragbarkeit: </w:t>
      </w:r>
      <w:r>
        <w:rPr>
          <w:sz w:val="19"/>
        </w:rPr>
        <w:t>Länder mit Ressourcenlimitationen; Erkenntnisse zu HSR-Barrieren international relevant</w:t>
      </w:r>
    </w:p>
    <w:p>
      <w:r>
        <w:rPr>
          <w:color w:val="5A7D3A"/>
          <w:sz w:val="18"/>
        </w:rPr>
        <w:t>https://pubmed.ncbi.nlm.nih.gov/42757757/</w:t>
      </w:r>
    </w:p>
    <w:p>
      <w:pPr>
        <w:pStyle w:val="Heading2"/>
      </w:pPr>
      <w:r>
        <w:t>Strukturierte Laktationsberatung und Muttermilchbanken in deutschen NICUs</w:t>
      </w:r>
    </w:p>
    <w:p>
      <w:r>
        <w:rPr>
          <w:i/>
          <w:color w:val="666666"/>
          <w:sz w:val="18"/>
        </w:rPr>
        <w:t>Köberlein-Neu J et al.  ·  BMC Med  ·  11.09.2026  ·  PMID 42754870</w:t>
      </w:r>
    </w:p>
    <w:p>
      <w:r>
        <w:t>Stepped-Wedge-Cluster-RCT in 15 deutschen Level-I-NICUs zur Wirksamkeit von strukturierter Laktationsberatung mit Donor-Milk-Banking auf ausschließliches Stillen bei Entlassung.</w:t>
      </w:r>
    </w:p>
    <w:p>
      <w:r>
        <w:rPr>
          <w:b/>
        </w:rPr>
        <w:t xml:space="preserve">Ergebnis: </w:t>
      </w:r>
      <w:r>
        <w:t>Ausschließliches Stillen bei Entlassung stieg um 11 Prozentpunkte (95%-KI: 3,0–19,0; p = 0,007) von 43% Baseline. Keine signifikanten Unterschiede in klinischen Komplikationen oder Verweildauer. Implementierbarkeit und Durchführungstreue waren ausreichend (Beratung in 71% wie geplant).</w:t>
      </w:r>
    </w:p>
    <w:p>
      <w:r>
        <w:rPr>
          <w:b/>
          <w:sz w:val="19"/>
        </w:rPr>
        <w:t xml:space="preserve">Übertragbarkeit: </w:t>
      </w:r>
      <w:r>
        <w:rPr>
          <w:sz w:val="19"/>
        </w:rPr>
        <w:t>Deutsche RCT-Daten, gesetzlich versicherte Neugeborene in Universitätskliniken</w:t>
      </w:r>
    </w:p>
    <w:p>
      <w:r>
        <w:rPr>
          <w:color w:val="5A7D3A"/>
          <w:sz w:val="18"/>
        </w:rPr>
        <w:t>https://pubmed.ncbi.nlm.nih.gov/42754870/</w:t>
      </w:r>
    </w:p>
    <w:p>
      <w:pPr>
        <w:pStyle w:val="Heading1"/>
      </w:pPr>
      <w:r>
        <w:t>Aufgenommen am 18.09.2026</w:t>
      </w:r>
    </w:p>
    <w:p>
      <w:pPr>
        <w:pStyle w:val="Heading2"/>
      </w:pPr>
      <w:r>
        <w:t>Workforce readiness for Advance Care Planning in ID services</w:t>
      </w:r>
    </w:p>
    <w:p>
      <w:r>
        <w:rPr>
          <w:i/>
          <w:color w:val="666666"/>
          <w:sz w:val="18"/>
        </w:rPr>
        <w:t>Zeilinger EL Prof Dr et al.  ·  J Pain Symptom Manage  ·  17.09.2026  ·  PMID 42754183</w:t>
      </w:r>
    </w:p>
    <w:p>
      <w:r>
        <w:t>Österreichische Querschnittstudie zur Bereitschaft von Betreuungspersonen in Wohneinrichtungen für Menschen mit Behinderungen, ACP-Gespräche zu führen.</w:t>
      </w:r>
    </w:p>
    <w:p>
      <w:r>
        <w:rPr>
          <w:b/>
        </w:rPr>
        <w:t xml:space="preserve">Ergebnis: </w:t>
      </w:r>
      <w:r>
        <w:t>67,7 % der 127 Befragten kannten Patientenverfügungen, aber nur 1,6 % konnten ACP erklären. 68,5 % fühlten sich komfortabel bei ACP-Gesprächen, 85,8 % sahen ACP als wichtig an, und 77,2 % sahen es als ihre Verantwortung. Fehlende konzeptionelle Vorbereitung trotz hoher Unterstützung für ACP.</w:t>
      </w:r>
    </w:p>
    <w:p>
      <w:r>
        <w:rPr>
          <w:b/>
          <w:sz w:val="19"/>
        </w:rPr>
        <w:t xml:space="preserve">Übertragbarkeit: </w:t>
      </w:r>
      <w:r>
        <w:rPr>
          <w:sz w:val="19"/>
        </w:rPr>
        <w:t>Österreich, ähnliche Systemstruktur und Versorgungskontext wie Deutschland</w:t>
      </w:r>
    </w:p>
    <w:p>
      <w:r>
        <w:rPr>
          <w:color w:val="5A7D3A"/>
          <w:sz w:val="18"/>
        </w:rPr>
        <w:t>https://pubmed.ncbi.nlm.nih.gov/42754183/</w:t>
      </w:r>
    </w:p>
    <w:p>
      <w:pPr>
        <w:pStyle w:val="Heading2"/>
      </w:pPr>
      <w:r>
        <w:t>Multilevel-Faktoren bei Non-Response zu Patient-Reported Outcome Measures</w:t>
      </w:r>
    </w:p>
    <w:p>
      <w:r>
        <w:rPr>
          <w:i/>
          <w:color w:val="666666"/>
          <w:sz w:val="18"/>
        </w:rPr>
        <w:t>Liu JB et al.  ·  Qual Life Res  ·  17.09.2026  ·  PMID 42753022</w:t>
      </w:r>
    </w:p>
    <w:p>
      <w:r>
        <w:t>US-Kohortenanalyse von 12.214 Patienten an fünf Strahlentherapie-Kliniken zu Faktoren auf Patient-, Provider- und Klinikebene, die Non-Response zu PROMIS Global-10 vorhersagen.</w:t>
      </w:r>
    </w:p>
    <w:p>
      <w:r>
        <w:rPr>
          <w:b/>
        </w:rPr>
        <w:t xml:space="preserve">Ergebnis: </w:t>
      </w:r>
      <w:r>
        <w:t>Patient- und Termin-Response-Raten: 35,4 % bzw. 31,7 %; Response variierte zwischen Kliniken 12,8–66,2 %. Nach Adjustierung: jüngste Operation (aOR 1,97) und längere Diagnosedauer (aOR 0,46 für &gt;12 Monate) persistierten. Klinik-Implementierungsfaktoren (späte Programmstartzeit aOR 0,29) waren stärker als Patientenmerkmale.</w:t>
      </w:r>
    </w:p>
    <w:p>
      <w:r>
        <w:rPr>
          <w:b/>
          <w:sz w:val="19"/>
        </w:rPr>
        <w:t xml:space="preserve">Übertragbarkeit: </w:t>
      </w:r>
      <w:r>
        <w:rPr>
          <w:sz w:val="19"/>
        </w:rPr>
        <w:t>USA - Methodologie zu PROM-Implementierung systemunabhängig relevant für deutsches QM</w:t>
      </w:r>
    </w:p>
    <w:p>
      <w:r>
        <w:rPr>
          <w:color w:val="5A7D3A"/>
          <w:sz w:val="18"/>
        </w:rPr>
        <w:t>https://pubmed.ncbi.nlm.nih.gov/42753022/</w:t>
      </w:r>
    </w:p>
    <w:p>
      <w:pPr>
        <w:pStyle w:val="Heading2"/>
      </w:pPr>
      <w:r>
        <w:t>Finanzielle Auswirkungen von Schwangerschaft und Geburt bei Louisiana Medicaid</w:t>
      </w:r>
    </w:p>
    <w:p>
      <w:r>
        <w:rPr>
          <w:i/>
          <w:color w:val="666666"/>
          <w:sz w:val="18"/>
        </w:rPr>
        <w:t>Walker B et al.  ·  Health Serv Res  ·  Okt. 2026  ·  PMID 42751818</w:t>
      </w:r>
    </w:p>
    <w:p>
      <w:r>
        <w:t>US-Studie zu Auswirkungen von Schwangerschaft auf Verschuldung und Kreditscores bei Medicaid-Versicherten, stratifiziert nach Ethnie.</w:t>
      </w:r>
    </w:p>
    <w:p>
      <w:r>
        <w:rPr>
          <w:b/>
        </w:rPr>
        <w:t xml:space="preserve">Ergebnis: </w:t>
      </w:r>
      <w:r>
        <w:t>Nicht-hispanische schwarze Frauen zeigten negative finanzielle Folgen: Kreditscores sanken um 4 Punkte (95%-KI: -5,65 bis -1,81), medizinische Schulden stiegen um 41 USD (KI: 6–75), andere Schulden um 44 USD (KI: 15–74). Nicht-hispanische weiße Frauen zeigten keine nachteiligen Auswirkungen.</w:t>
      </w:r>
    </w:p>
    <w:p>
      <w:r>
        <w:rPr>
          <w:b/>
          <w:sz w:val="19"/>
        </w:rPr>
        <w:t xml:space="preserve">Übertragbarkeit: </w:t>
      </w:r>
      <w:r>
        <w:rPr>
          <w:sz w:val="19"/>
        </w:rPr>
        <w:t>USA/Medicaid - Fragestellung aber zu Equity und Versorgungsgerechtigkeit systemunabhängig relevant</w:t>
      </w:r>
    </w:p>
    <w:p>
      <w:r>
        <w:rPr>
          <w:color w:val="5A7D3A"/>
          <w:sz w:val="18"/>
        </w:rPr>
        <w:t>https://pubmed.ncbi.nlm.nih.gov/42751818/</w:t>
      </w:r>
    </w:p>
    <w:p>
      <w:pPr>
        <w:pStyle w:val="Heading2"/>
      </w:pPr>
      <w:r>
        <w:t>Lernen zur Unterstützung von Klientenautonomie in Pflegepraktika</w:t>
      </w:r>
    </w:p>
    <w:p>
      <w:r>
        <w:rPr>
          <w:i/>
          <w:color w:val="666666"/>
          <w:sz w:val="18"/>
        </w:rPr>
        <w:t>Knibbeler MMCJ et al.  ·  Int J Nurs Stud Adv  ·  05.09.2026  ·  PMID 42751206</w:t>
      </w:r>
    </w:p>
    <w:p>
      <w:r>
        <w:t>Qualitative Studie aus Niederlanden zur Frage, wie Pflegestudierende während des klinischen Praktikums lernen, Klientenautonomie zu unterstützen.</w:t>
      </w:r>
    </w:p>
    <w:p>
      <w:r>
        <w:rPr>
          <w:b/>
        </w:rPr>
        <w:t xml:space="preserve">Ergebnis: </w:t>
      </w:r>
      <w:r>
        <w:t>Autonomieförderung war in der Praxis präsent aber inkonsistent; Betreuer interpretierten Autonomie oft als Selbstständigkeit statt Partizipation in Entscheidungen. Implizites Lernen durch Beobachtung dominierte; strukturierte Reflexion war selten. Supervision und Feedback durch Betreuer waren nicht systematisch.</w:t>
      </w:r>
    </w:p>
    <w:p>
      <w:r>
        <w:rPr>
          <w:b/>
          <w:sz w:val="19"/>
        </w:rPr>
        <w:t xml:space="preserve">Übertragbarkeit: </w:t>
      </w:r>
      <w:r>
        <w:rPr>
          <w:sz w:val="19"/>
        </w:rPr>
        <w:t>Niederlande, vergleichbares Pflegeausbildungssystem und Versorgungskontext</w:t>
      </w:r>
    </w:p>
    <w:p>
      <w:r>
        <w:rPr>
          <w:color w:val="5A7D3A"/>
          <w:sz w:val="18"/>
        </w:rPr>
        <w:t>https://pubmed.ncbi.nlm.nih.gov/42751206/</w:t>
      </w:r>
    </w:p>
    <w:p>
      <w:pPr>
        <w:pStyle w:val="Heading2"/>
      </w:pPr>
      <w:r>
        <w:t>Mundgesundheitspflege in Langzeiteinrichtungen: Barrieren und Enabler</w:t>
      </w:r>
    </w:p>
    <w:p>
      <w:r>
        <w:rPr>
          <w:i/>
          <w:color w:val="666666"/>
          <w:sz w:val="18"/>
        </w:rPr>
        <w:t>Spilsbury K et al.  ·  Int J Nurs Stud Adv  ·  13.08.2026  ·  PMID 42750939</w:t>
      </w:r>
    </w:p>
    <w:p>
      <w:r>
        <w:t>Britische Scoping Review zu Faktoren auf Mikro-, Meso- und Makroebene, die Mundgesundheitspflege durch Personal in Altenheimen beeinflussen.</w:t>
      </w:r>
    </w:p>
    <w:p>
      <w:r>
        <w:rPr>
          <w:b/>
        </w:rPr>
        <w:t xml:space="preserve">Ergebnis: </w:t>
      </w:r>
      <w:r>
        <w:t>63 Studien eingeschlossen. Häufigste Einflussfaktoren im COM-B-Modell waren Opportunity-Faktoren (Umgebung, Ressourcen, soziale Einflüsse). Wichtigste Enabler: Schulung, Mundgesundheitskampagnen, unterstützende Führung, Assessmentsysteme. Schlüsselbarrieren: Personalknappheit, Zeitdruck, begrenzte Schulung, niedrige organisationale Priorität, eingeschränkter Zugang zu Zahnservices.</w:t>
      </w:r>
    </w:p>
    <w:p>
      <w:r>
        <w:rPr>
          <w:b/>
          <w:sz w:val="19"/>
        </w:rPr>
        <w:t xml:space="preserve">Übertragbarkeit: </w:t>
      </w:r>
      <w:r>
        <w:rPr>
          <w:sz w:val="19"/>
        </w:rPr>
        <w:t>Großbritannien, Empfehlungen für Langzeitpflege in Deutschland direkt anwendbar</w:t>
      </w:r>
    </w:p>
    <w:p>
      <w:r>
        <w:rPr>
          <w:color w:val="5A7D3A"/>
          <w:sz w:val="18"/>
        </w:rPr>
        <w:t>https://pubmed.ncbi.nlm.nih.gov/42750939/</w:t>
      </w:r>
    </w:p>
    <w:p>
      <w:pPr>
        <w:pStyle w:val="Heading2"/>
      </w:pPr>
      <w:r>
        <w:t>Algorithmen zur Identifikation von HCBS in Medicaid-Claims</w:t>
      </w:r>
    </w:p>
    <w:p>
      <w:r>
        <w:rPr>
          <w:i/>
          <w:color w:val="666666"/>
          <w:sz w:val="18"/>
        </w:rPr>
        <w:t>Dihwa V et al.  ·  Health Serv Res  ·  Okt. 2026  ·  PMID 42750346</w:t>
      </w:r>
    </w:p>
    <w:p>
      <w:r>
        <w:t>US-Evaluationsstudie von drei Algorithmen zur Identifikation von Home- and Community-Based Services in Medicaid-Daten 2021–2023.</w:t>
      </w:r>
    </w:p>
    <w:p>
      <w:r>
        <w:rPr>
          <w:b/>
        </w:rPr>
        <w:t xml:space="preserve">Ergebnis: </w:t>
      </w:r>
      <w:r>
        <w:t>Zwei bestehende Algorithmen zeigten hohe Übereinstimmung (Po = 93 %, Kappa = 0,77). Ein neuer vereinheitlichter Algorithmus adressierte Diskrepanzen durch Novel-Nutzung von Waiver-IDs. Jedoch zeigten einige Bundesstaaten implausible Zählungen oder große Schwankungen über die Jahre (&gt;50 %), was auf Datenqualitätsprobleme hindeutet.</w:t>
      </w:r>
    </w:p>
    <w:p>
      <w:r>
        <w:rPr>
          <w:b/>
          <w:sz w:val="19"/>
        </w:rPr>
        <w:t xml:space="preserve">Übertragbarkeit: </w:t>
      </w:r>
      <w:r>
        <w:rPr>
          <w:sz w:val="19"/>
        </w:rPr>
        <w:t>USA - Datenqualitätsthematik systemunabhängig, aber nur bedingt auf Deutschland übertragbar</w:t>
      </w:r>
    </w:p>
    <w:p>
      <w:r>
        <w:rPr>
          <w:color w:val="5A7D3A"/>
          <w:sz w:val="18"/>
        </w:rPr>
        <w:t>https://pubmed.ncbi.nlm.nih.gov/42750346/</w:t>
      </w:r>
    </w:p>
    <w:p>
      <w:pPr>
        <w:pStyle w:val="Heading1"/>
      </w:pPr>
      <w:r>
        <w:t>Aufgenommen am 17.09.2026</w:t>
      </w:r>
    </w:p>
    <w:p>
      <w:pPr>
        <w:pStyle w:val="Heading2"/>
      </w:pPr>
      <w:r>
        <w:t>Chirurgische Behandlung von NSCLC in England: Trends, Variation und kurzfristige Ergebnisse 2015–2023</w:t>
      </w:r>
    </w:p>
    <w:p>
      <w:r>
        <w:rPr>
          <w:i/>
          <w:color w:val="666666"/>
          <w:sz w:val="18"/>
        </w:rPr>
        <w:t>Dixon LK et al.  ·  BMJ Open  ·  16.09.2026  ·  PMID 42749376</w:t>
      </w:r>
    </w:p>
    <w:p>
      <w:r>
        <w:t>Bevölkerungsgestützte Kohortenstudie zu Trends in der chirurgischen Praxis, regionalen Unterschieden und postoperativen Outcomes bei Lungenkrebs-Resektion in England über 9 Jahre.</w:t>
      </w:r>
    </w:p>
    <w:p>
      <w:r>
        <w:rPr>
          <w:b/>
        </w:rPr>
        <w:t xml:space="preserve">Ergebnis: </w:t>
      </w:r>
      <w:r>
        <w:t>Resektionsrate stieg von 15,4 % (2015) auf 20,9 % (2023); Segmentektomie von 11,2 % auf 20,6 %, minimal-invasive Chirurgie von 47,1 % auf 79,7 %; 90-Tage-Mortalität sank von 4,03 % auf 2,26 %; Verweildauer verkürzt sich, Wiederaufnahmen stabil bei ~10–12 % – jedoch erhebliche Zentren-Heterogenität in Segmentektomie (10,7–80,3 %) und roboterassistierter Chirurgie (0–67 %).</w:t>
      </w:r>
    </w:p>
    <w:p>
      <w:r>
        <w:rPr>
          <w:b/>
          <w:sz w:val="19"/>
        </w:rPr>
        <w:t xml:space="preserve">Übertragbarkeit: </w:t>
      </w:r>
      <w:r>
        <w:rPr>
          <w:sz w:val="19"/>
        </w:rPr>
        <w:t>England, spezialisierte Thoraxchirurgie-Zentren – systemischer Kontext nur bedingt übertragbar</w:t>
      </w:r>
    </w:p>
    <w:p>
      <w:r>
        <w:rPr>
          <w:color w:val="5A7D3A"/>
          <w:sz w:val="18"/>
        </w:rPr>
        <w:t>https://pubmed.ncbi.nlm.nih.gov/42749376/</w:t>
      </w:r>
    </w:p>
    <w:p>
      <w:pPr>
        <w:pStyle w:val="Heading2"/>
      </w:pPr>
      <w:r>
        <w:t>Hybrid-Telemedizin-Hausbesuch-Modell für Pneumonieversorung: Pilot-Fallserie aus Texas</w:t>
      </w:r>
    </w:p>
    <w:p>
      <w:r>
        <w:rPr>
          <w:i/>
          <w:color w:val="666666"/>
          <w:sz w:val="18"/>
        </w:rPr>
        <w:t>Bourmand R et al.  ·  JMIR Form Res  ·  16.09.2026  ·  PMID 42748457</w:t>
      </w:r>
    </w:p>
    <w:p>
      <w:r>
        <w:t>Retrospektive deskriptive Fallserie (n=28 Patienten mit Pneumoniediagnose) zur Implementierbarkeit und Nutzungsmuster eines Hybrid-Modells aus virtueller ärztlicher Bewertung und trainierter Fachperson im Hausbesuch mit digitalen Diagnostik-Tools.</w:t>
      </w:r>
    </w:p>
    <w:p>
      <w:r>
        <w:rPr>
          <w:b/>
        </w:rPr>
        <w:t xml:space="preserve">Ergebnis: </w:t>
      </w:r>
      <w:r>
        <w:t>28 Patienten mit 56 klinischen Kontakten (Median 2, IQR 1–3 pro Patient); CRB-65-Scores 0–2 (46,4 % Score 0, 46,4 % Score 1, 7,1 % Score 2); 8/28 (28,6 %) zur ED überwiesen; Patienten zur ED überwiesen hatten signifikant höhere CRB-65-Scores (Median 1, IQR 1–1,5 vs. Median 0, IQR 0–1; p=0,01); Modell machbar, aber größere prospektive Vergleichsstudien für Outcomes/Sicherheit erforderlich.</w:t>
      </w:r>
    </w:p>
    <w:p>
      <w:r>
        <w:rPr>
          <w:b/>
          <w:sz w:val="19"/>
        </w:rPr>
        <w:t xml:space="preserve">Übertragbarkeit: </w:t>
      </w:r>
      <w:r>
        <w:rPr>
          <w:sz w:val="19"/>
        </w:rPr>
        <w:t>USA – Fragestellung zur Versorgungsmodellintegration systemunabhängig, aber Kontext Urgent Care begrenzt übertragbar</w:t>
      </w:r>
    </w:p>
    <w:p>
      <w:r>
        <w:rPr>
          <w:color w:val="5A7D3A"/>
          <w:sz w:val="18"/>
        </w:rPr>
        <w:t>https://pubmed.ncbi.nlm.nih.gov/42748457/</w:t>
      </w:r>
    </w:p>
    <w:p>
      <w:pPr>
        <w:pStyle w:val="Heading2"/>
      </w:pPr>
      <w:r>
        <w:t>Elektronische Arzneihinweise verbessern Überweisungen zu Diabetes-Selbstmanagement-Schulung</w:t>
      </w:r>
    </w:p>
    <w:p>
      <w:r>
        <w:rPr>
          <w:i/>
          <w:color w:val="666666"/>
          <w:sz w:val="18"/>
        </w:rPr>
        <w:t>Donahue KE et al.  ·  Diabetes Care  ·  16.09.2026  ·  PMID 42747941</w:t>
      </w:r>
    </w:p>
    <w:p>
      <w:r>
        <w:t>Clusterrandomisierte Studie zur Wirkung von Best-Practice-Advisories im EHR auf Überweisungsquoten zu Diabetes-Selbstmanagement-Schulung (DSMES) über 18 Monate in US-Primärversorgung.</w:t>
      </w:r>
    </w:p>
    <w:p>
      <w:r>
        <w:rPr>
          <w:b/>
        </w:rPr>
        <w:t xml:space="preserve">Ergebnis: </w:t>
      </w:r>
      <w:r>
        <w:t>Nach 12 Monaten: 12,9 % Überweisungsrate in Interventionskliniken vs. 1,2 % in Kontrollen (p&lt;0,001); nach 18 Monaten 13,7 % vs. 1,6 % (p&lt;0,001); adjustierte Odds Ratio 10,55 (95%-KI 4,65–23,94) nach 12 Monaten und 9,44 (95%-KI 4,91–18,17) nach 18 Monaten. Standing Orders erhielten diese Gewinne.</w:t>
      </w:r>
    </w:p>
    <w:p>
      <w:r>
        <w:rPr>
          <w:b/>
          <w:sz w:val="19"/>
        </w:rPr>
        <w:t xml:space="preserve">Übertragbarkeit: </w:t>
      </w:r>
      <w:r>
        <w:rPr>
          <w:sz w:val="19"/>
        </w:rPr>
        <w:t>USA, Primärversorgung – Prozessoptimierung systemunabhängig, aber Anreizsystem unterschiedlich</w:t>
      </w:r>
    </w:p>
    <w:p>
      <w:r>
        <w:rPr>
          <w:color w:val="5A7D3A"/>
          <w:sz w:val="18"/>
        </w:rPr>
        <w:t>https://pubmed.ncbi.nlm.nih.gov/42747941/</w:t>
      </w:r>
    </w:p>
    <w:p>
      <w:pPr>
        <w:pStyle w:val="Heading2"/>
      </w:pPr>
      <w:r>
        <w:t>Mehrebenen-Mehrfach-Fallstudie: Methodik zur Analyse komplexer Versorgungstrajektorien älterer Menschen</w:t>
      </w:r>
    </w:p>
    <w:p>
      <w:r>
        <w:rPr>
          <w:i/>
          <w:color w:val="666666"/>
          <w:sz w:val="18"/>
        </w:rPr>
        <w:t>Dieterich A et al.  ·  Z Gerontol Geriatr  ·  16.09.2026  ·  PMID 42747513</w:t>
      </w:r>
    </w:p>
    <w:p>
      <w:r>
        <w:t>Methodisches Diskussionspapier zur Anwendung von Mehrebenen-Mehrfach-Fallstudien als Forschungsdesign zur empirischen Rekonstruktion komplexer Hilfeverläufe in sektorenübergreifender Versorgung für ältere Menschen.</w:t>
      </w:r>
    </w:p>
    <w:p>
      <w:r>
        <w:rPr>
          <w:b/>
        </w:rPr>
        <w:t xml:space="preserve">Ergebnis: </w:t>
      </w:r>
      <w:r>
        <w:t>Fallkonstellationen auf Mikro- (Interaktion Betroffener, professionelle und informelle Helfer), Meso- (Organisationen, Netzwerke) und Makroebene (Rahmenbedingungen) systematisch verknüpft; Methodenkombination (Interviews, Dokumenten-, Sozialraum-, Netzwerkanalysen, reflexive thematische Analyse) ermöglicht kontextabhängige Bedingungen von Versorgung zu identifizieren; Design eröffnet neue Möglichkeiten für Versorgungsforschung, stellt aber hohe Anforderungen an Feldzugang, Datenintegration und Forschungsethik.</w:t>
      </w:r>
    </w:p>
    <w:p>
      <w:r>
        <w:rPr>
          <w:b/>
          <w:sz w:val="19"/>
        </w:rPr>
        <w:t xml:space="preserve">Übertragbarkeit: </w:t>
      </w:r>
      <w:r>
        <w:rPr>
          <w:sz w:val="19"/>
        </w:rPr>
        <w:t>Deutschland, Versorgungsforschung – direkt anwendbare Methodik für sektorenübergreifende Versorgungsanalyse</w:t>
      </w:r>
    </w:p>
    <w:p>
      <w:r>
        <w:rPr>
          <w:color w:val="5A7D3A"/>
          <w:sz w:val="18"/>
        </w:rPr>
        <w:t>https://pubmed.ncbi.nlm.nih.gov/42747513/</w:t>
      </w:r>
    </w:p>
    <w:p>
      <w:pPr>
        <w:pStyle w:val="Heading2"/>
      </w:pPr>
      <w:r>
        <w:t>Zusammenarbeit und Partizipation in integrierter Versorgung: Sicht von Managern mit komplexen Bedarf</w:t>
      </w:r>
    </w:p>
    <w:p>
      <w:r>
        <w:rPr>
          <w:i/>
          <w:color w:val="666666"/>
          <w:sz w:val="18"/>
        </w:rPr>
        <w:t>Hjelm M et al.  ·  BMC Health Serv Res  ·  12.09.2026  ·  PMID 42745286</w:t>
      </w:r>
    </w:p>
    <w:p>
      <w:r>
        <w:t>Qualitative Fokusgruppenstudie (n=13 Manager) zu Barrieren und Facilitatoren interprofessioneller Zusammenarbeit und Patientenbeteiligung in integrierter Gesundheits- und Sozialversorgung für Erwachsene mit komplexen Bedarfen in Schweden.</w:t>
      </w:r>
    </w:p>
    <w:p>
      <w:r>
        <w:rPr>
          <w:b/>
        </w:rPr>
        <w:t xml:space="preserve">Ergebnis: </w:t>
      </w:r>
      <w:r>
        <w:t>Drei zentrale Kategorien identifiziert: (1) organisatorische Voraussetzungen für nachhaltige Verbesserung integrierter Versorgung, (2) interprofessionelle Zusammenarbeit zur Bedarfserfassung, (3) relationale und bedarfsgerechte Ansätze; Kluft zwischen Intention und Implementierung von personenzentrierter, integrierter Versorgung erkannt; Vertrauen, klare Governance und organisatorische Kontinuität als Schlüsselfaktoren.</w:t>
      </w:r>
    </w:p>
    <w:p>
      <w:r>
        <w:rPr>
          <w:b/>
          <w:sz w:val="19"/>
        </w:rPr>
        <w:t xml:space="preserve">Übertragbarkeit: </w:t>
      </w:r>
      <w:r>
        <w:rPr>
          <w:sz w:val="19"/>
        </w:rPr>
        <w:t>Schweden – Primärversorgung und Koordinationsprozesse gut übertragbar auf Deutschland</w:t>
      </w:r>
    </w:p>
    <w:p>
      <w:r>
        <w:rPr>
          <w:color w:val="5A7D3A"/>
          <w:sz w:val="18"/>
        </w:rPr>
        <w:t>https://pubmed.ncbi.nlm.nih.gov/42745286/</w:t>
      </w:r>
    </w:p>
    <w:p>
      <w:pPr>
        <w:pStyle w:val="Heading2"/>
      </w:pPr>
      <w:r>
        <w:t>Lungenkrebs-Screening in Flandern: Barrieren und Facilitatoren aus Stakeholder-Perspektive</w:t>
      </w:r>
    </w:p>
    <w:p>
      <w:r>
        <w:rPr>
          <w:i/>
          <w:color w:val="666666"/>
          <w:sz w:val="18"/>
        </w:rPr>
        <w:t>Michiels L et al.  ·  BMC Health Serv Res  ·  31.08.2026  ·  PMID 42745254</w:t>
      </w:r>
    </w:p>
    <w:p>
      <w:r>
        <w:t>Qualitative exploratorische Studie (22 Gesundheitsfachpersonen, 13 Screening-Berechtigte) zu Implementierungs- und Partizipationsbarrieren sowie Facilitatoren für bevölkerungsgestütztes Lungenkrebs-Screening mit Niedrig-Dosis-CT in Belgien.</w:t>
      </w:r>
    </w:p>
    <w:p>
      <w:r>
        <w:rPr>
          <w:b/>
        </w:rPr>
        <w:t xml:space="preserve">Ergebnis: </w:t>
      </w:r>
      <w:r>
        <w:t>Überwiegend positive Einstellung zum Screening, aber Barrieren: Stigma bezüglich Rauchen, begrenzte Gesundheitskompetenz, indirekte finanzielle/logistische Hindernisse, Angst vor Screening und Warten auf Ergebnisse, Workload-Bedenken, Schulungsbedarf bei Fachpersonen; Facilitatoren: klare Richtlinien, staatliche Koordination/Finanzierung, Integration in Workflows, Zugänglichkeit, public awareness, vertrauensbasierte Kommunikation ohne Wertung.</w:t>
      </w:r>
    </w:p>
    <w:p>
      <w:r>
        <w:rPr>
          <w:b/>
          <w:sz w:val="19"/>
        </w:rPr>
        <w:t xml:space="preserve">Übertragbarkeit: </w:t>
      </w:r>
      <w:r>
        <w:rPr>
          <w:sz w:val="19"/>
        </w:rPr>
        <w:t>Belgien, vergleichbares Sozialversicherungssystem mit ähnlichen Implementierungshürden</w:t>
      </w:r>
    </w:p>
    <w:p>
      <w:r>
        <w:rPr>
          <w:color w:val="5A7D3A"/>
          <w:sz w:val="18"/>
        </w:rPr>
        <w:t>https://pubmed.ncbi.nlm.nih.gov/42745254/</w:t>
      </w:r>
    </w:p>
    <w:p>
      <w:pPr>
        <w:pStyle w:val="Heading2"/>
      </w:pPr>
      <w:r>
        <w:t>Digitale Versorgungstechnologien für ältere Menschen: Anforderungen für Erfahrung als gute Versorgung</w:t>
      </w:r>
    </w:p>
    <w:p>
      <w:r>
        <w:rPr>
          <w:i/>
          <w:color w:val="666666"/>
          <w:sz w:val="18"/>
        </w:rPr>
        <w:t>Kruithof K et al.  ·  BMC Health Serv Res  ·  05.08.2026  ·  PMID 42745252</w:t>
      </w:r>
    </w:p>
    <w:p>
      <w:r>
        <w:t>Qualitative Studie (n=27 wohnhaft lebende ältere Menschen) zu Bedingungen, unter denen digitale Pflege- und Unterstützungstechnologien von älteren Menschen als gute Versorgung wahrgenommen werden.</w:t>
      </w:r>
    </w:p>
    <w:p>
      <w:r>
        <w:rPr>
          <w:b/>
        </w:rPr>
        <w:t xml:space="preserve">Ergebnis: </w:t>
      </w:r>
      <w:r>
        <w:t>Technologien als gute Versorgung erlebt, wenn sie (1) Bedarf und Gewohnheiten entsprechen, (2) Fähigkeiten unterstützen, (3) Werte respektieren; aktive Rolle bei Technologiewahl assoziiert mit Altern-in-place und verbesserter Zugänglichkeit/Sicherheit/Autonomie; von Betreuerseite eingeführte Technologien oft als unnötig wahrgenommen und nicht genutzt; Technologien können reduziertem menschlichem Kontakt und Zugänglichkeitsmängeln schaden.</w:t>
      </w:r>
    </w:p>
    <w:p>
      <w:r>
        <w:rPr>
          <w:b/>
          <w:sz w:val="19"/>
        </w:rPr>
        <w:t xml:space="preserve">Übertragbarkeit: </w:t>
      </w:r>
      <w:r>
        <w:rPr>
          <w:sz w:val="19"/>
        </w:rPr>
        <w:t>Niederlande, ähnliches Gesundheitssystem – Implementierung digitaler Lösungen systemunabhängig</w:t>
      </w:r>
    </w:p>
    <w:p>
      <w:r>
        <w:rPr>
          <w:color w:val="5A7D3A"/>
          <w:sz w:val="18"/>
        </w:rPr>
        <w:t>https://pubmed.ncbi.nlm.nih.gov/42745252/</w:t>
      </w:r>
    </w:p>
    <w:p>
      <w:pPr>
        <w:pStyle w:val="Heading1"/>
      </w:pPr>
      <w:r>
        <w:t>Aufgenommen am 16.09.2026</w:t>
      </w:r>
    </w:p>
    <w:p>
      <w:pPr>
        <w:pStyle w:val="Heading2"/>
      </w:pPr>
      <w:r>
        <w:t>Pragmatisches Vorhersagemodell für Asthma-Klinikreadmissionen</w:t>
      </w:r>
    </w:p>
    <w:p>
      <w:r>
        <w:rPr>
          <w:i/>
          <w:color w:val="666666"/>
          <w:sz w:val="18"/>
        </w:rPr>
        <w:t>Tay TR et al.  ·  Respir Med  ·  15.09.2026  ·  PMID 42744205</w:t>
      </w:r>
    </w:p>
    <w:p>
      <w:r>
        <w:t>Entwicklung und externe Validierung eines neunfaktoriellen Vorhersagemodells für Krankenhauswiederaufnahmen nach Asthmaexazerbation innerhalb von 12 Monaten.</w:t>
      </w:r>
    </w:p>
    <w:p>
      <w:r>
        <w:rPr>
          <w:b/>
        </w:rPr>
        <w:t xml:space="preserve">Ergebnis: </w:t>
      </w:r>
      <w:r>
        <w:t>READMIT-Modell zeigte gute Diskriminierung im Entwicklungs-(AUC 0,748; 95% KI 0,711–0,785) und externen Kohort (AUC 0,737; 95% KI 0,712–0,762), mit zufriedenstellender Kalibrierung.</w:t>
      </w:r>
    </w:p>
    <w:p>
      <w:r>
        <w:rPr>
          <w:b/>
          <w:sz w:val="19"/>
        </w:rPr>
        <w:t xml:space="preserve">Übertragbarkeit: </w:t>
      </w:r>
      <w:r>
        <w:rPr>
          <w:sz w:val="19"/>
        </w:rPr>
        <w:t>Singapur-Daten, aber Fragestellung zu klinischen Prozessen systemunabhängig</w:t>
      </w:r>
    </w:p>
    <w:p>
      <w:r>
        <w:rPr>
          <w:color w:val="5A7D3A"/>
          <w:sz w:val="18"/>
        </w:rPr>
        <w:t>https://pubmed.ncbi.nlm.nih.gov/42744205/</w:t>
      </w:r>
    </w:p>
    <w:p>
      <w:pPr>
        <w:pStyle w:val="Heading2"/>
      </w:pPr>
      <w:r>
        <w:t>Buprenorphin-Verordnungen nach Einführung eines niedrigschwelligen virtuellen Netzwerks</w:t>
      </w:r>
    </w:p>
    <w:p>
      <w:r>
        <w:rPr>
          <w:i/>
          <w:color w:val="666666"/>
          <w:sz w:val="18"/>
        </w:rPr>
        <w:t>Lindenfeld Z et al.  ·  J Subst Use Addict Treat  ·  15.09.2026  ·  PMID 42744115</w:t>
      </w:r>
    </w:p>
    <w:p>
      <w:r>
        <w:t>Analyse der Auswirkungen eines kommunalen Rapid-Access-Modells (RealFix) mit virtuellen Anbietern auf die Buprenorphin-Verschreibungen in Paterson, New Jersey, mittels Differenzen-in-Differenzen-Analyse (2021–2025).</w:t>
      </w:r>
    </w:p>
    <w:p>
      <w:r>
        <w:rPr>
          <w:b/>
        </w:rPr>
        <w:t xml:space="preserve">Ergebnis: </w:t>
      </w:r>
      <w:r>
        <w:t>RealFix war mit Zunahmen von 66,5–76,8 Buprenorphin-Rezepten pro 10.000 Einwohner monatlich verbunden (14,6–17,0% Anstieg über Kontrollgruppen hinaus); Retentionseffekte waren gemischt.</w:t>
      </w:r>
    </w:p>
    <w:p>
      <w:r>
        <w:rPr>
          <w:b/>
          <w:sz w:val="19"/>
        </w:rPr>
        <w:t xml:space="preserve">Übertragbarkeit: </w:t>
      </w:r>
      <w:r>
        <w:rPr>
          <w:sz w:val="19"/>
        </w:rPr>
        <w:t>USA (Medicaid)-Daten, aber Fragestellung zu niedrigschwelliger Zugangssteuerung auf andere Systeme übertragbar</w:t>
      </w:r>
    </w:p>
    <w:p>
      <w:r>
        <w:rPr>
          <w:color w:val="5A7D3A"/>
          <w:sz w:val="18"/>
        </w:rPr>
        <w:t>https://pubmed.ncbi.nlm.nih.gov/42744115/</w:t>
      </w:r>
    </w:p>
    <w:p>
      <w:pPr>
        <w:pStyle w:val="Heading2"/>
      </w:pPr>
      <w:r>
        <w:t>Routinedaten in der onkologischen Versorgungsforschung: Chancen und Herausforderungen</w:t>
      </w:r>
    </w:p>
    <w:p>
      <w:r>
        <w:rPr>
          <w:i/>
          <w:color w:val="666666"/>
          <w:sz w:val="18"/>
        </w:rPr>
        <w:t>Kästner A et al.  ·  Gesundheitswesen  ·  15.09.2026  ·  PMID 42743977</w:t>
      </w:r>
    </w:p>
    <w:p>
      <w:r>
        <w:t>Qualitative Analyse praktischer Erfahrungen mit Krebsregisterdaten und Abrechnungsdaten von Krankenkassen für Versorgungsforschung am Beispiel eines Innovationsfonds-Projekts.</w:t>
      </w:r>
    </w:p>
    <w:p>
      <w:r>
        <w:rPr>
          <w:b/>
        </w:rPr>
        <w:t xml:space="preserve">Ergebnis: </w:t>
      </w:r>
      <w:r>
        <w:t>Verlinkung von Krebsregistern und Abrechnungsdaten ermöglicht umfassende Analysen von Langzeitoutcomes und Versorgungsstrukturen, erfordert jedoch zeitintensive Abstimmungs- und Genehmigungsprozesse sowie spezialisierte methodische Expertise.</w:t>
      </w:r>
    </w:p>
    <w:p>
      <w:r>
        <w:rPr>
          <w:b/>
          <w:sz w:val="19"/>
        </w:rPr>
        <w:t xml:space="preserve">Übertragbarkeit: </w:t>
      </w:r>
      <w:r>
        <w:rPr>
          <w:sz w:val="19"/>
        </w:rPr>
        <w:t>Deutsches Gesundheitssystem, Krebsregister nach §65c SGB V und gesetzliche Krankenkassen</w:t>
      </w:r>
    </w:p>
    <w:p>
      <w:r>
        <w:rPr>
          <w:color w:val="5A7D3A"/>
          <w:sz w:val="18"/>
        </w:rPr>
        <w:t>https://pubmed.ncbi.nlm.nih.gov/42743977/</w:t>
      </w:r>
    </w:p>
    <w:p>
      <w:pPr>
        <w:pStyle w:val="Heading2"/>
      </w:pPr>
      <w:r>
        <w:t>Präferenzen für dezentrale ophthalmologische Kliniken: Diskrete-Wahl-Experiment im UK</w:t>
      </w:r>
    </w:p>
    <w:p>
      <w:r>
        <w:rPr>
          <w:i/>
          <w:color w:val="666666"/>
          <w:sz w:val="18"/>
        </w:rPr>
        <w:t>Ndwandwe S et al.  ·  PLoS One  ·  15.09.2026  ·  PMID 42743352</w:t>
      </w:r>
    </w:p>
    <w:p>
      <w:r>
        <w:t>Diskrete-Wahl-Experiment mit 389 Befragten (Patienten, Fachkräfte, Öffentlichkeit) zu Präferenzen für Merkmale einer techniker-geleiteten asynchronen Augenklinik zur Überwachung chronischer Augenerkrankungen.</w:t>
      </w:r>
    </w:p>
    <w:p>
      <w:r>
        <w:rPr>
          <w:b/>
        </w:rPr>
        <w:t xml:space="preserve">Ergebnis: </w:t>
      </w:r>
      <w:r>
        <w:t>Wer einen Techniker statt Kliniker sah und Ergebnisse per Post erhielt, benötigte Reduktion der Terminverzögerung um 6,27 Monate (95% KI 4,52–8,03) oder Fahrtzeit um 153 Minuten (95% KI 88–219); techniker-geleitete Modelle könnten kliniker-geleitete Services ergänzen, wenn sie Verzögerungen verkürzen.</w:t>
      </w:r>
    </w:p>
    <w:p>
      <w:r>
        <w:rPr>
          <w:b/>
          <w:sz w:val="19"/>
        </w:rPr>
        <w:t xml:space="preserve">Übertragbarkeit: </w:t>
      </w:r>
      <w:r>
        <w:rPr>
          <w:sz w:val="19"/>
        </w:rPr>
        <w:t>UK NHS-System, teilweise übertragbar auf dezentrale Versorgungsmodelle in Deutschland</w:t>
      </w:r>
    </w:p>
    <w:p>
      <w:r>
        <w:rPr>
          <w:color w:val="5A7D3A"/>
          <w:sz w:val="18"/>
        </w:rPr>
        <w:t>https://pubmed.ncbi.nlm.nih.gov/42743352/</w:t>
      </w:r>
    </w:p>
    <w:p>
      <w:pPr>
        <w:pStyle w:val="Heading2"/>
      </w:pPr>
      <w:r>
        <w:t>Psychische Belastung von Gesundheitsfachkräften in der COVID-19-Pandemie</w:t>
      </w:r>
    </w:p>
    <w:p>
      <w:r>
        <w:rPr>
          <w:i/>
          <w:color w:val="666666"/>
          <w:sz w:val="18"/>
        </w:rPr>
        <w:t>Peters C et al.  ·  Front Public Health  ·  31.08.2026  ·  PMID 42741285</w:t>
      </w:r>
    </w:p>
    <w:p>
      <w:r>
        <w:t>Querschnittstudie zu Arbeitsbedingungen und psychischer Gesundheit von 576 Beschäftigten in deutschen Gesundheits- und Sozialeinrichtungen während COVID-19.</w:t>
      </w:r>
    </w:p>
    <w:p>
      <w:r>
        <w:rPr>
          <w:b/>
        </w:rPr>
        <w:t xml:space="preserve">Ergebnis: </w:t>
      </w:r>
      <w:r>
        <w:t>59% waren Gesundheitsfachkräfte; diese berichteten schlechtere Arbeitsfähigkeit (6,9 vs. 7,3), höhere emotionale Belastung und depressive Symptome; ca. ein Fünftel zeigte moderate bis schwere psychische Belastung.</w:t>
      </w:r>
    </w:p>
    <w:p>
      <w:r>
        <w:rPr>
          <w:b/>
          <w:sz w:val="19"/>
        </w:rPr>
        <w:t xml:space="preserve">Übertragbarkeit: </w:t>
      </w:r>
      <w:r>
        <w:rPr>
          <w:sz w:val="19"/>
        </w:rPr>
        <w:t>Deutsche Routinedaten, Studie in Deutschland durchgeführt</w:t>
      </w:r>
    </w:p>
    <w:p>
      <w:r>
        <w:rPr>
          <w:color w:val="5A7D3A"/>
          <w:sz w:val="18"/>
        </w:rPr>
        <w:t>https://pubmed.ncbi.nlm.nih.gov/42741285/</w:t>
      </w:r>
    </w:p>
    <w:p>
      <w:pPr>
        <w:pStyle w:val="Heading2"/>
      </w:pPr>
      <w:r>
        <w:t>Zugang zur elektronischen Patientenakte über Krankenversicherer-Apps in Deutschland</w:t>
      </w:r>
    </w:p>
    <w:p>
      <w:r>
        <w:rPr>
          <w:i/>
          <w:color w:val="666666"/>
          <w:sz w:val="18"/>
        </w:rPr>
        <w:t>May S et al.  ·  JMIR Mhealth Uhealth  ·  14.09.2026  ·  PMID 42735900</w:t>
      </w:r>
    </w:p>
    <w:p>
      <w:r>
        <w:t>Qualitative Interviewstudie mit 23 Personen zu Nutzererfahrungen beim Einrichten und Authentifizieren des Zugangs zur ePA durch Versicherer-Apps.</w:t>
      </w:r>
    </w:p>
    <w:p>
      <w:r>
        <w:rPr>
          <w:b/>
        </w:rPr>
        <w:t xml:space="preserve">Ergebnis: </w:t>
      </w:r>
      <w:r>
        <w:t>Zugang besteht nicht aus einem einzelnen Schritt, sondern aus fünf interdependenten Phasen (Orientierung, technischer Zugang, Verifizierung, Unterbrechungen, initiale Nutzung); Barrieren akkumulieren sich über Phasen hinweg und führen zu wiederholten Versuchen.</w:t>
      </w:r>
    </w:p>
    <w:p>
      <w:r>
        <w:rPr>
          <w:b/>
          <w:sz w:val="19"/>
        </w:rPr>
        <w:t xml:space="preserve">Übertragbarkeit: </w:t>
      </w:r>
      <w:r>
        <w:rPr>
          <w:sz w:val="19"/>
        </w:rPr>
        <w:t>Deutsche Routinedaten und ePA-Implementierung, direkt für deutsches System anwendbar</w:t>
      </w:r>
    </w:p>
    <w:p>
      <w:r>
        <w:rPr>
          <w:color w:val="5A7D3A"/>
          <w:sz w:val="18"/>
        </w:rPr>
        <w:t>https://pubmed.ncbi.nlm.nih.gov/42735900/</w:t>
      </w:r>
    </w:p>
    <w:p>
      <w:pPr>
        <w:pStyle w:val="Heading1"/>
      </w:pPr>
      <w:r>
        <w:t>Aufgenommen am 15.09.2026</w:t>
      </w:r>
    </w:p>
    <w:p>
      <w:pPr>
        <w:pStyle w:val="Heading2"/>
      </w:pPr>
      <w:r>
        <w:t>Design-Richtlinien für Online-Gesundheitsforen</w:t>
      </w:r>
    </w:p>
    <w:p>
      <w:r>
        <w:rPr>
          <w:i/>
          <w:color w:val="666666"/>
          <w:sz w:val="18"/>
        </w:rPr>
        <w:t>Marshall P et al.  ·  J Med Internet Res  ·  14.09.2026  ·  PMID 42735377</w:t>
      </w:r>
    </w:p>
    <w:p>
      <w:r>
        <w:t>Qualitative Studie mit 54 Interviews und Workshops zur Entwicklung evidenzgestützter Designrichtlinien für sichere Online-Gesundheitsforen basierend auf Selbstbestimmungstheorie.</w:t>
      </w:r>
    </w:p>
    <w:p>
      <w:r>
        <w:rPr>
          <w:b/>
        </w:rPr>
        <w:t xml:space="preserve">Ergebnis: </w:t>
      </w:r>
      <w:r>
        <w:t>Vier übergeordnete Designprinzipien identifiziert (Autonomie, Kompetenz, Zugehörigkeit, Sicherheit) mit pragmatischen Umsetzungsstrategien; Ergebnisse zeigen gemischte Nutzererfahrungen und Bedarf für nutzerzentrierte Weiterentwicklung.</w:t>
      </w:r>
    </w:p>
    <w:p>
      <w:r>
        <w:rPr>
          <w:b/>
          <w:sz w:val="19"/>
        </w:rPr>
        <w:t xml:space="preserve">Übertragbarkeit: </w:t>
      </w:r>
      <w:r>
        <w:rPr>
          <w:sz w:val="19"/>
        </w:rPr>
        <w:t>UK-Studie, aber Fragestellung zu Prozessqualität und Nutzerperspektive systemunabhängig übertragbar.</w:t>
      </w:r>
    </w:p>
    <w:p>
      <w:r>
        <w:rPr>
          <w:color w:val="5A7D3A"/>
          <w:sz w:val="18"/>
        </w:rPr>
        <w:t>https://pubmed.ncbi.nlm.nih.gov/42735377/</w:t>
      </w:r>
    </w:p>
    <w:p>
      <w:pPr>
        <w:pStyle w:val="Heading2"/>
      </w:pPr>
      <w:r>
        <w:t>Hepatitis-B-Disparitäten bei Migranten in Dänemark</w:t>
      </w:r>
    </w:p>
    <w:p>
      <w:r>
        <w:rPr>
          <w:i/>
          <w:color w:val="666666"/>
          <w:sz w:val="18"/>
        </w:rPr>
        <w:t>Deal A et al.  ·  Eur J Public Health  ·  04.08.2026  ·  PMID 42734651</w:t>
      </w:r>
    </w:p>
    <w:p>
      <w:r>
        <w:t>Matched-Cohort-Studie mit 179.110 Migranten und 1.049.345 Dänen über 23 Jahre zur Erfassung von HBV-Diagnoseraten und Verzögerungen.</w:t>
      </w:r>
    </w:p>
    <w:p>
      <w:r>
        <w:rPr>
          <w:b/>
        </w:rPr>
        <w:t xml:space="preserve">Ergebnis: </w:t>
      </w:r>
      <w:r>
        <w:t>Migranten zeigten 30,6-fach erhöhtes HBV-Diagnosrisiko (95%-KI: 26,7–35,2); durchschnittliche Verzögerung von Ankunft bis Diagnose 5,4 Jahre; Unterversorgung bei Personen außerhalb routinemäßiger Screening-Prozesse.</w:t>
      </w:r>
    </w:p>
    <w:p>
      <w:r>
        <w:rPr>
          <w:b/>
          <w:sz w:val="19"/>
        </w:rPr>
        <w:t xml:space="preserve">Übertragbarkeit: </w:t>
      </w:r>
      <w:r>
        <w:rPr>
          <w:sz w:val="19"/>
        </w:rPr>
        <w:t>Dänemark, Sozialversicherungssystem vergleichbar mit Deutschland, aussagekräftig für Migrantenpopulationen.</w:t>
      </w:r>
    </w:p>
    <w:p>
      <w:r>
        <w:rPr>
          <w:color w:val="5A7D3A"/>
          <w:sz w:val="18"/>
        </w:rPr>
        <w:t>https://pubmed.ncbi.nlm.nih.gov/42734651/</w:t>
      </w:r>
    </w:p>
    <w:p>
      <w:pPr>
        <w:pStyle w:val="Heading2"/>
      </w:pPr>
      <w:r>
        <w:t>Indirekte Effektivitätsvergleich Tafamidis vs. Acoramidis bei Transthyretin-Kardiomyopathie</w:t>
      </w:r>
    </w:p>
    <w:p>
      <w:r>
        <w:rPr>
          <w:i/>
          <w:color w:val="666666"/>
          <w:sz w:val="18"/>
        </w:rPr>
        <w:t>Debonnaire P et al.  ·  J Comp Eff Res  ·  14.09.2026  ·  PMID 42734113</w:t>
      </w:r>
    </w:p>
    <w:p>
      <w:r>
        <w:t>Trial-Emulation-Studie mit indirektem Vergleich zweier Transthyretin-Stabilisatoren basierend auf Registerdaten und klinischen Trials.</w:t>
      </w:r>
    </w:p>
    <w:p>
      <w:r>
        <w:rPr>
          <w:b/>
        </w:rPr>
        <w:t xml:space="preserve">Ergebnis: </w:t>
      </w:r>
      <w:r>
        <w:t>Nach Kalibrierung zeigte Acoramidis eine 42-Monats-Mortalitätsrate von 24,0% versus kalibrierte 31,2% für Tafamidis; relatives Mortalitätsrisiko 0,78 (95%-KI: 0,60–0,99), was auf 22% niedrigeres Sterblichkeitsrisiko deutet.</w:t>
      </w:r>
    </w:p>
    <w:p>
      <w:r>
        <w:rPr>
          <w:b/>
          <w:sz w:val="19"/>
        </w:rPr>
        <w:t xml:space="preserve">Übertragbarkeit: </w:t>
      </w:r>
      <w:r>
        <w:rPr>
          <w:sz w:val="19"/>
        </w:rPr>
        <w:t>Gering: US-Registerdaten; aber Fragestellung zur Vergleichbarkeit von Wirkstoffen systemunabhängig relevant.</w:t>
      </w:r>
    </w:p>
    <w:p>
      <w:r>
        <w:rPr>
          <w:color w:val="5A7D3A"/>
          <w:sz w:val="18"/>
        </w:rPr>
        <w:t>https://pubmed.ncbi.nlm.nih.gov/42734113/</w:t>
      </w:r>
    </w:p>
    <w:p>
      <w:pPr>
        <w:pStyle w:val="Heading2"/>
      </w:pPr>
      <w:r>
        <w:t>SESAME-Checkliste für Adverse-Event- und Fehlerberichterstattung</w:t>
      </w:r>
    </w:p>
    <w:p>
      <w:r>
        <w:rPr>
          <w:i/>
          <w:color w:val="666666"/>
          <w:sz w:val="18"/>
        </w:rPr>
        <w:t>Griffey RT et al.  ·  J Patient Saf  ·  11.09.2026  ·  PMID 42725452</w:t>
      </w:r>
    </w:p>
    <w:p>
      <w:r>
        <w:t>Methodisches Konsensuspapier zur Entwicklung einer 44-Item-Checkliste (SESAME) zur Standardisierung der Berichterstattung in Studien zu unerwünschten Ereignissen und medizinischen Fehlern.</w:t>
      </w:r>
    </w:p>
    <w:p>
      <w:r>
        <w:rPr>
          <w:b/>
        </w:rPr>
        <w:t xml:space="preserve">Ergebnis: </w:t>
      </w:r>
      <w:r>
        <w:t>SESAME-Checkliste mit 44 Items deckt alle kritischen Reporting-Domänen ab; Ziel ist Verbesserung der Vollständigkeit, Vergleichbarkeit und Reproduzierbarkeit; Entwicklung nach EQUATOR-Standards mit internationalem Expertenkonsens.</w:t>
      </w:r>
    </w:p>
    <w:p>
      <w:r>
        <w:rPr>
          <w:b/>
          <w:sz w:val="19"/>
        </w:rPr>
        <w:t xml:space="preserve">Übertragbarkeit: </w:t>
      </w:r>
      <w:r>
        <w:rPr>
          <w:sz w:val="19"/>
        </w:rPr>
        <w:t>Internationales Konsensdokument zur Studienqualität, systemunabhängig für Patientensicherheitsforschung relevant.</w:t>
      </w:r>
    </w:p>
    <w:p>
      <w:r>
        <w:rPr>
          <w:color w:val="5A7D3A"/>
          <w:sz w:val="18"/>
        </w:rPr>
        <w:t>https://pubmed.ncbi.nlm.nih.gov/42725452/</w:t>
      </w:r>
    </w:p>
    <w:p>
      <w:pPr>
        <w:pStyle w:val="Heading2"/>
      </w:pPr>
      <w:r>
        <w:t>Koordinierter Ansatz zur integrierten Sturz- und Frakturprävention</w:t>
      </w:r>
    </w:p>
    <w:p>
      <w:r>
        <w:rPr>
          <w:i/>
          <w:color w:val="666666"/>
          <w:sz w:val="18"/>
        </w:rPr>
        <w:t>van der Velde N et al.  ·  Eur Geriatr Med  ·  10.09.2026  ·  PMID 42720850</w:t>
      </w:r>
    </w:p>
    <w:p>
      <w:r>
        <w:t>Position Paper von sieben internationalen Fachgesellschaften zu evidenzgestützter integrierter Versorgung für Sturz- und Frakturprävention bei älteren Menschen.</w:t>
      </w:r>
    </w:p>
    <w:p>
      <w:r>
        <w:rPr>
          <w:b/>
        </w:rPr>
        <w:t xml:space="preserve">Ergebnis: </w:t>
      </w:r>
      <w:r>
        <w:t>Kernerkenntnis: Fragmentierte Versorgungsstrukturen erfordern integrierte Fall- und Frakturprävention als Public-Health-Priorität; Empfehlungen für interdisziplinäre Zusammenarbeit, Trainings und systemische Ressourcenallokation.</w:t>
      </w:r>
    </w:p>
    <w:p>
      <w:r>
        <w:rPr>
          <w:b/>
          <w:sz w:val="19"/>
        </w:rPr>
        <w:t xml:space="preserve">Übertragbarkeit: </w:t>
      </w:r>
      <w:r>
        <w:rPr>
          <w:sz w:val="19"/>
        </w:rPr>
        <w:t>Europäischer Konsens mit Fokus auf Versorgungsprozesse, Qualität und Implementierung in Regelversorgung.</w:t>
      </w:r>
    </w:p>
    <w:p>
      <w:r>
        <w:rPr>
          <w:color w:val="5A7D3A"/>
          <w:sz w:val="18"/>
        </w:rPr>
        <w:t>https://pubmed.ncbi.nlm.nih.gov/42720850/</w:t>
      </w:r>
    </w:p>
    <w:p>
      <w:pPr>
        <w:pStyle w:val="Heading2"/>
      </w:pPr>
      <w:r>
        <w:t>Tabakrauchexposition und Gesundheitsdienstleistungen bei jungen Erwachsenen</w:t>
      </w:r>
    </w:p>
    <w:p>
      <w:r>
        <w:rPr>
          <w:i/>
          <w:color w:val="666666"/>
          <w:sz w:val="18"/>
        </w:rPr>
        <w:t>Akhtar S et al.  ·  BMC Health Serv Res  ·  04.09.2026  ·  PMID 42717348</w:t>
      </w:r>
    </w:p>
    <w:p>
      <w:r>
        <w:t>Querschnittsstudie mit 1.323 Studierenden zur Erfassung von Tabakrauchexposition, Symptomen und Inanspruchnahme von Gesundheitsdienstleistungen.</w:t>
      </w:r>
    </w:p>
    <w:p>
      <w:r>
        <w:rPr>
          <w:b/>
        </w:rPr>
        <w:t xml:space="preserve">Ergebnis: </w:t>
      </w:r>
      <w:r>
        <w:t>Exposition gegenüber Tabakrauch 55,9% (740/1.323); Husten (aOR 2,10; 95%-KI 1,66–2,64), Dyspnoe (aOR 1,30; 95%-KI 1,01–1,67) und Asthma (aOR 1,95; 95%-KI 1,43–2,65) signifikant mit Inanspruchnahme assoziiert.</w:t>
      </w:r>
    </w:p>
    <w:p>
      <w:r>
        <w:rPr>
          <w:b/>
          <w:sz w:val="19"/>
        </w:rPr>
        <w:t xml:space="preserve">Übertragbarkeit: </w:t>
      </w:r>
      <w:r>
        <w:rPr>
          <w:sz w:val="19"/>
        </w:rPr>
        <w:t>Kuwait, aber Fragestellung zu Symptomen, Morbidität und Versorgungsnutzung epidemiologisch aussagekräftig.</w:t>
      </w:r>
    </w:p>
    <w:p>
      <w:r>
        <w:rPr>
          <w:color w:val="5A7D3A"/>
          <w:sz w:val="18"/>
        </w:rPr>
        <w:t>https://pubmed.ncbi.nlm.nih.gov/42717348/</w:t>
      </w:r>
    </w:p>
    <w:p>
      <w:pPr>
        <w:pStyle w:val="Heading1"/>
      </w:pPr>
      <w:r>
        <w:t>Aufgenommen am 14.09.2026</w:t>
      </w:r>
    </w:p>
    <w:p>
      <w:pPr>
        <w:pStyle w:val="Heading2"/>
      </w:pPr>
      <w:r>
        <w:t>Kliniker- und Informatiker-Perspektiven auf Harm-Risk-Vorhersage-Tools</w:t>
      </w:r>
    </w:p>
    <w:p>
      <w:r>
        <w:rPr>
          <w:i/>
          <w:color w:val="666666"/>
          <w:sz w:val="18"/>
        </w:rPr>
        <w:t>Lam JYJ et al.  ·  J Eval Clin Pract  ·  Sept. 2026  ·  PMID 42732558</w:t>
      </w:r>
    </w:p>
    <w:p>
      <w:r>
        <w:t>Qualitative Studie mit 22 Interviews (6 Ärzte, 11 Pharmazeuten, 5 Informatiker) zur Implementierung digitaler Risk-Prediction-Tools für Medikamentenschaden in australischen Krankenhäusern.</w:t>
      </w:r>
    </w:p>
    <w:p>
      <w:r>
        <w:rPr>
          <w:b/>
        </w:rPr>
        <w:t xml:space="preserve">Ergebnis: </w:t>
      </w:r>
      <w:r>
        <w:t>Fünf Themen mit Einfluss auf Adoption: Vertrauen der Kliniker, wahrgenommener Nutzen, organisatorische Bereitschaft, automatisierungsfähigkeit und Workflow-Kompatibilität. Barrieren: schlechte Systemintegration, Unsicherheit über Tool-Zuverlässigkeit; Enabler: umfassende Feedback-Mechanismen, Ressourcenplanung.</w:t>
      </w:r>
    </w:p>
    <w:p>
      <w:r>
        <w:rPr>
          <w:b/>
          <w:sz w:val="19"/>
        </w:rPr>
        <w:t xml:space="preserve">Übertragbarkeit: </w:t>
      </w:r>
      <w:r>
        <w:rPr>
          <w:sz w:val="19"/>
        </w:rPr>
        <w:t>Australien, aber klinische Perspektiven auf digitale Sicherheitstools übertragbar</w:t>
      </w:r>
    </w:p>
    <w:p>
      <w:r>
        <w:rPr>
          <w:color w:val="5A7D3A"/>
          <w:sz w:val="18"/>
        </w:rPr>
        <w:t>https://pubmed.ncbi.nlm.nih.gov/42732558/</w:t>
      </w:r>
    </w:p>
    <w:p>
      <w:pPr>
        <w:pStyle w:val="Heading2"/>
      </w:pPr>
      <w:r>
        <w:t>ADHD-Medikation und Selbstverletzungsrisiko: multinational</w:t>
      </w:r>
    </w:p>
    <w:p>
      <w:r>
        <w:rPr>
          <w:i/>
          <w:color w:val="666666"/>
          <w:sz w:val="18"/>
        </w:rPr>
        <w:t>Chan AYL et al.  ·  BMJ Ment Health  ·  12.09.2026  ·  PMID 42731881</w:t>
      </w:r>
    </w:p>
    <w:p>
      <w:r>
        <w:t>Multinational selbstkontrollierte Fallserie zur Assoziation zwischen ADHD-Medikation und Selbstverletzungen anhand von fünf Ländern-Datenbanken.</w:t>
      </w:r>
    </w:p>
    <w:p>
      <w:r>
        <w:rPr>
          <w:b/>
        </w:rPr>
        <w:t xml:space="preserve">Ergebnis: </w:t>
      </w:r>
      <w:r>
        <w:t>Höchstes Risiko 90 Tage vor Therapiestart (IRR 2,58), dann während ersten 90 Tage (IRR 1,78) und später (IRR 1,27). Muster konsistent über alle Datenbanken – erhöhtes Risiko vor Behandlung deutet auf unbehandelte ADHD-Symptome, nicht auf Medikation hin.</w:t>
      </w:r>
    </w:p>
    <w:p>
      <w:r>
        <w:rPr>
          <w:b/>
          <w:sz w:val="19"/>
        </w:rPr>
        <w:t xml:space="preserve">Übertragbarkeit: </w:t>
      </w:r>
      <w:r>
        <w:rPr>
          <w:sz w:val="19"/>
        </w:rPr>
        <w:t>Multinational, UK, Neuseeland, Taiwan eingeschlossen</w:t>
      </w:r>
    </w:p>
    <w:p>
      <w:r>
        <w:rPr>
          <w:color w:val="5A7D3A"/>
          <w:sz w:val="18"/>
        </w:rPr>
        <w:t>https://pubmed.ncbi.nlm.nih.gov/42731881/</w:t>
      </w:r>
    </w:p>
    <w:p>
      <w:pPr>
        <w:pStyle w:val="Heading2"/>
      </w:pPr>
      <w:r>
        <w:t>Online-Infektionstests: Systemische Vorteile und Barrieren</w:t>
      </w:r>
    </w:p>
    <w:p>
      <w:r>
        <w:rPr>
          <w:i/>
          <w:color w:val="666666"/>
          <w:sz w:val="18"/>
        </w:rPr>
        <w:t>Grace D et al.  ·  BMC Health Serv Res  ·  05.09.2026  ·  PMID 42728588</w:t>
      </w:r>
    </w:p>
    <w:p>
      <w:r>
        <w:t>Qualitative Interviews mit 41 Fachleuten zu Implementierung eines Online-Tests für sexuell übertragbare Infektionen (GetCheckedOnline) in Ontario.</w:t>
      </w:r>
    </w:p>
    <w:p>
      <w:r>
        <w:rPr>
          <w:b/>
        </w:rPr>
        <w:t xml:space="preserve">Ergebnis: </w:t>
      </w:r>
      <w:r>
        <w:t>Fünf zentrale Spannungsfelder identifiziert: Zugang, Datenschutz, Koordination, Agency und Systemauswirkungen. Teilnehmende erkannten Vorteile (besserer Zugang), berichteten aber auch unerwünschte Folgen (Koordinationsverluste zwischen Sektoren, Datenschutzbedenken).</w:t>
      </w:r>
    </w:p>
    <w:p>
      <w:r>
        <w:rPr>
          <w:b/>
          <w:sz w:val="19"/>
        </w:rPr>
        <w:t xml:space="preserve">Übertragbarkeit: </w:t>
      </w:r>
      <w:r>
        <w:rPr>
          <w:sz w:val="19"/>
        </w:rPr>
        <w:t>Kanada, aber Fragestellung zu digitalen Testmodellen systemübergreifend relevant</w:t>
      </w:r>
    </w:p>
    <w:p>
      <w:r>
        <w:rPr>
          <w:color w:val="5A7D3A"/>
          <w:sz w:val="18"/>
        </w:rPr>
        <w:t>https://pubmed.ncbi.nlm.nih.gov/42728588/</w:t>
      </w:r>
    </w:p>
    <w:p>
      <w:pPr>
        <w:pStyle w:val="Heading2"/>
      </w:pPr>
      <w:r>
        <w:t>Notfall- und Katastrophenbereitschaft in Krankenhäusern Äthiopiens</w:t>
      </w:r>
    </w:p>
    <w:p>
      <w:r>
        <w:rPr>
          <w:i/>
          <w:color w:val="666666"/>
          <w:sz w:val="18"/>
        </w:rPr>
        <w:t>Farah B et al.  ·  Res Health Serv Reg  ·  10.09.2026  ·  PMID 42720815</w:t>
      </w:r>
    </w:p>
    <w:p>
      <w:r>
        <w:t>Querschnittsstudie zur Notfall- und Katastrophenbereitschaft in vier öffentlichen Zonal-Krankenhäusern in der Somali-Region mit WHO-Hospital-Safety-Index Modul 4.</w:t>
      </w:r>
    </w:p>
    <w:p>
      <w:r>
        <w:rPr>
          <w:b/>
        </w:rPr>
        <w:t xml:space="preserve">Ergebnis: </w:t>
      </w:r>
      <w:r>
        <w:t>Mittlere Bereitschaftswerte von 45%; tiefste Werte für Notfall- und Katastrophenreaktion/Wiederherstellung (41,3%). Defizite in Reaktionsplanung, logistischer Bereitschaft, Finanzadministration und Kommunikationssystemen; fehlende externe Stakeholder-Koordination.</w:t>
      </w:r>
    </w:p>
    <w:p>
      <w:r>
        <w:rPr>
          <w:b/>
          <w:sz w:val="19"/>
        </w:rPr>
        <w:t xml:space="preserve">Übertragbarkeit: </w:t>
      </w:r>
      <w:r>
        <w:rPr>
          <w:sz w:val="19"/>
        </w:rPr>
        <w:t>Äthiopien (LMIC), aber HTA zur Systemreife allgemein relevant</w:t>
      </w:r>
    </w:p>
    <w:p>
      <w:r>
        <w:rPr>
          <w:color w:val="5A7D3A"/>
          <w:sz w:val="18"/>
        </w:rPr>
        <w:t>https://pubmed.ncbi.nlm.nih.gov/42720815/</w:t>
      </w:r>
    </w:p>
    <w:p>
      <w:pPr>
        <w:pStyle w:val="Heading2"/>
      </w:pPr>
      <w:r>
        <w:t>Risk Adjustment in Medicare Advantage mit Encounter-Daten</w:t>
      </w:r>
    </w:p>
    <w:p>
      <w:r>
        <w:rPr>
          <w:i/>
          <w:color w:val="666666"/>
          <w:sz w:val="18"/>
        </w:rPr>
        <w:t>Carlin CS et al.  ·  Health Serv Res  ·  Okt. 2026  ·  PMID 42720268</w:t>
      </w:r>
    </w:p>
    <w:p>
      <w:r>
        <w:t>Vergleichende Re-Schätzung des CMS-Hierarchical-Condition-Category-Modells mit Traditional-Medicare- vs. Medicare-Advantage-Claims 2016–2022.</w:t>
      </w:r>
    </w:p>
    <w:p>
      <w:r>
        <w:rPr>
          <w:b/>
        </w:rPr>
        <w:t xml:space="preserve">Ergebnis: </w:t>
      </w:r>
      <w:r>
        <w:t>MA-Daten zeigen 8,9% niedrigere durchschnittliche HCC-Scores als TM-Daten; Unterschiede variieren über Scoreverteilung. Keine neuen Anreizverzerrungen zu Lasten von Minoritäten oder ländlichen Versicherten.</w:t>
      </w:r>
    </w:p>
    <w:p>
      <w:r>
        <w:rPr>
          <w:b/>
          <w:sz w:val="19"/>
        </w:rPr>
        <w:t xml:space="preserve">Übertragbarkeit: </w:t>
      </w:r>
      <w:r>
        <w:rPr>
          <w:sz w:val="19"/>
        </w:rPr>
        <w:t>US-System (MA/Medicare), aber relevante Methodologie für Risk-Adjustment</w:t>
      </w:r>
    </w:p>
    <w:p>
      <w:r>
        <w:rPr>
          <w:color w:val="5A7D3A"/>
          <w:sz w:val="18"/>
        </w:rPr>
        <w:t>https://pubmed.ncbi.nlm.nih.gov/42720268/</w:t>
      </w:r>
    </w:p>
    <w:p>
      <w:pPr>
        <w:pStyle w:val="Heading2"/>
      </w:pPr>
      <w:r>
        <w:t>MISSION4Sax: Sektorübergreifende onkologische Versorgungsmodelle</w:t>
      </w:r>
    </w:p>
    <w:p>
      <w:r>
        <w:rPr>
          <w:i/>
          <w:color w:val="666666"/>
          <w:sz w:val="18"/>
        </w:rPr>
        <w:t>Richter C et al.  ·  J Cancer Res Clin Oncol  ·  02.09.2026  ·  PMID 42693346</w:t>
      </w:r>
    </w:p>
    <w:p>
      <w:r>
        <w:t>Studienprotokoll eines multizentrischen Pilotstudien zur Machbarkeit einer integrierten onkologischen Versorgung über Regionaltumorbrett zwischen Maximalversorgung und Landpraxis mit standardisierten Patientenpfaden.</w:t>
      </w:r>
    </w:p>
    <w:p>
      <w:r>
        <w:rPr>
          <w:b/>
        </w:rPr>
        <w:t xml:space="preserve">Ergebnis: </w:t>
      </w:r>
      <w:r>
        <w:t>Geplante Bewertung von Machbarkeit, Akzeptanz, Implementierung und Datenqualität (keine Effektivitätsfrage); Fokus auf Wartezeiten, Adhärenz, klinische und Patient-Reported Outcomes. Routinedaten der Krankenkasse als externe Referenz geplant, keine Individualverlinkung.</w:t>
      </w:r>
    </w:p>
    <w:p>
      <w:r>
        <w:rPr>
          <w:b/>
          <w:sz w:val="19"/>
        </w:rPr>
        <w:t xml:space="preserve">Übertragbarkeit: </w:t>
      </w:r>
      <w:r>
        <w:rPr>
          <w:sz w:val="19"/>
        </w:rPr>
        <w:t>Deutschland (Sachsen), Versorgungsforschungs-Design direkt übertragbar</w:t>
      </w:r>
    </w:p>
    <w:p>
      <w:r>
        <w:rPr>
          <w:color w:val="5A7D3A"/>
          <w:sz w:val="18"/>
        </w:rPr>
        <w:t>https://pubmed.ncbi.nlm.nih.gov/42693346/</w:t>
      </w:r>
    </w:p>
    <w:p>
      <w:pPr>
        <w:pStyle w:val="Heading1"/>
      </w:pPr>
      <w:r>
        <w:t>Aufgenommen am 13.09.2026</w:t>
      </w:r>
    </w:p>
    <w:p>
      <w:pPr>
        <w:pStyle w:val="Heading2"/>
      </w:pPr>
      <w:r>
        <w:t>Direkt-OP-Teledermatologie für Hautkrebs: Sicherheit und Effizienz</w:t>
      </w:r>
    </w:p>
    <w:p>
      <w:r>
        <w:rPr>
          <w:i/>
          <w:color w:val="666666"/>
          <w:sz w:val="18"/>
        </w:rPr>
        <w:t>Nour S et al.  ·  BMJ Open Qual  ·  11.09.2026  ·  PMID 42731848</w:t>
      </w:r>
    </w:p>
    <w:p>
      <w:r>
        <w:t>Evaluierung eines Direct-to-Surgery-Teledermatologie-Pfads für verdächtige Hautkrebs-Referrals in einem großen NHS-Hautkrebs-Service mit 18.587 Patienten.</w:t>
      </w:r>
    </w:p>
    <w:p>
      <w:r>
        <w:rPr>
          <w:b/>
        </w:rPr>
        <w:t xml:space="preserve">Ergebnis: </w:t>
      </w:r>
      <w:r>
        <w:t>Von 5.099 eingeschlossenen Patienten wurde 99,86% die 28-Tage-Faster-Diagnosis-Standard erreicht (Ziel: 75%); 75,5% der Melanom-/Plattenepithel-Karzinom-Patienten begannen Behandlung innerhalb der 62-Tage-Zielmarke. Histologie identifizierte 35,5% maligne und 15,5% prämaligne Pathologie; Diagnostische Konkordanz 41,5% (Cohen's κ=0,34). Komplikationsrate 1,3%. Der Pfad demonstriert sichere hochvolumige Hautkrebs-Chirurgie mit exzellenter Compliance zur Faster Diagnosis Standard.</w:t>
      </w:r>
    </w:p>
    <w:p>
      <w:r>
        <w:rPr>
          <w:b/>
          <w:sz w:val="19"/>
        </w:rPr>
        <w:t xml:space="preserve">Übertragbarkeit: </w:t>
      </w:r>
      <w:r>
        <w:rPr>
          <w:sz w:val="19"/>
        </w:rPr>
        <w:t>UK-NHS-Setting, aber Prozessoptimierung für Versorgung übertragbar</w:t>
      </w:r>
    </w:p>
    <w:p>
      <w:r>
        <w:rPr>
          <w:color w:val="5A7D3A"/>
          <w:sz w:val="18"/>
        </w:rPr>
        <w:t>https://pubmed.ncbi.nlm.nih.gov/42731848/</w:t>
      </w:r>
    </w:p>
    <w:p>
      <w:pPr>
        <w:pStyle w:val="Heading2"/>
      </w:pPr>
      <w:r>
        <w:t>Merkmale von Hausärzten und potenziell unangemessene Medikation bei älteren Patienten</w:t>
      </w:r>
    </w:p>
    <w:p>
      <w:r>
        <w:rPr>
          <w:i/>
          <w:color w:val="666666"/>
          <w:sz w:val="18"/>
        </w:rPr>
        <w:t>Tatsuno Y et al.  ·  Health Aff Sch  ·  28.08.2026  ·  PMID 42730259</w:t>
      </w:r>
    </w:p>
    <w:p>
      <w:r>
        <w:t>Japanische Querschnittsstudie zu Zusammenhängen zwischen Arztmerkmalen (Alter, Patientenvolumen) und der Verschreibung potenziell unangemessener Medikamente (PIMs) bei ≥75-Jährigen.</w:t>
      </w:r>
    </w:p>
    <w:p>
      <w:r>
        <w:rPr>
          <w:b/>
        </w:rPr>
        <w:t xml:space="preserve">Ergebnis: </w:t>
      </w:r>
      <w:r>
        <w:t>Von 184.097 Patienten erhielten 38,2% mindestens eine PIM; zwei Drittel der PIM-Verschreibungen konzentrierten sich auf 20% der Ärzte. Jüngere Ärzte (aOR 1,27; 95%-KI 1,05–1,55), solche mit niedrigerem Volumen älterer Patienten (aOR 1,39; 95%-KI 1,19–1,61) und Ärzte in Ost- oder Mittel-Japan verschrieben häufiger PIMs. Gezielte Interventionen bei Hochverschreibern könnten PIMs effizient reduzieren.</w:t>
      </w:r>
    </w:p>
    <w:p>
      <w:r>
        <w:rPr>
          <w:b/>
          <w:sz w:val="19"/>
        </w:rPr>
        <w:t xml:space="preserve">Übertragbarkeit: </w:t>
      </w:r>
      <w:r>
        <w:rPr>
          <w:sz w:val="19"/>
        </w:rPr>
        <w:t>Japan, aber Fragestellung zur Arztqualität systemunabhängig übertragbar</w:t>
      </w:r>
    </w:p>
    <w:p>
      <w:r>
        <w:rPr>
          <w:color w:val="5A7D3A"/>
          <w:sz w:val="18"/>
        </w:rPr>
        <w:t>https://pubmed.ncbi.nlm.nih.gov/42730259/</w:t>
      </w:r>
    </w:p>
    <w:p>
      <w:pPr>
        <w:pStyle w:val="Heading2"/>
      </w:pPr>
      <w:r>
        <w:t>Integration Flexibles Assertive Community Treatment mit kommunalen Sozialservices</w:t>
      </w:r>
    </w:p>
    <w:p>
      <w:r>
        <w:rPr>
          <w:i/>
          <w:color w:val="666666"/>
          <w:sz w:val="18"/>
        </w:rPr>
        <w:t>Kleijburg A et al.  ·  Int J Integr Care  ·  08.09.2026  ·  PMID 42729928</w:t>
      </w:r>
    </w:p>
    <w:p>
      <w:r>
        <w:t>Qualitative Studie mit 15 Interviews zur Implementierung von FACT+DSS-Teams (Flexible Assertive Community Treatment + District Social Services) in der Niederlande für Patienten mit schwerer psychischer Erkrankung.</w:t>
      </w:r>
    </w:p>
    <w:p>
      <w:r>
        <w:rPr>
          <w:b/>
        </w:rPr>
        <w:t xml:space="preserve">Ergebnis: </w:t>
      </w:r>
      <w:r>
        <w:t>FACT+DSS wurde von Teamkräften als deutlich positiv erlebt und verbesserte Zugangsbarrieren, Kontinuität der Versorgung, Case-Finding und Vernetzungskollaboration. Wichtige Erfolgsfaktoren waren starke Führung, geteilter Besitz, gleichberechtigte Zusammenarbeit und direkte Beziehungen. Barrieren waren unzureichende Ressourcen und fehlende klare Rollenverteilung.</w:t>
      </w:r>
    </w:p>
    <w:p>
      <w:r>
        <w:rPr>
          <w:b/>
          <w:sz w:val="19"/>
        </w:rPr>
        <w:t xml:space="preserve">Übertragbarkeit: </w:t>
      </w:r>
      <w:r>
        <w:rPr>
          <w:sz w:val="19"/>
        </w:rPr>
        <w:t>Niederlande, vergleichbares Sozialversicherungssystem, integrierte Versorgung</w:t>
      </w:r>
    </w:p>
    <w:p>
      <w:r>
        <w:rPr>
          <w:color w:val="5A7D3A"/>
          <w:sz w:val="18"/>
        </w:rPr>
        <w:t>https://pubmed.ncbi.nlm.nih.gov/42729928/</w:t>
      </w:r>
    </w:p>
    <w:p>
      <w:pPr>
        <w:pStyle w:val="Heading2"/>
      </w:pPr>
      <w:r>
        <w:t>Auswirkung Brandon Act auf Suizidversuche im US-Militär</w:t>
      </w:r>
    </w:p>
    <w:p>
      <w:r>
        <w:rPr>
          <w:i/>
          <w:color w:val="666666"/>
          <w:sz w:val="18"/>
        </w:rPr>
        <w:t>Yoon J et al.  ·  Health Serv Res  ·  Okt. 2026  ·  PMID 42728782</w:t>
      </w:r>
    </w:p>
    <w:p>
      <w:r>
        <w:t>Unterbrochene Zeitreihen-Analyse (2018–2024) der Military Health System-Daten zu Effekten des Brandon Acts (Geheime Selbst-Überweisungs-Pathways für psychische Gesundheit) auf Suizidversuche bei Active-Duty-Soldaten.</w:t>
      </w:r>
    </w:p>
    <w:p>
      <w:r>
        <w:rPr>
          <w:b/>
        </w:rPr>
        <w:t xml:space="preserve">Ergebnis: </w:t>
      </w:r>
      <w:r>
        <w:t>Brandon Act im Dezember 2021 assoziiert mit unmittelbare Reduktion von 6,51 pro 100.000 (95%-KI: -10,54, -2,47) und Trendwechsel von -2,25 pro Quartal (95%-KI: -3,81, -0,70). Nach Implementation Mai 2023 weitere Reduktion von 21,19 pro 100.000 (95%-KI: -26,83, -15,55). Über 3 Jahre geschätzt ~3.800 Suizidversuche verhindert. Größte Effekte bei junior Enlisted, Frauen, Army/Marines.</w:t>
      </w:r>
    </w:p>
    <w:p>
      <w:r>
        <w:rPr>
          <w:b/>
          <w:sz w:val="19"/>
        </w:rPr>
        <w:t xml:space="preserve">Übertragbarkeit: </w:t>
      </w:r>
      <w:r>
        <w:rPr>
          <w:sz w:val="19"/>
        </w:rPr>
        <w:t>US-Militärsystem, aber Fragestellung zu Stigma-Reduktion systemunabhängig übertragbar</w:t>
      </w:r>
    </w:p>
    <w:p>
      <w:r>
        <w:rPr>
          <w:color w:val="5A7D3A"/>
          <w:sz w:val="18"/>
        </w:rPr>
        <w:t>https://pubmed.ncbi.nlm.nih.gov/42728782/</w:t>
      </w:r>
    </w:p>
    <w:p>
      <w:pPr>
        <w:pStyle w:val="Heading2"/>
      </w:pPr>
      <w:r>
        <w:t>Subjektive Bedarfserkennung und Inanspruchnahme psychischer Gesundheitsversorgung</w:t>
      </w:r>
    </w:p>
    <w:p>
      <w:r>
        <w:rPr>
          <w:i/>
          <w:color w:val="666666"/>
          <w:sz w:val="18"/>
        </w:rPr>
        <w:t>Reinhold AK et al.  ·  BMC Health Serv Res  ·  10.09.2026  ·  PMID 42728591</w:t>
      </w:r>
    </w:p>
    <w:p>
      <w:r>
        <w:t>Gemischte Methoden-Studie mit 456 Teilnehmern mit depressiven Symptomen (PHQ-9≥5) zur Diskrepanz zwischen objektivem, subjektivem Bedarf und tatsächlicher Inanspruchnahme von psychischer Versorgung.</w:t>
      </w:r>
    </w:p>
    <w:p>
      <w:r>
        <w:rPr>
          <w:b/>
        </w:rPr>
        <w:t xml:space="preserve">Ergebnis: </w:t>
      </w:r>
      <w:r>
        <w:t>Subjektive Bedarfserkennung ist starker Prädiktor für Inanspruchnahme: 38,1% der Negativ-Gescreenten und 45,8% der Positiv-Gescreenten berichteten weniger als "sehr genau" zu Suizid-Gedanken geantwortet zu haben. Qualitative Analyse (n=23) identifizierte eine Sechsteilung-Typologie von subjektivem Bedarf statt binärer Klassifikation.</w:t>
      </w:r>
    </w:p>
    <w:p>
      <w:r>
        <w:rPr>
          <w:b/>
          <w:sz w:val="19"/>
        </w:rPr>
        <w:t xml:space="preserve">Übertragbarkeit: </w:t>
      </w:r>
      <w:r>
        <w:rPr>
          <w:sz w:val="19"/>
        </w:rPr>
        <w:t>Deutsche Routinedaten, populationsbasierte Stichprobe, Hausarzt-nahe Versorgung</w:t>
      </w:r>
    </w:p>
    <w:p>
      <w:r>
        <w:rPr>
          <w:color w:val="5A7D3A"/>
          <w:sz w:val="18"/>
        </w:rPr>
        <w:t>https://pubmed.ncbi.nlm.nih.gov/42728591/</w:t>
      </w:r>
    </w:p>
    <w:p>
      <w:pPr>
        <w:pStyle w:val="Heading2"/>
      </w:pPr>
      <w:r>
        <w:t>Vial-Sharing-Strategie reduziert Arzneimittelabfall bei CT-Kontrastmittel</w:t>
      </w:r>
    </w:p>
    <w:p>
      <w:r>
        <w:rPr>
          <w:i/>
          <w:color w:val="666666"/>
          <w:sz w:val="18"/>
        </w:rPr>
        <w:t>Yin Y et al.  ·  BMC Health Serv Res  ·  30.07.2026  ·  PMID 42723046</w:t>
      </w:r>
    </w:p>
    <w:p>
      <w:r>
        <w:t>Retrospektive Studie in chinesischem Universitätskrankenhaus zur Kostenreduktion durch Umstellung von Einzelvial- auf gemeinsame Vial-Abrechnung für CT-Kontrastmittel mit Prozessoptimierung.</w:t>
      </w:r>
    </w:p>
    <w:p>
      <w:r>
        <w:rPr>
          <w:b/>
        </w:rPr>
        <w:t xml:space="preserve">Ergebnis: </w:t>
      </w:r>
      <w:r>
        <w:t>Vial-Sharing-Strategie führte zu jährlicher Einsparung von 2.906.398,8 mL Kontrastmittel und Kostenreduktion von 9.181.958,83 CNY; durchschnittlich 66,93 CNY Kostenreduktion pro Patient. Multidisziplinäre Prozessoptimierung verbesserte Drug Utilization Efficiency und Ressourcenschonung.</w:t>
      </w:r>
    </w:p>
    <w:p>
      <w:r>
        <w:rPr>
          <w:b/>
          <w:sz w:val="19"/>
        </w:rPr>
        <w:t xml:space="preserve">Übertragbarkeit: </w:t>
      </w:r>
      <w:r>
        <w:rPr>
          <w:sz w:val="19"/>
        </w:rPr>
        <w:t>China, aber Versorgungseffizienz-Ansatz für deutsche Krankenhäuser adaptierbar</w:t>
      </w:r>
    </w:p>
    <w:p>
      <w:r>
        <w:rPr>
          <w:color w:val="5A7D3A"/>
          <w:sz w:val="18"/>
        </w:rPr>
        <w:t>https://pubmed.ncbi.nlm.nih.gov/42723046/</w:t>
      </w:r>
    </w:p>
    <w:p>
      <w:pPr>
        <w:pStyle w:val="Heading1"/>
      </w:pPr>
      <w:r>
        <w:t>Aufgenommen am 12.09.2026</w:t>
      </w:r>
    </w:p>
    <w:p>
      <w:pPr>
        <w:pStyle w:val="Heading2"/>
      </w:pPr>
      <w:r>
        <w:t>Geografische Erreichbarkeit Primärversorgung Schweden</w:t>
      </w:r>
    </w:p>
    <w:p>
      <w:r>
        <w:rPr>
          <w:i/>
          <w:color w:val="666666"/>
          <w:sz w:val="18"/>
        </w:rPr>
        <w:t>Isaksson D et al.  ·  BMJ Open  ·  11.09.2026  ·  PMID 42727971</w:t>
      </w:r>
    </w:p>
    <w:p>
      <w:r>
        <w:t>Landesweite Querschnittsstudie zur Fahrtzeit-Erreichbarkeit von Hausarztpraxen in Schweden anhand von Routinedaten.</w:t>
      </w:r>
    </w:p>
    <w:p>
      <w:r>
        <w:rPr>
          <w:b/>
        </w:rPr>
        <w:t xml:space="preserve">Ergebnis: </w:t>
      </w:r>
      <w:r>
        <w:t>Mittlere Fahrtzeit zur nächsten Praxis: 5,6 Min (SD 6,3), Median 3,3 Min; 15,8% erreichen Praxis nicht in ≤10 Min; deutliche Urban-Rural-Disparität (15,1 Min vs 3,0 Min in Großstädten). Geographischer Zugang hoch im Mittel, aber substantielle Unterschiede bleiben.</w:t>
      </w:r>
    </w:p>
    <w:p>
      <w:r>
        <w:rPr>
          <w:b/>
          <w:sz w:val="19"/>
        </w:rPr>
        <w:t xml:space="preserve">Übertragbarkeit: </w:t>
      </w:r>
      <w:r>
        <w:rPr>
          <w:sz w:val="19"/>
        </w:rPr>
        <w:t>Schweden, steuerfinanziert; Prozessmessungen zur Zugänglichkeit auf deutsche Strukturen gut übertragbar.</w:t>
      </w:r>
    </w:p>
    <w:p>
      <w:r>
        <w:rPr>
          <w:color w:val="5A7D3A"/>
          <w:sz w:val="18"/>
        </w:rPr>
        <w:t>https://pubmed.ncbi.nlm.nih.gov/42727971/</w:t>
      </w:r>
    </w:p>
    <w:p>
      <w:pPr>
        <w:pStyle w:val="Heading2"/>
      </w:pPr>
      <w:r>
        <w:t>Psychische Belastung von Gesundheitsfachkräften durch COVID-19</w:t>
      </w:r>
    </w:p>
    <w:p>
      <w:r>
        <w:rPr>
          <w:i/>
          <w:color w:val="666666"/>
          <w:sz w:val="18"/>
        </w:rPr>
        <w:t>Alonso J et al.  ·  Span J Psychiatry Ment Health  ·  11.09.2026  ·  PMID 42727923</w:t>
      </w:r>
    </w:p>
    <w:p>
      <w:r>
        <w:t>Dreieinhalb-Jahres-Längsschnittstudie zu psychischen Auswirkungen von COVID-19 auf spanische Gesundheitsfachkräfte.</w:t>
      </w:r>
    </w:p>
    <w:p>
      <w:r>
        <w:rPr>
          <w:b/>
        </w:rPr>
        <w:t xml:space="preserve">Ergebnis: </w:t>
      </w:r>
      <w:r>
        <w:t>38,1% der negativ gescreenten und 45,8% der positiv gescreenten Veteranen berichteten unauffällige Disclosure bei Suizidales-Screening. Weniger genaue Angaben assoziiert mit niedrigerem Glauben, Suizid sei Ausweg (OR 0,46 bzw 0,40), und höherer Sorge vor Überreaktion (OR 2,36 bzw 3,73). Screening-Genauigkeit limitiert durch Offenbarungshemmungen.</w:t>
      </w:r>
    </w:p>
    <w:p>
      <w:r>
        <w:rPr>
          <w:b/>
          <w:sz w:val="19"/>
        </w:rPr>
        <w:t xml:space="preserve">Übertragbarkeit: </w:t>
      </w:r>
      <w:r>
        <w:rPr>
          <w:sz w:val="19"/>
        </w:rPr>
        <w:t>Spanische Gesundheitsfachkräfte; Health Services Research-Perspektive auf Implementierungsbarrieren auf deutsche Verhältnisse übertragbar.</w:t>
      </w:r>
    </w:p>
    <w:p>
      <w:r>
        <w:rPr>
          <w:color w:val="5A7D3A"/>
          <w:sz w:val="18"/>
        </w:rPr>
        <w:t>https://pubmed.ncbi.nlm.nih.gov/42727923/</w:t>
      </w:r>
    </w:p>
    <w:p>
      <w:pPr>
        <w:pStyle w:val="Heading2"/>
      </w:pPr>
      <w:r>
        <w:t>Technische Unterstützung für Leitlinien-Implementation in LMICs</w:t>
      </w:r>
    </w:p>
    <w:p>
      <w:r>
        <w:rPr>
          <w:i/>
          <w:color w:val="666666"/>
          <w:sz w:val="18"/>
        </w:rPr>
        <w:t>Fahim C et al.  ·  Health Res Policy Syst  ·  10.09.2026  ·  PMID 42723069</w:t>
      </w:r>
    </w:p>
    <w:p>
      <w:r>
        <w:t>Mixed-Methods-Evaluation eines Unterstützungszentrums zur Stärkung der Forschungskapazität für Health Systems Research und Implementierung in Ländern mit niedrigem und mittlerem Einkommen.</w:t>
      </w:r>
    </w:p>
    <w:p>
      <w:r>
        <w:rPr>
          <w:b/>
        </w:rPr>
        <w:t xml:space="preserve">Ergebnis: </w:t>
      </w:r>
      <w:r>
        <w:t>22 Teilnehmer aus 6 Ländern; 8 von 9 Forschungskapazitäts-Outcomes verbesserten sich signifikant; signifikante Unterschiede in der Fähigkeit zur Entwicklung evidenzgestützter Knowledge-Translation-Interventionen (Z=-2,93, p&lt;0,05). Hauptbarrieren: fragmentierte Dienstleistungen, mangelnde Daten/Ausrüstung; Enabler: Stakeholder-Partnerschaften, multi-sektorale Ansätze.</w:t>
      </w:r>
    </w:p>
    <w:p>
      <w:r>
        <w:rPr>
          <w:b/>
          <w:sz w:val="19"/>
        </w:rPr>
        <w:t xml:space="preserve">Übertragbarkeit: </w:t>
      </w:r>
      <w:r>
        <w:rPr>
          <w:sz w:val="19"/>
        </w:rPr>
        <w:t>Low- and Middle-Income Countries; Implementierungswissenschaft auf deutsche Kapazitätsentwicklung nicht direkt übertragbar.</w:t>
      </w:r>
    </w:p>
    <w:p>
      <w:r>
        <w:rPr>
          <w:color w:val="5A7D3A"/>
          <w:sz w:val="18"/>
        </w:rPr>
        <w:t>https://pubmed.ncbi.nlm.nih.gov/42723069/</w:t>
      </w:r>
    </w:p>
    <w:p>
      <w:pPr>
        <w:pStyle w:val="Heading2"/>
      </w:pPr>
      <w:r>
        <w:t>Conversational Agent für Magenkrebspatienten</w:t>
      </w:r>
    </w:p>
    <w:p>
      <w:r>
        <w:rPr>
          <w:i/>
          <w:color w:val="666666"/>
          <w:sz w:val="18"/>
        </w:rPr>
        <w:t>Kang Y et al.  ·  J Med Internet Res  ·  10.09.2026  ·  PMID 42721321</w:t>
      </w:r>
    </w:p>
    <w:p>
      <w:r>
        <w:t>Action-Research-Studie zur Entwicklung und Usability-Bewertung eines KI-gestützten Conversational Agents für Patientenschulung bei Magenkrebs.</w:t>
      </w:r>
    </w:p>
    <w:p>
      <w:r>
        <w:rPr>
          <w:b/>
        </w:rPr>
        <w:t xml:space="preserve">Ergebnis: </w:t>
      </w:r>
      <w:r>
        <w:t>44 Patienten, 13 Pflegekräfte, 3 Manager, 2 Chirurgen getestet; Accuracy über 3 Testzyklen: 67%, 71%, 82%; RAG-Knowledge-Hit-Rate: 86%, 98%, 100% (signifikante Verbesserung p&lt;0,01). Chatbot-Usability-Score: 91,9 (SD 3,6); Content-Relevanz: 3,75 (SD 0,9). Drei Themen nutzer-zentriert: Wahrgenommene Nützlichkeit, Ease of Use, Nutzungsabsicht.</w:t>
      </w:r>
    </w:p>
    <w:p>
      <w:r>
        <w:rPr>
          <w:b/>
          <w:sz w:val="19"/>
        </w:rPr>
        <w:t xml:space="preserve">Übertragbarkeit: </w:t>
      </w:r>
      <w:r>
        <w:rPr>
          <w:sz w:val="19"/>
        </w:rPr>
        <w:t>China, Krankenhaus-Setting; Technologie-Anwendung für Patientenbildung auf deutsche Systeme prinzipiell übertragbar, Validierung erforderlich.</w:t>
      </w:r>
    </w:p>
    <w:p>
      <w:r>
        <w:rPr>
          <w:color w:val="5A7D3A"/>
          <w:sz w:val="18"/>
        </w:rPr>
        <w:t>https://pubmed.ncbi.nlm.nih.gov/42721321/</w:t>
      </w:r>
    </w:p>
    <w:p>
      <w:pPr>
        <w:pStyle w:val="Heading2"/>
      </w:pPr>
      <w:r>
        <w:t>Lebensqualität bei Krebspatienten in der DR Kongo</w:t>
      </w:r>
    </w:p>
    <w:p>
      <w:r>
        <w:rPr>
          <w:i/>
          <w:color w:val="666666"/>
          <w:sz w:val="18"/>
        </w:rPr>
        <w:t>Pilz MJ et al.  ·  BMJ Open  ·  09.09.2026  ·  PMID 42716684</w:t>
      </w:r>
    </w:p>
    <w:p>
      <w:r>
        <w:t>Querschnitts-Mixed-Methods-Studie zur gesundheitsbezogenen Lebensqualität von Krebspatienten in Lubumbashi, Demokratische Republik Kongo.</w:t>
      </w:r>
    </w:p>
    <w:p>
      <w:r>
        <w:rPr>
          <w:b/>
        </w:rPr>
        <w:t xml:space="preserve">Ergebnis: </w:t>
      </w:r>
      <w:r>
        <w:t>103 Patienten untersucht; 94,1% berichten finanzielle Probleme, 80,4% soziale Isolation, 71,8% Besorgnis. Symptombelastung deutlich höher als in Spanien-Kontrollgruppe (OR 1,18–28,0 für Symptome); nach Adjustierung für Alter, Geschlecht, Komorbiditäten blieben signifikante Unterschiede für 10 von 16 Skalen (p&lt;0,05). Hohe Symptombelastung erfordert Unterstützungsmaßnahmen.</w:t>
      </w:r>
    </w:p>
    <w:p>
      <w:r>
        <w:rPr>
          <w:b/>
          <w:sz w:val="19"/>
        </w:rPr>
        <w:t xml:space="preserve">Übertragbarkeit: </w:t>
      </w:r>
      <w:r>
        <w:rPr>
          <w:sz w:val="19"/>
        </w:rPr>
        <w:t>DR Kongo, Low-Income Setting; Bedeutung für ressourcenlimitierte Systeme, eingeschränkte Übertragbarkeit auf deutsche Verhältnisse.</w:t>
      </w:r>
    </w:p>
    <w:p>
      <w:r>
        <w:rPr>
          <w:color w:val="5A7D3A"/>
          <w:sz w:val="18"/>
        </w:rPr>
        <w:t>https://pubmed.ncbi.nlm.nih.gov/42716684/</w:t>
      </w:r>
    </w:p>
    <w:p>
      <w:pPr>
        <w:pStyle w:val="Heading2"/>
      </w:pPr>
      <w:r>
        <w:t>Verbrauchergesteuerte Forschungspriorität in Australien</w:t>
      </w:r>
    </w:p>
    <w:p>
      <w:r>
        <w:rPr>
          <w:i/>
          <w:color w:val="666666"/>
          <w:sz w:val="18"/>
        </w:rPr>
        <w:t>Catapan SC et al.  ·  Rural Remote Health  ·  01.09.2026  ·  PMID 42716571</w:t>
      </w:r>
    </w:p>
    <w:p>
      <w:r>
        <w:t>Qualitative Studie mit World Café-Methode zur Bestimmung von Forschungsprioritäten für Gesundheit in ruralen australischen Gemeinden.</w:t>
      </w:r>
    </w:p>
    <w:p>
      <w:r>
        <w:rPr>
          <w:b/>
        </w:rPr>
        <w:t xml:space="preserve">Ergebnis: </w:t>
      </w:r>
      <w:r>
        <w:t>Fünf identifizierte Prioritäten: (1) Rekrutierung/Bindung von Hausärzten, (2) multidisziplinäre Versorgung, (3) Bewusstsein für lokale Dienste, (4) erweiterte Chroniker-Betreuung mit Remote-Monitoring, (5) Verbindung zu sozialen Determinanten (Wohnung, Finanzen). Konsens zwischen Verbrauchern und Forschern auf Bedarf für maßgeschneiderte, gemeindegesteuerte Interventionen.</w:t>
      </w:r>
    </w:p>
    <w:p>
      <w:r>
        <w:rPr>
          <w:b/>
          <w:sz w:val="19"/>
        </w:rPr>
        <w:t xml:space="preserve">Übertragbarkeit: </w:t>
      </w:r>
      <w:r>
        <w:rPr>
          <w:sz w:val="19"/>
        </w:rPr>
        <w:t>Australien, steuerfinanziert; Partizipativmethode zur Prioritätensetzung auf deutsche Versorgungsforschung teilweise übertragbar.</w:t>
      </w:r>
    </w:p>
    <w:p>
      <w:r>
        <w:rPr>
          <w:color w:val="5A7D3A"/>
          <w:sz w:val="18"/>
        </w:rPr>
        <w:t>https://pubmed.ncbi.nlm.nih.gov/42716571/</w:t>
      </w:r>
    </w:p>
    <w:p>
      <w:pPr>
        <w:pStyle w:val="Heading1"/>
      </w:pPr>
      <w:r>
        <w:t>Aufgenommen am 11.09.2026</w:t>
      </w:r>
    </w:p>
    <w:p>
      <w:pPr>
        <w:pStyle w:val="Heading2"/>
      </w:pPr>
      <w:r>
        <w:t>Mobile Single-Lead ECG-Screening für Vorhofflimmern in Routine-Settings</w:t>
      </w:r>
    </w:p>
    <w:p>
      <w:r>
        <w:rPr>
          <w:i/>
          <w:color w:val="666666"/>
          <w:sz w:val="18"/>
        </w:rPr>
        <w:t>Fenske R et al.  ·  JMIR Cardio  ·  10.09.2026  ·  PMID 42721301</w:t>
      </w:r>
    </w:p>
    <w:p>
      <w:r>
        <w:t>Deutsche Multizenterstudie zur Machbarkeit von mobiler Single-Lead-EKG-Detektion für Vorhofflimmern in Krankenhaus und Praxis.</w:t>
      </w:r>
    </w:p>
    <w:p>
      <w:r>
        <w:rPr>
          <w:b/>
        </w:rPr>
        <w:t xml:space="preserve">Ergebnis: </w:t>
      </w:r>
      <w:r>
        <w:t>Von 237 Patienten lieferte das Gerät Interpretation bei 95,3% (41/43) der Ambulanten und 85,6% (166/194) der Stationären. Neu vermutetes Vorhofflimmern fand sich bei 1,7% (4/237); technische Probleme bei 16,0% (38/237). Nur 6,3% (15/237) nutzten regelmäßig Telemedizin. Die Machbarkeit ist gegeben, aber systematische Bestätigungstests und höhere Telemedizin-Akzeptanz fehlen.</w:t>
      </w:r>
    </w:p>
    <w:p>
      <w:r>
        <w:rPr>
          <w:b/>
          <w:sz w:val="19"/>
        </w:rPr>
        <w:t xml:space="preserve">Übertragbarkeit: </w:t>
      </w:r>
      <w:r>
        <w:rPr>
          <w:sz w:val="19"/>
        </w:rPr>
        <w:t>Deutsche Multizenterstudie mit lokalem Versorgungskontext</w:t>
      </w:r>
    </w:p>
    <w:p>
      <w:r>
        <w:rPr>
          <w:color w:val="5A7D3A"/>
          <w:sz w:val="18"/>
        </w:rPr>
        <w:t>https://pubmed.ncbi.nlm.nih.gov/42721301/</w:t>
      </w:r>
    </w:p>
    <w:p>
      <w:pPr>
        <w:pStyle w:val="Heading2"/>
      </w:pPr>
      <w:r>
        <w:t>Trends bei Milchpumpen-Verschreibungen in Deutschland 2011-2024</w:t>
      </w:r>
    </w:p>
    <w:p>
      <w:r>
        <w:rPr>
          <w:i/>
          <w:color w:val="666666"/>
          <w:sz w:val="18"/>
        </w:rPr>
        <w:t>Fischer L et al.  ·  Breastfeed Med  ·  10.09.2026  ·  PMID 42720285</w:t>
      </w:r>
    </w:p>
    <w:p>
      <w:r>
        <w:t>Sekundäranalyse von Routinedaten der gesetzlichen Krankenversicherung zu Trends bei Verordnungen von Milchpumpen im ambulanten Sektor.</w:t>
      </w:r>
    </w:p>
    <w:p>
      <w:r>
        <w:rPr>
          <w:b/>
        </w:rPr>
        <w:t xml:space="preserve">Ergebnis: </w:t>
      </w:r>
      <w:r>
        <w:t>Elektrische Milchpumpen-Ansprüche stiegen von 235 auf 605 Ansprüche pro 1.000 Neugeborene (durchschnittliches jährliches Wachstum 8,2%). 2024 betrugen die Krankenkassen-Kosten für Leih-Pumpen €15,3 Millionen. Erhebliche regionale Schwankungen zwischen Bundesländern, aber überall Anstieg.</w:t>
      </w:r>
    </w:p>
    <w:p>
      <w:r>
        <w:rPr>
          <w:b/>
          <w:sz w:val="19"/>
        </w:rPr>
        <w:t xml:space="preserve">Übertragbarkeit: </w:t>
      </w:r>
      <w:r>
        <w:rPr>
          <w:sz w:val="19"/>
        </w:rPr>
        <w:t>Deutsche Routinedaten der gesetzlichen Krankenversicherung, vollständig übertragbar</w:t>
      </w:r>
    </w:p>
    <w:p>
      <w:r>
        <w:rPr>
          <w:color w:val="5A7D3A"/>
          <w:sz w:val="18"/>
        </w:rPr>
        <w:t>https://pubmed.ncbi.nlm.nih.gov/42720285/</w:t>
      </w:r>
    </w:p>
    <w:p>
      <w:pPr>
        <w:pStyle w:val="Heading2"/>
      </w:pPr>
      <w:r>
        <w:t>Medical Invalidation: Systematische Konzeptualisierung eines Versorgungsproblems</w:t>
      </w:r>
    </w:p>
    <w:p>
      <w:r>
        <w:rPr>
          <w:i/>
          <w:color w:val="666666"/>
          <w:sz w:val="18"/>
        </w:rPr>
        <w:t>Lerch SP et al.  ·  BMC Health Serv Res  ·  08.09.2026  ·  PMID 42717341</w:t>
      </w:r>
    </w:p>
    <w:p>
      <w:r>
        <w:t>Scoping Review zur konzeptuellen Klärung von Medical Invalidation, Ursachen, Konsequenzen und Lösungsansätze in der Gesundheitsversorgung.</w:t>
      </w:r>
    </w:p>
    <w:p>
      <w:r>
        <w:rPr>
          <w:b/>
        </w:rPr>
        <w:t xml:space="preserve">Ergebnis: </w:t>
      </w:r>
      <w:r>
        <w:t>158 Studien zeigen inkonsistente Definitionen von Invalidation und Gaslighting. Multifaktorielle Ursachen identifiziert: diagnostische Herausforderungen, strukturelle Faktoren, Stigma, Diagnostikskills-Defizite. Validierung hatte konsistent positive Effekte; Invalidation führte zu Verhaltens-, emotionalen, kognitiven und physischen Schäden. Lösungen: Kommunikationstraining, klinische Schulung, Patientenunterstützung, Forschung, systemische Änderungen.</w:t>
      </w:r>
    </w:p>
    <w:p>
      <w:r>
        <w:rPr>
          <w:b/>
          <w:sz w:val="19"/>
        </w:rPr>
        <w:t xml:space="preserve">Übertragbarkeit: </w:t>
      </w:r>
      <w:r>
        <w:rPr>
          <w:sz w:val="19"/>
        </w:rPr>
        <w:t>Universeller Problembereich, besonders relevant für deutsches Versorgungssystem</w:t>
      </w:r>
    </w:p>
    <w:p>
      <w:r>
        <w:rPr>
          <w:color w:val="5A7D3A"/>
          <w:sz w:val="18"/>
        </w:rPr>
        <w:t>https://pubmed.ncbi.nlm.nih.gov/42717341/</w:t>
      </w:r>
    </w:p>
    <w:p>
      <w:pPr>
        <w:pStyle w:val="Heading2"/>
      </w:pPr>
      <w:r>
        <w:t>Cardiolotse: Transitionales Care-Modell für kardiovaskuläre Patienten</w:t>
      </w:r>
    </w:p>
    <w:p>
      <w:r>
        <w:rPr>
          <w:i/>
          <w:color w:val="666666"/>
          <w:sz w:val="18"/>
        </w:rPr>
        <w:t>Kropp S et al.  ·  BMC Health Serv Res  ·  09.09.2026  ·  PMID 42717334</w:t>
      </w:r>
    </w:p>
    <w:p>
      <w:r>
        <w:t>Prozessevaluation eines Pflegefachpersonen-geführten Transitionscare-Modells in Deutschland zur Verbesserung der Versorgungskoordination nach Krankenhausentlassung.</w:t>
      </w:r>
    </w:p>
    <w:p>
      <w:r>
        <w:rPr>
          <w:b/>
        </w:rPr>
        <w:t xml:space="preserve">Ergebnis: </w:t>
      </w:r>
      <w:r>
        <w:t>Etwa 12.500 Kontakte wurden durchgeführt. Patienten berichteten hohe Zufriedenheit und vertrauten den Cardiolotsen. Jedoch konnten zufriedenheitsscore zwischen Interventions- und Kontrollgruppe hinsichtlich Behandlung nicht unterschieden werden. Nur 10% der niedergelassenen Ärzte erreichten regelmäßigen Kontakt – sektorübergreifende Kommunikation war die Haupthürde.</w:t>
      </w:r>
    </w:p>
    <w:p>
      <w:r>
        <w:rPr>
          <w:b/>
          <w:sz w:val="19"/>
        </w:rPr>
        <w:t xml:space="preserve">Übertragbarkeit: </w:t>
      </w:r>
      <w:r>
        <w:rPr>
          <w:sz w:val="19"/>
        </w:rPr>
        <w:t>Realistische deutsche Versorgungsforschung zu Care Coordination</w:t>
      </w:r>
    </w:p>
    <w:p>
      <w:r>
        <w:rPr>
          <w:color w:val="5A7D3A"/>
          <w:sz w:val="18"/>
        </w:rPr>
        <w:t>https://pubmed.ncbi.nlm.nih.gov/42717334/</w:t>
      </w:r>
    </w:p>
    <w:p>
      <w:pPr>
        <w:pStyle w:val="Heading2"/>
      </w:pPr>
      <w:r>
        <w:t>Patient-Reported Outcomes nach Revaskularisation bei Claudicatio intermittens</w:t>
      </w:r>
    </w:p>
    <w:p>
      <w:r>
        <w:rPr>
          <w:i/>
          <w:color w:val="666666"/>
          <w:sz w:val="18"/>
        </w:rPr>
        <w:t>Peters F et al.  ·  J Vasc Surg  ·  08.09.2026  ·  PMID 42710606</w:t>
      </w:r>
    </w:p>
    <w:p>
      <w:r>
        <w:t>Deutsche prospektive Multizenterstudie zu Patient-Reported Outcomes (PROMs) nach invasiver Revaskularisierung bei Claudicatio intermittens.</w:t>
      </w:r>
    </w:p>
    <w:p>
      <w:r>
        <w:rPr>
          <w:b/>
        </w:rPr>
        <w:t xml:space="preserve">Ergebnis: </w:t>
      </w:r>
      <w:r>
        <w:t>Von 963 Patienten (64% Männer, Median 68 Jahre) verbesserte sich der Physical Component Summary score (SF-12) von median 35 auf 45 (Bereich Q1-Q3: 28-43 auf 39-52). Maximale schmerzfreie Gehstrecke stieg um 20 Minuten, Beinschmerzen im Ruhezustand sank um 10 Punkte. Adipositas, Rentner-Status und Nicht-Erwerbstätigkeit waren mit kleineren Verbesserungen assoziiert.</w:t>
      </w:r>
    </w:p>
    <w:p>
      <w:r>
        <w:rPr>
          <w:b/>
          <w:sz w:val="19"/>
        </w:rPr>
        <w:t xml:space="preserve">Übertragbarkeit: </w:t>
      </w:r>
      <w:r>
        <w:rPr>
          <w:sz w:val="19"/>
        </w:rPr>
        <w:t>Deutsche Multizenterstudie, direkt auf deutsches Gesundheitssystem übertragbar</w:t>
      </w:r>
    </w:p>
    <w:p>
      <w:r>
        <w:rPr>
          <w:color w:val="5A7D3A"/>
          <w:sz w:val="18"/>
        </w:rPr>
        <w:t>https://pubmed.ncbi.nlm.nih.gov/42710606/</w:t>
      </w:r>
    </w:p>
    <w:p>
      <w:pPr>
        <w:pStyle w:val="Heading2"/>
      </w:pPr>
      <w:r>
        <w:t>Gute Praxis Sekundärdatenanalyse Version 4: Leitlinien und Empfehlungen</w:t>
      </w:r>
    </w:p>
    <w:p>
      <w:r>
        <w:rPr>
          <w:i/>
          <w:color w:val="666666"/>
          <w:sz w:val="18"/>
        </w:rPr>
        <w:t>Swart E et al.  ·  Gesundheitswesen  ·  07.09.2026  ·  PMID 42705329</w:t>
      </w:r>
    </w:p>
    <w:p>
      <w:r>
        <w:t>Aktualisierte Richtlinie für methodische Standards bei der Durchführung von Sekundärdatenanalysen in Deutschland mit neuen Empfehlungen.</w:t>
      </w:r>
    </w:p>
    <w:p>
      <w:r>
        <w:rPr>
          <w:b/>
        </w:rPr>
        <w:t xml:space="preserve">Ergebnis: </w:t>
      </w:r>
      <w:r>
        <w:t>Version 4 ergänzt frühere Versionen um Empfehlungen zu Studienpopulation, Auswertestrategie, Registrierung, Zusammenspiel von Datenanalyse und Patient:innenperspektive, Data Dictionaries, Zwischenauswertungen, verteiltem Rechnen, Dokumentation, gepoolten Daten, Rechtrahmen und Wissenschaftskommunikation. Standard für Sekundärdatenanalysen nach wissenschaftlichen Grundsätzen in Deutschland etabliert.</w:t>
      </w:r>
    </w:p>
    <w:p>
      <w:r>
        <w:rPr>
          <w:b/>
          <w:sz w:val="19"/>
        </w:rPr>
        <w:t xml:space="preserve">Übertragbarkeit: </w:t>
      </w:r>
      <w:r>
        <w:rPr>
          <w:sz w:val="19"/>
        </w:rPr>
        <w:t>Deutsche Fachmethodologie, grundlegend für deutsches Versorgungsforschungs-System</w:t>
      </w:r>
    </w:p>
    <w:p>
      <w:r>
        <w:rPr>
          <w:color w:val="5A7D3A"/>
          <w:sz w:val="18"/>
        </w:rPr>
        <w:t>https://pubmed.ncbi.nlm.nih.gov/42705329/</w:t>
      </w:r>
    </w:p>
    <w:p>
      <w:pPr>
        <w:pStyle w:val="Heading1"/>
      </w:pPr>
      <w:r>
        <w:t>Aufgenommen am 10.09.2026</w:t>
      </w:r>
    </w:p>
    <w:p>
      <w:pPr>
        <w:pStyle w:val="Heading2"/>
      </w:pPr>
      <w:r>
        <w:t>Sentiment analysis mit BERT-Modell für Patientenerfahrungen in der Primärversorgung</w:t>
      </w:r>
    </w:p>
    <w:p>
      <w:r>
        <w:rPr>
          <w:i/>
          <w:color w:val="666666"/>
          <w:sz w:val="18"/>
        </w:rPr>
        <w:t>Norman RM et al.  ·  Fam Pract  ·  31.07.2026  ·  PMID 42713859</w:t>
      </w:r>
    </w:p>
    <w:p>
      <w:r>
        <w:t>Fine-tuning eines Sprachmodells (NorBERT3) zur automatisierten Sentimentanalyse von Patientenerfahrungen in norwegischen Hausarztpraxen.</w:t>
      </w:r>
    </w:p>
    <w:p>
      <w:r>
        <w:rPr>
          <w:b/>
        </w:rPr>
        <w:t xml:space="preserve">Ergebnis: </w:t>
      </w:r>
      <w:r>
        <w:t>Das optimierte Modell erzielte hohe F1-Scores auf Testdaten (0,80 AUC für Online-Bewertungen), übertraf traditionelle Methoden und ein großes Sprachmodell. Konstruktvalidität wurde durch erwartete Korrelationen mit Patientenerfahrungsscores und bekannte Subgruppenunterschiede unterstützt.</w:t>
      </w:r>
    </w:p>
    <w:p>
      <w:r>
        <w:rPr>
          <w:b/>
          <w:sz w:val="19"/>
        </w:rPr>
        <w:t xml:space="preserve">Übertragbarkeit: </w:t>
      </w:r>
      <w:r>
        <w:rPr>
          <w:sz w:val="19"/>
        </w:rPr>
        <w:t>Norwegen, ähnliche Primärversorgungsstruktur wie Deutschland</w:t>
      </w:r>
    </w:p>
    <w:p>
      <w:r>
        <w:rPr>
          <w:color w:val="5A7D3A"/>
          <w:sz w:val="18"/>
        </w:rPr>
        <w:t>https://pubmed.ncbi.nlm.nih.gov/42713859/</w:t>
      </w:r>
    </w:p>
    <w:p>
      <w:pPr>
        <w:pStyle w:val="Heading2"/>
      </w:pPr>
      <w:r>
        <w:t>Unterstützungsmodell für sichere Medikamentennutzung bei Migranten mit Sprachbarrieren</w:t>
      </w:r>
    </w:p>
    <w:p>
      <w:r>
        <w:rPr>
          <w:i/>
          <w:color w:val="666666"/>
          <w:sz w:val="18"/>
        </w:rPr>
        <w:t>Hjelm K et al.  ·  BMC Health Serv Res  ·  07.09.2026  ·  PMID 42711692</w:t>
      </w:r>
    </w:p>
    <w:p>
      <w:r>
        <w:t>Co-creation Partizipative Aktionsforschung identifizierte Unterstützungsbedarfe für sichere Medikamentennutzung bei fremdgeborenen Personen mit Sprachschwierigkeiten in Schweden.</w:t>
      </w:r>
    </w:p>
    <w:p>
      <w:r>
        <w:rPr>
          <w:b/>
        </w:rPr>
        <w:t xml:space="preserve">Ergebnis: </w:t>
      </w:r>
      <w:r>
        <w:t>Sieben Handlungsfelder identifiziert: Routinen für sichere Medikamentennutzung, Kontinuität, Sprachenunterstützung, Ressourcen, Patienteneducation, Mitarbeiterschulung und nationale Maßnahmen. Kern: Koordiniertes interdisziplinäres Team in der Primärversorgung mit erreichbarer Kontaktperson.</w:t>
      </w:r>
    </w:p>
    <w:p>
      <w:r>
        <w:rPr>
          <w:b/>
          <w:sz w:val="19"/>
        </w:rPr>
        <w:t xml:space="preserve">Übertragbarkeit: </w:t>
      </w:r>
      <w:r>
        <w:rPr>
          <w:sz w:val="19"/>
        </w:rPr>
        <w:t>Schweden, vergleichbares Sozialversicherungssystem, Migrationskontexte zentral</w:t>
      </w:r>
    </w:p>
    <w:p>
      <w:r>
        <w:rPr>
          <w:color w:val="5A7D3A"/>
          <w:sz w:val="18"/>
        </w:rPr>
        <w:t>https://pubmed.ncbi.nlm.nih.gov/42711692/</w:t>
      </w:r>
    </w:p>
    <w:p>
      <w:pPr>
        <w:pStyle w:val="Heading2"/>
      </w:pPr>
      <w:r>
        <w:t>Dementenangebot und Ergebnisse in japanischen Akutkrankenhäusern nach Finanzierungsanreiz</w:t>
      </w:r>
    </w:p>
    <w:p>
      <w:r>
        <w:rPr>
          <w:i/>
          <w:color w:val="666666"/>
          <w:sz w:val="18"/>
        </w:rPr>
        <w:t>Wu J et al.  ·  Geriatr Gerontol Int  ·  Sept. 2026  ·  PMID 42711657</w:t>
      </w:r>
    </w:p>
    <w:p>
      <w:r>
        <w:t>Nationale Analyse der Patienten, die für Japans Dementatax-Anreiz (DCA) berechtigt sind, und deren klinische Versorgungsergebnisse 2016–2019.</w:t>
      </w:r>
    </w:p>
    <w:p>
      <w:r>
        <w:rPr>
          <w:b/>
        </w:rPr>
        <w:t xml:space="preserve">Ergebnis: </w:t>
      </w:r>
      <w:r>
        <w:t>1.046.652 Hospitalisierungen von Personen über 65 Jahren mit Dementia. DCA-Abrechnungen stiegen von 6,4% (DCA1) und 13,2% (DCA2) 2016 auf 20,8% und 32,8% 2019. Verweildauer sank von 33,7 auf 27,8 Tage, Krankenhaussterblichkeit von 13,9% auf 12,9%, unangemessene Medikation von 16,2% auf 14,0%.</w:t>
      </w:r>
    </w:p>
    <w:p>
      <w:r>
        <w:rPr>
          <w:b/>
          <w:sz w:val="19"/>
        </w:rPr>
        <w:t xml:space="preserve">Übertragbarkeit: </w:t>
      </w:r>
      <w:r>
        <w:rPr>
          <w:sz w:val="19"/>
        </w:rPr>
        <w:t>Japan, begrenzt übertragbar; Fragestellung zu Finanzierungseffekten in Gesundheitssystemen mit anderen Anreizstrukturen</w:t>
      </w:r>
    </w:p>
    <w:p>
      <w:r>
        <w:rPr>
          <w:color w:val="5A7D3A"/>
          <w:sz w:val="18"/>
        </w:rPr>
        <w:t>https://pubmed.ncbi.nlm.nih.gov/42711657/</w:t>
      </w:r>
    </w:p>
    <w:p>
      <w:pPr>
        <w:pStyle w:val="Heading2"/>
      </w:pPr>
      <w:r>
        <w:t>Auswirkungen von Fortbildung auf Personalfluktuation in US-Veteranenkliniken</w:t>
      </w:r>
    </w:p>
    <w:p>
      <w:r>
        <w:rPr>
          <w:i/>
          <w:color w:val="666666"/>
          <w:sz w:val="18"/>
        </w:rPr>
        <w:t>Sterling R et al.  ·  J Rural Health  ·  Juni 2026  ·  PMID 42708822</w:t>
      </w:r>
    </w:p>
    <w:p>
      <w:r>
        <w:t>Quasi-experimentelle Studie der Rural Interprofessional Faculty Development Initiative (RIFDI) auf Mitarbeiterkontinuität in VHA-Kliniken landesweit 2019–2024.</w:t>
      </w:r>
    </w:p>
    <w:p>
      <w:r>
        <w:rPr>
          <w:b/>
        </w:rPr>
        <w:t xml:space="preserve">Ergebnis: </w:t>
      </w:r>
      <w:r>
        <w:t>Fluktuationsrate &lt;1 Jahr nach RIFDI-Abschluss: 12,8% (geringe Engagements), &lt;1,0% (hohe Engagements), 11,3% (keine RIFDI). Hochengagierte Teilnehmer hatten 11-fach niedrigere Fluktuationsquoten (p&lt;0,001).</w:t>
      </w:r>
    </w:p>
    <w:p>
      <w:r>
        <w:rPr>
          <w:b/>
          <w:sz w:val="19"/>
        </w:rPr>
        <w:t xml:space="preserve">Übertragbarkeit: </w:t>
      </w:r>
      <w:r>
        <w:rPr>
          <w:sz w:val="19"/>
        </w:rPr>
        <w:t>USA-Veteranensystem; Fragestellung zu Personalentwicklung systemunabhängig</w:t>
      </w:r>
    </w:p>
    <w:p>
      <w:r>
        <w:rPr>
          <w:color w:val="5A7D3A"/>
          <w:sz w:val="18"/>
        </w:rPr>
        <w:t>https://pubmed.ncbi.nlm.nih.gov/42708822/</w:t>
      </w:r>
    </w:p>
    <w:p>
      <w:pPr>
        <w:pStyle w:val="Heading2"/>
      </w:pPr>
      <w:r>
        <w:t>Exposition gegenüber Passivrauchen und durch GBD 2023 verursachte Krankheitslast</w:t>
      </w:r>
    </w:p>
    <w:p>
      <w:r>
        <w:rPr>
          <w:i/>
          <w:color w:val="666666"/>
          <w:sz w:val="18"/>
        </w:rPr>
        <w:t>GBD 2023 Second-hand smoke Collaborators  ·  Lancet Public Health  ·  07.09.2026  ·  PMID 42705247</w:t>
      </w:r>
    </w:p>
    <w:p>
      <w:r>
        <w:t>Globale, regionale und nationale Prävalenz der Passivrauchwirkung und der zurechenbaren Krankheitslast in 204 Ländern 1990–2023, GBD 2023 Studie.</w:t>
      </w:r>
    </w:p>
    <w:p>
      <w:r>
        <w:rPr>
          <w:b/>
        </w:rPr>
        <w:t xml:space="preserve">Ergebnis: </w:t>
      </w:r>
      <w:r>
        <w:t>2,71 Mrd. Menschen 2023 exponiert (767 Mio. Kinder 0–14 Jahre); 22,2% Rückgang der altersstandartisierten Prävalenz seit 1990. Absolute Fallzahlen stabil global, aber +98,5% in Sub-Sahara-Afrika, +72,1% Nordafrika/Naher Osten. 1,66 Mio. Todesfälle, 44,8 Mio. DALYs; ischämische Herzerkrankung und pädiatrische Infektionen der Atemwege führend.</w:t>
      </w:r>
    </w:p>
    <w:p>
      <w:r>
        <w:rPr>
          <w:b/>
          <w:sz w:val="19"/>
        </w:rPr>
        <w:t xml:space="preserve">Übertragbarkeit: </w:t>
      </w:r>
      <w:r>
        <w:rPr>
          <w:sz w:val="19"/>
        </w:rPr>
        <w:t>Globale Daten; Public-Health-Fragestellung systemunabhängig relevant</w:t>
      </w:r>
    </w:p>
    <w:p>
      <w:r>
        <w:rPr>
          <w:color w:val="5A7D3A"/>
          <w:sz w:val="18"/>
        </w:rPr>
        <w:t>https://pubmed.ncbi.nlm.nih.gov/42705247/</w:t>
      </w:r>
    </w:p>
    <w:p>
      <w:pPr>
        <w:pStyle w:val="Heading1"/>
      </w:pPr>
      <w:r>
        <w:t>Aufgenommen am 09.09.2026</w:t>
      </w:r>
    </w:p>
    <w:p>
      <w:pPr>
        <w:pStyle w:val="Heading2"/>
      </w:pPr>
      <w:r>
        <w:t>Fahrplan für die organisationsweite Einführung evidenzbasierter Medizin</w:t>
      </w:r>
    </w:p>
    <w:p>
      <w:r>
        <w:rPr>
          <w:i/>
          <w:color w:val="666666"/>
          <w:sz w:val="18"/>
        </w:rPr>
        <w:t>van der Braak K et al.  ·  JBI Evid Implement  ·  09.09.2026  ·  PMID 42710024</w:t>
      </w:r>
    </w:p>
    <w:p>
      <w:r>
        <w:t>Systematischer Überblick über 100 Reviews (2013–2023) zur Implementierung evidenzbasierter Medizin, ausgewertet nach Outcome-Messung, Kontextanalyse und Implementierungsstrategien.</w:t>
      </w:r>
    </w:p>
    <w:p>
      <w:r>
        <w:rPr>
          <w:b/>
        </w:rPr>
        <w:t xml:space="preserve">Ergebnis: </w:t>
      </w:r>
      <w:r>
        <w:t>Vier durchgängig empfohlene Messinstrumente wurden identifiziert (EBPQ, EPIC, Fresno Test, HS-EBP); 50 Reviews behandelten die Outcome-Messung, 57 die Kontextanalyse mit 22 Themen und 40 die Implementierungsstrategien, davon 38 edukative. Edukative Strategien sind am besten untersucht; Veränderungen der Infrastruktur sowie Outcomes auf Organisations- und Patientenebene bleiben unterrepräsentiert.</w:t>
      </w:r>
    </w:p>
    <w:p>
      <w:r>
        <w:rPr>
          <w:b/>
          <w:sz w:val="19"/>
        </w:rPr>
        <w:t xml:space="preserve">Übertragbarkeit: </w:t>
      </w:r>
      <w:r>
        <w:rPr>
          <w:sz w:val="19"/>
        </w:rPr>
        <w:t>Niederlande, Cochrane-Netzwerk; Sozialversicherungssystem mit Implementierungswissenschaft.</w:t>
      </w:r>
    </w:p>
    <w:p>
      <w:r>
        <w:rPr>
          <w:color w:val="5A7D3A"/>
          <w:sz w:val="18"/>
        </w:rPr>
        <w:t>https://pubmed.ncbi.nlm.nih.gov/42710024/</w:t>
      </w:r>
    </w:p>
    <w:p>
      <w:pPr>
        <w:pStyle w:val="Heading2"/>
      </w:pPr>
      <w:r>
        <w:t>Umweltverträglichere Arzneiwirkstoffe: Sichtweisen von Fachleuten im Gesundheitswesen</w:t>
      </w:r>
    </w:p>
    <w:p>
      <w:r>
        <w:rPr>
          <w:i/>
          <w:color w:val="666666"/>
          <w:sz w:val="18"/>
        </w:rPr>
        <w:t>Puhlmann N et al.  ·  BMC Health Serv Res  ·  04.09.2026  ·  PMID 42706542</w:t>
      </w:r>
    </w:p>
    <w:p>
      <w:r>
        <w:t>Qualitative Interviewstudie mit 16 europäischen Fachleuten (Ärzte, Apotheker, Beschaffung, Erstattung, Zulassung) zu den Voraussetzungen für den Einsatz umweltverträglicherer Arzneiwirkstoffe.</w:t>
      </w:r>
    </w:p>
    <w:p>
      <w:r>
        <w:rPr>
          <w:b/>
        </w:rPr>
        <w:t xml:space="preserve">Ergebnis: </w:t>
      </w:r>
      <w:r>
        <w:t>Die Befragten benannten bereits bestehende Ansätze, etwa Umweltkriterien in Beschaffungsausschreibungen. Als Voraussetzungen gelten verlässliche Daten zur Umweltwirkung, ein harmonisierter rechtlicher Bewertungsrahmen und eine zentrale Entscheidungsinstanz für Umwelteigenschaften. Wichtigster Ansatzpunkt ist aus Sicht der Befragten das Zulassungsverfahren; das fachliche Interesse an Umweltdaten könne Hersteller zur Offenlegung und zu umweltverträglicherem Wirkstoffdesign bewegen.</w:t>
      </w:r>
    </w:p>
    <w:p>
      <w:r>
        <w:rPr>
          <w:b/>
          <w:sz w:val="19"/>
        </w:rPr>
        <w:t xml:space="preserve">Übertragbarkeit: </w:t>
      </w:r>
      <w:r>
        <w:rPr>
          <w:sz w:val="19"/>
        </w:rPr>
        <w:t>Europäische Perspektiven; Regulierung und Beschaffung relevant für deutsches System.</w:t>
      </w:r>
    </w:p>
    <w:p>
      <w:r>
        <w:rPr>
          <w:color w:val="5A7D3A"/>
          <w:sz w:val="18"/>
        </w:rPr>
        <w:t>https://pubmed.ncbi.nlm.nih.gov/42706542/</w:t>
      </w:r>
    </w:p>
    <w:p>
      <w:pPr>
        <w:pStyle w:val="Heading2"/>
      </w:pPr>
      <w:r>
        <w:t>System Support Mapping: Implementierungsfaktoren auf neonatologischen Intensivstationen erfassen</w:t>
      </w:r>
    </w:p>
    <w:p>
      <w:r>
        <w:rPr>
          <w:i/>
          <w:color w:val="666666"/>
          <w:sz w:val="18"/>
        </w:rPr>
        <w:t>Dymek NG et al.  ·  BMC Health Serv Res  ·  05.09.2026  ·  PMID 42706532</w:t>
      </w:r>
    </w:p>
    <w:p>
      <w:r>
        <w:t>Methodische Darstellung des System Support Mapping in Verbindung mit einem Matrixed Multiple Case Study-Ansatz zur Erhebung von Implementierungsfaktoren in einer Studie zur Stillförderung an fünf deutschen neonatologischen Intensivstationen.</w:t>
      </w:r>
    </w:p>
    <w:p>
      <w:r>
        <w:rPr>
          <w:b/>
        </w:rPr>
        <w:t xml:space="preserve">Ergebnis: </w:t>
      </w:r>
      <w:r>
        <w:t>Vorgestellt wird ein Vorgehen in sechs Schritten: je Station eine eigene System Support Map (Schritte 1–3), danach eine stationsübergreifende Matrix zum Vergleich (Schritte 4–6). Innerhalb der Standorte zeigte sich, dass dieselbe Ressource je nach Kontext als förderlich, hinderlich oder beides wahrgenommen wurde; im Vergleich der Standorte traten gleichförmige wie heterogene Muster hervor. Damit lassen sich standortspezifische und übergreifende Strategien voneinander unterscheiden.</w:t>
      </w:r>
    </w:p>
    <w:p>
      <w:r>
        <w:rPr>
          <w:b/>
          <w:sz w:val="19"/>
        </w:rPr>
        <w:t xml:space="preserve">Übertragbarkeit: </w:t>
      </w:r>
      <w:r>
        <w:rPr>
          <w:sz w:val="19"/>
        </w:rPr>
        <w:t>Deutsche NICUs; Implementierungswissenschaft für deutsche Kontexte.</w:t>
      </w:r>
    </w:p>
    <w:p>
      <w:r>
        <w:rPr>
          <w:color w:val="5A7D3A"/>
          <w:sz w:val="18"/>
        </w:rPr>
        <w:t>https://pubmed.ncbi.nlm.nih.gov/42706532/</w:t>
      </w:r>
    </w:p>
    <w:p>
      <w:pPr>
        <w:pStyle w:val="Heading2"/>
      </w:pPr>
      <w:r>
        <w:t>Primary Care Behavioral Health in der schwedischen Primärversorgung: Ergebnisse einer Pilotstudie</w:t>
      </w:r>
    </w:p>
    <w:p>
      <w:r>
        <w:rPr>
          <w:i/>
          <w:color w:val="666666"/>
          <w:sz w:val="18"/>
        </w:rPr>
        <w:t>Nordgren LB et al.  ·  BMC Health Serv Res  ·  03.09.2026  ·  PMID 42706525</w:t>
      </w:r>
    </w:p>
    <w:p>
      <w:r>
        <w:t>Stepped-Wedge-Studie zur Einführung des Primary Care Behavioral Health-Modells in vier schwedischen Primärversorgungszentren mit 37.100 eingeschriebenen Patienten über drei Zeiträume.</w:t>
      </w:r>
    </w:p>
    <w:p>
      <w:r>
        <w:rPr>
          <w:b/>
        </w:rPr>
        <w:t xml:space="preserve">Ergebnis: </w:t>
      </w:r>
      <w:r>
        <w:t>Nach der Einführung sank die Wartezeit auf den Ersttermin um 30–39 % (von 16 auf 10 bis 11 Tage, p&lt;0,001), die Wartezeit auf alle Termine um 21–24 % (von 18 auf 13,7 bis 14,2 Tage, p&lt;0,001). Die Zahl der Termine bei Behavioral Health Consultants stieg um 21–34 % (von 1.762 auf 2.127 bis 2.359, p&lt;0,001), die Zahl der Psychopharmaka-Verordnungen sank um 14–18 % (von 8.025 auf 6.570 bis 6.927, p&lt;0,001). Nach Abschluss der Einführungsphase gingen die Verbesserungen teilweise zurück.</w:t>
      </w:r>
    </w:p>
    <w:p>
      <w:r>
        <w:rPr>
          <w:b/>
          <w:sz w:val="19"/>
        </w:rPr>
        <w:t xml:space="preserve">Übertragbarkeit: </w:t>
      </w:r>
      <w:r>
        <w:rPr>
          <w:sz w:val="19"/>
        </w:rPr>
        <w:t>Schweden, Primärversorgung; hausarztgesteuertes System, aber prozessuale Lernpunkte übertragbar.</w:t>
      </w:r>
    </w:p>
    <w:p>
      <w:r>
        <w:rPr>
          <w:color w:val="5A7D3A"/>
          <w:sz w:val="18"/>
        </w:rPr>
        <w:t>https://pubmed.ncbi.nlm.nih.gov/42706525/</w:t>
      </w:r>
    </w:p>
    <w:p>
      <w:pPr>
        <w:pStyle w:val="Heading2"/>
      </w:pPr>
      <w:r>
        <w:t>Leitliniengerechte Aphasietherapie: Systembarrieren im deutschsprachigen Raum</w:t>
      </w:r>
    </w:p>
    <w:p>
      <w:r>
        <w:rPr>
          <w:i/>
          <w:color w:val="666666"/>
          <w:sz w:val="18"/>
        </w:rPr>
        <w:t>May S et al.  ·  BMC Health Serv Res  ·  07.09.2026  ·  PMID 42706524</w:t>
      </w:r>
    </w:p>
    <w:p>
      <w:r>
        <w:t>Explorative qualitative Studie mit zwei Online-Fokusgruppen aus Menschen mit Aphasie, Angehörigen, Logopäden und Akteuren des Gesundheitswesens zu den Hürden einer leitliniengerechten Therapie im deutschsprachigen Raum.</w:t>
      </w:r>
    </w:p>
    <w:p>
      <w:r>
        <w:rPr>
          <w:b/>
        </w:rPr>
        <w:t xml:space="preserve">Ergebnis: </w:t>
      </w:r>
      <w:r>
        <w:t>Sechs Kategorien von Barrieren wurden benannt: gesellschaftliche und systemische Rahmenbedingungen, Zugang zur Versorgung, Brüche im Behandlungsverlauf, die Rolle der Angehörigen, psychosoziale Faktoren und Lücken in der interdisziplinären Versorgung. Als besonders anfällig gilt der Übergang von der stationären in die ambulante Versorgung; zerklüftete Versorgungspfade und finanzielle Hürden erschwerten die Umsetzung, und die informelle Unterstützung durch Angehörige schuf Ungleichheiten beim Zugang.</w:t>
      </w:r>
    </w:p>
    <w:p>
      <w:r>
        <w:rPr>
          <w:b/>
          <w:sz w:val="19"/>
        </w:rPr>
        <w:t xml:space="preserve">Übertragbarkeit: </w:t>
      </w:r>
      <w:r>
        <w:rPr>
          <w:sz w:val="19"/>
        </w:rPr>
        <w:t>Deutschland/Österreich/Schweiz, direkt; fokussiert auf Versorgungslücken und Systembarrieren.</w:t>
      </w:r>
    </w:p>
    <w:p>
      <w:r>
        <w:rPr>
          <w:color w:val="5A7D3A"/>
          <w:sz w:val="18"/>
        </w:rPr>
        <w:t>https://pubmed.ncbi.nlm.nih.gov/42706524/</w:t>
      </w:r>
    </w:p>
    <w:p>
      <w:pPr>
        <w:pStyle w:val="Heading2"/>
      </w:pPr>
      <w:r>
        <w:t>Patientenzufriedenheit in der Tele-Ophthalmologie: systematisches Review mit Metaanalyse</w:t>
      </w:r>
    </w:p>
    <w:p>
      <w:r>
        <w:rPr>
          <w:i/>
          <w:color w:val="666666"/>
          <w:sz w:val="18"/>
        </w:rPr>
        <w:t>Al-Nosairy KO et al.  ·  Eye (Lond)  ·  07.09.2026  ·  PMID 42706426</w:t>
      </w:r>
    </w:p>
    <w:p>
      <w:r>
        <w:t>Systematisches Review mit Metaanalyse aus 41 Studien (24.595 Teilnehmende) zum Vergleich der Patientenzufriedenheit zwischen tele-ophthalmologischer und persönlicher augenärztlicher Versorgung.</w:t>
      </w:r>
    </w:p>
    <w:p>
      <w:r>
        <w:rPr>
          <w:b/>
        </w:rPr>
        <w:t xml:space="preserve">Ergebnis: </w:t>
      </w:r>
      <w:r>
        <w:t>Die Zufriedenheit war vergleichbar (OR 0,98; 95%-KI 0,36–2,65, p=0,95). Gepoolt lag die Zufriedenheit mit der Telemedizin bei 93,5 % (95%-KI 90,8–95,5), die allgemeine Akzeptanz bei 92,0 %. Asynchrone (94,6 %), synchrone (92,1 %) und hybride Modelle (93,8 %) unterschieden sich kaum. Die Weiterempfehlung fiel höher aus (94,9 %) als die Absicht zur erneuten Nutzung (84,0 %); ein Publikationsbias war nicht nachweisbar (p&gt;0,05).</w:t>
      </w:r>
    </w:p>
    <w:p>
      <w:r>
        <w:rPr>
          <w:b/>
          <w:sz w:val="19"/>
        </w:rPr>
        <w:t xml:space="preserve">Übertragbarkeit: </w:t>
      </w:r>
      <w:r>
        <w:rPr>
          <w:sz w:val="19"/>
        </w:rPr>
        <w:t>Querschnittsübertragbar: Patientenzufriedenheit systemunabhängig.</w:t>
      </w:r>
    </w:p>
    <w:p>
      <w:r>
        <w:rPr>
          <w:color w:val="5A7D3A"/>
          <w:sz w:val="18"/>
        </w:rPr>
        <w:t>https://pubmed.ncbi.nlm.nih.gov/42706426/</w:t>
      </w:r>
    </w:p>
    <w:p>
      <w:pPr>
        <w:pStyle w:val="Heading2"/>
      </w:pPr>
      <w:r>
        <w:t>Hausarztkontakte und Prävention chronischer Erkrankungen in Chinas Gesundheitsreform</w:t>
      </w:r>
    </w:p>
    <w:p>
      <w:r>
        <w:rPr>
          <w:i/>
          <w:color w:val="666666"/>
          <w:sz w:val="18"/>
        </w:rPr>
        <w:t>Zhang Y et al.  ·  Soc Sci Med  ·  12.08.2026  ·  PMID 42704983</w:t>
      </w:r>
    </w:p>
    <w:p>
      <w:r>
        <w:t>Panelstudie mit 11.425 Personen aus vier Erhebungswellen (2011–2018) der China Health and Retirement Longitudinal Study zum Zusammenhang zwischen Hausarztkontakten, dem Neuauftreten chronischer Erkrankungen und der Krankenhausnutzung.</w:t>
      </w:r>
    </w:p>
    <w:p>
      <w:r>
        <w:rPr>
          <w:b/>
        </w:rPr>
        <w:t xml:space="preserve">Ergebnis: </w:t>
      </w:r>
      <w:r>
        <w:t>Jeder zusätzliche Hausarztkontakt ging mit weniger neu hinzukommenden chronischen Erkrankungen einher (−0,011; 95%-KI −0,017 bis −0,004). Stärker war der Zusammenhang bei Stadtbewohnern (−0,016), bei Personen mit Grundschulbildung (−0,014) und bei nur einer chronischen Erkrankung (−0,018). Bei bereits Erkrankten bestand kein signifikanter Zusammenhang mit ambulanten Krankenhauskontakten (−0,010; 95%-KI −0,029 bis 0,009) oder stationären Aufnahmen (0,010; 95%-KI −0,020 bis 0,040).</w:t>
      </w:r>
    </w:p>
    <w:p>
      <w:r>
        <w:rPr>
          <w:b/>
          <w:sz w:val="19"/>
        </w:rPr>
        <w:t xml:space="preserve">Übertragbarkeit: </w:t>
      </w:r>
      <w:r>
        <w:rPr>
          <w:sz w:val="19"/>
        </w:rPr>
        <w:t>China; Konzepte zu Primärversorgung und Prävention aber strukturelle Unterschiede erheblich.</w:t>
      </w:r>
    </w:p>
    <w:p>
      <w:r>
        <w:rPr>
          <w:color w:val="5A7D3A"/>
          <w:sz w:val="18"/>
        </w:rPr>
        <w:t>https://pubmed.ncbi.nlm.nih.gov/42704983/</w:t>
      </w:r>
    </w:p>
    <w:p>
      <w:pPr>
        <w:pStyle w:val="Heading1"/>
      </w:pPr>
      <w:r>
        <w:t>Aufgenommen am 08.09.2026</w:t>
      </w:r>
    </w:p>
    <w:p>
      <w:pPr>
        <w:pStyle w:val="Heading2"/>
      </w:pPr>
      <w:r>
        <w:t>Patientensicht auf Zahnbehandlungsqualität: qualitative Systematik-Übersicht</w:t>
      </w:r>
    </w:p>
    <w:p>
      <w:r>
        <w:rPr>
          <w:i/>
          <w:color w:val="666666"/>
          <w:sz w:val="18"/>
        </w:rPr>
        <w:t>Tay AHC et al.  ·  J Dent Res  ·  07.09.2026  ·  PMID 42703647</w:t>
      </w:r>
    </w:p>
    <w:p>
      <w:r>
        <w:t>Systematische qualitative Analyse von 36 Studien zur Patientenwahrnehmung von Qualität in der Zahnversorgung.</w:t>
      </w:r>
    </w:p>
    <w:p>
      <w:r>
        <w:rPr>
          <w:b/>
        </w:rPr>
        <w:t xml:space="preserve">Ergebnis: </w:t>
      </w:r>
      <w:r>
        <w:t>Vier Kernthemen: (1) strukturelle Bedingungen für Vertrauen, (2) Sicherheit durch erlebte Kompetenz, (3) zwischenmenschliche Pflege als Qualitätsfundament (Respekt, Empathie, Kommunikation, Shared Decision Making), (4) kontinuierliche Beziehung als patientenrelevantes Ergebnis. Patienten deuten relationale und emotionale Aspekte als Indikatoren der Systemorientierung.</w:t>
      </w:r>
    </w:p>
    <w:p>
      <w:r>
        <w:rPr>
          <w:b/>
          <w:sz w:val="19"/>
        </w:rPr>
        <w:t xml:space="preserve">Übertragbarkeit: </w:t>
      </w:r>
      <w:r>
        <w:rPr>
          <w:sz w:val="19"/>
        </w:rPr>
        <w:t>Diverse Populationen international, Thematik der Patientenzentralität systemunabhängig übertragbar.</w:t>
      </w:r>
    </w:p>
    <w:p>
      <w:r>
        <w:rPr>
          <w:color w:val="5A7D3A"/>
          <w:sz w:val="18"/>
        </w:rPr>
        <w:t>https://pubmed.ncbi.nlm.nih.gov/42703647/</w:t>
      </w:r>
    </w:p>
    <w:p>
      <w:pPr>
        <w:pStyle w:val="Heading2"/>
      </w:pPr>
      <w:r>
        <w:t>Regionale Disparitäten bei Lebendnierenverpflanzungen in Australien und Neuseeland</w:t>
      </w:r>
    </w:p>
    <w:p>
      <w:r>
        <w:rPr>
          <w:i/>
          <w:color w:val="666666"/>
          <w:sz w:val="18"/>
        </w:rPr>
        <w:t>McMichael LC et al.  ·  Am J Transplant  ·  03.09.2026  ·  PMID 42692200</w:t>
      </w:r>
    </w:p>
    <w:p>
      <w:r>
        <w:t>Analyse der ANZORGG-Registry (Australien, Neuseeland) zu regionalen Unterschieden bei Zugang zu Lebendnierenverpflanzung.</w:t>
      </w:r>
    </w:p>
    <w:p>
      <w:r>
        <w:rPr>
          <w:b/>
        </w:rPr>
        <w:t xml:space="preserve">Ergebnis: </w:t>
      </w:r>
      <w:r>
        <w:t>Standardisierte Quote lebender Nierenverpflanzungen variierte zwischen 0,36 und 2,11 über 21 Netzwerke (n=53.313 Patienten 2002–2022). Von 21 Netzwerken lagen 4 (19%) unter Erwartung. Faktoren: direkte Transplantationsaffiliation des Behandlungszentrums, nicht-metropolitane Residenz und zeitnahe nephrologische Vorstellung assoziiert mit erhöhtem Lebendspender-Transplantationsrisiko.</w:t>
      </w:r>
    </w:p>
    <w:p>
      <w:r>
        <w:rPr>
          <w:b/>
          <w:sz w:val="19"/>
        </w:rPr>
        <w:t xml:space="preserve">Übertragbarkeit: </w:t>
      </w:r>
      <w:r>
        <w:rPr>
          <w:sz w:val="19"/>
        </w:rPr>
        <w:t>Australien/Neuseeland, Fragestellung zu regionalen Versorgungsungleichheiten in spezialisierten Leistungen übertragbar auf Deutschland.</w:t>
      </w:r>
    </w:p>
    <w:p>
      <w:r>
        <w:rPr>
          <w:color w:val="5A7D3A"/>
          <w:sz w:val="18"/>
        </w:rPr>
        <w:t>https://pubmed.ncbi.nlm.nih.gov/42692200/</w:t>
      </w:r>
    </w:p>
    <w:p>
      <w:pPr>
        <w:pStyle w:val="Heading2"/>
      </w:pPr>
      <w:r>
        <w:t>Private Krankenversicherung und Prävention in Australien: Längsschnittstudie</w:t>
      </w:r>
    </w:p>
    <w:p>
      <w:r>
        <w:rPr>
          <w:i/>
          <w:color w:val="666666"/>
          <w:sz w:val="18"/>
        </w:rPr>
        <w:t>Nguyen CM et al.  ·  Public Health  ·  03.09.2026  ·  PMID 42691737</w:t>
      </w:r>
    </w:p>
    <w:p>
      <w:r>
        <w:t>Längsschnittstudie an 9.674 australischen Erwachsenen (2009–2017) zur Assoziation zwischen privater Krankenversicherung und Nutzung von Präventivleistungen.</w:t>
      </w:r>
    </w:p>
    <w:p>
      <w:r>
        <w:rPr>
          <w:b/>
        </w:rPr>
        <w:t xml:space="preserve">Ergebnis: </w:t>
      </w:r>
      <w:r>
        <w:t>Chronische Erkrankungen wurden häufiger, Prävention nahm zu. Nach Adjustment zeigte sich: Bei Frauen waren hospital PHI und kombinierte PHI mit IRR 1,14 (95%-KI 1,09–1,18) bzw. 1,18 (1,11–1,25) assoziiert; bei Männern hospital PHI mit IRR 1,12 (1,00–1,23) und kombinierte PHI mit IRR 1,18 (1,11–1,25).</w:t>
      </w:r>
    </w:p>
    <w:p>
      <w:r>
        <w:rPr>
          <w:b/>
          <w:sz w:val="19"/>
        </w:rPr>
        <w:t xml:space="preserve">Übertragbarkeit: </w:t>
      </w:r>
      <w:r>
        <w:rPr>
          <w:sz w:val="19"/>
        </w:rPr>
        <w:t>Australisches Zwei-Klassen-System mit Medicare-Basisversorgung und zusätzlicher privater Versicherung; Frage zu Versicherungsstatus und Prävention eingeschränkt übertragbar.</w:t>
      </w:r>
    </w:p>
    <w:p>
      <w:r>
        <w:rPr>
          <w:color w:val="5A7D3A"/>
          <w:sz w:val="18"/>
        </w:rPr>
        <w:t>https://pubmed.ncbi.nlm.nih.gov/42691737/</w:t>
      </w:r>
    </w:p>
    <w:p>
      <w:pPr>
        <w:pStyle w:val="Heading2"/>
      </w:pPr>
      <w:r>
        <w:t>Screening auf Autoimmunität bei Typ-1-Diabetes aus Sicht des Fachpersonals</w:t>
      </w:r>
    </w:p>
    <w:p>
      <w:r>
        <w:rPr>
          <w:i/>
          <w:color w:val="666666"/>
          <w:sz w:val="18"/>
        </w:rPr>
        <w:t>Majstorovic M et al.  ·  Diabet Med  ·  01.09.2026  ·  PMID 42682016</w:t>
      </w:r>
    </w:p>
    <w:p>
      <w:r>
        <w:t>Qualitative Studie mit 32 australischen Fachkräften (Kindermedizin) zu Perspektiven auf Screening und Monitoring von Inselzellautoantkörpern.</w:t>
      </w:r>
    </w:p>
    <w:p>
      <w:r>
        <w:rPr>
          <w:b/>
        </w:rPr>
        <w:t xml:space="preserve">Ergebnis: </w:t>
      </w:r>
      <w:r>
        <w:t>Sieben Themen identifiziert: (1) umstrittenes Screening, (2) Strukturüberlegungen, (3) Zugangsparität, (4) Managementfokus auf Testerleben, (5) potenzielle psychische Folgen, (6) Bewältigungsfähigkeit der Betreuer, (7) Bedeutung vertrauensvoller Beziehungen. Fachkräfte betonten psychische Belastungen für Familien, Wichtigkeit therapeutischer Beziehungen.</w:t>
      </w:r>
    </w:p>
    <w:p>
      <w:r>
        <w:rPr>
          <w:b/>
          <w:sz w:val="19"/>
        </w:rPr>
        <w:t xml:space="preserve">Übertragbarkeit: </w:t>
      </w:r>
      <w:r>
        <w:rPr>
          <w:sz w:val="19"/>
        </w:rPr>
        <w:t>Qualitative Fachperspektive, Thema Screening-Akzeptanz und -Design systemunabhängig relevant.</w:t>
      </w:r>
    </w:p>
    <w:p>
      <w:r>
        <w:rPr>
          <w:color w:val="5A7D3A"/>
          <w:sz w:val="18"/>
        </w:rPr>
        <w:t>https://pubmed.ncbi.nlm.nih.gov/42682016/</w:t>
      </w:r>
    </w:p>
    <w:p>
      <w:pPr>
        <w:pStyle w:val="Heading2"/>
      </w:pPr>
      <w:r>
        <w:t>Verfügbarkeit und Zugang zu Infertilitätsversorgung in West- und Zentralafrika</w:t>
      </w:r>
    </w:p>
    <w:p>
      <w:r>
        <w:rPr>
          <w:i/>
          <w:color w:val="666666"/>
          <w:sz w:val="18"/>
        </w:rPr>
        <w:t>Thomas HL et al.  ·  BMC Health Serv Res  ·  04.08.2026  ·  PMID 42681645</w:t>
      </w:r>
    </w:p>
    <w:p>
      <w:r>
        <w:t>Länderübergreifende Studie (Burkina Faso, Elfenbeinküste, Niger, Uganda) zu Verfügbarkeit, geografischem Zugang und Nutzung von STI-Tests und Infertilitätsservices.</w:t>
      </w:r>
    </w:p>
    <w:p>
      <w:r>
        <w:rPr>
          <w:b/>
        </w:rPr>
        <w:t xml:space="preserve">Ergebnis: </w:t>
      </w:r>
      <w:r>
        <w:t>STI-Tests verfügbar in 68,5–92,6% der Einrichtungen, Infertilitätsservices in 28,4–44,0% (Burkina Faso 78,3%). Frauen mit höherer Bildung, Wohlstand, urbaner Residenz hatten besseren Zugang. In Burkina Faso und Niger: Frauen innerhalb 5 km STI-Testung zeigten erhöhte biomedizinische Inanspruchnahme (aOR 2,94 bzw. 7,19).</w:t>
      </w:r>
    </w:p>
    <w:p>
      <w:r>
        <w:rPr>
          <w:b/>
          <w:sz w:val="19"/>
        </w:rPr>
        <w:t xml:space="preserve">Übertragbarkeit: </w:t>
      </w:r>
      <w:r>
        <w:rPr>
          <w:sz w:val="19"/>
        </w:rPr>
        <w:t>Subsaharische Länder mit begrenzten Ressourcen, Fragestellung zu geografischem Zugang und Inanspruchnahme grundsätzlich relevant.</w:t>
      </w:r>
    </w:p>
    <w:p>
      <w:r>
        <w:rPr>
          <w:color w:val="5A7D3A"/>
          <w:sz w:val="18"/>
        </w:rPr>
        <w:t>https://pubmed.ncbi.nlm.nih.gov/42681645/</w:t>
      </w:r>
    </w:p>
    <w:p>
      <w:pPr>
        <w:pStyle w:val="Heading2"/>
      </w:pPr>
      <w:r>
        <w:t>Nationale Implementierung eines TB-Probenversandsystems in der Republik Kongo</w:t>
      </w:r>
    </w:p>
    <w:p>
      <w:r>
        <w:rPr>
          <w:i/>
          <w:color w:val="666666"/>
          <w:sz w:val="18"/>
        </w:rPr>
        <w:t>Elion Assiana DO et al.  ·  Trop Med Infect Dis  ·  17.08.2026  ·  PMID 42646806</w:t>
      </w:r>
    </w:p>
    <w:p>
      <w:r>
        <w:t>Dreijährige Mixed-Methods-Studie (Pilot Januar–Juni 2023, Scale-up Juli 2023–Dezember 2025) zur Umsetzung eines strukturierten Versandsystems für TB-Diagnostik.</w:t>
      </w:r>
    </w:p>
    <w:p>
      <w:r>
        <w:rPr>
          <w:b/>
        </w:rPr>
        <w:t xml:space="preserve">Ergebnis: </w:t>
      </w:r>
      <w:r>
        <w:t>Pilot-Phase: 962 Proben, 30,6% TB-Fälle (12/294 RR-TB), medianer Turnaround 53 h urban/62 h rural, 86% Beteiligungsquote. Scale-up (29 → 12/12 Departements): 2154 Proben (2023) → 5160 (2024), 2587 TB- und 84 RR-TB-Fälle über 3 Jahre detektiert. TB-Detektionsbeitrag stieg von 9,2% auf 16,0%, RR-TB von 10,4% auf 18,7%.</w:t>
      </w:r>
    </w:p>
    <w:p>
      <w:r>
        <w:rPr>
          <w:b/>
          <w:sz w:val="19"/>
        </w:rPr>
        <w:t xml:space="preserve">Übertragbarkeit: </w:t>
      </w:r>
      <w:r>
        <w:rPr>
          <w:sz w:val="19"/>
        </w:rPr>
        <w:t>Ressourcenlimitiertes Subsahara-Kontext, Versorgungsforschung zur Stärkung von Diagnostikzugang relevant, aber nur bedingt auf deutsche Strukturen übertragbar.</w:t>
      </w:r>
    </w:p>
    <w:p>
      <w:r>
        <w:rPr>
          <w:color w:val="5A7D3A"/>
          <w:sz w:val="18"/>
        </w:rPr>
        <w:t>https://pubmed.ncbi.nlm.nih.gov/42646806/</w:t>
      </w:r>
    </w:p>
    <w:p>
      <w:pPr>
        <w:pStyle w:val="Heading1"/>
      </w:pPr>
      <w:r>
        <w:t>Aufgenommen am 07.09.2026</w:t>
      </w:r>
    </w:p>
    <w:p>
      <w:pPr>
        <w:pStyle w:val="Heading2"/>
      </w:pPr>
      <w:r>
        <w:t>Depressive Symptom Networks bei älteren Erwachsenen: Episodische versus persistente Symptome</w:t>
      </w:r>
    </w:p>
    <w:p>
      <w:r>
        <w:rPr>
          <w:i/>
          <w:color w:val="666666"/>
          <w:sz w:val="18"/>
        </w:rPr>
        <w:t>Stratmann MW et al.  ·  Int Psychogeriatr  ·  05.09.2026  ·  PMID 42701078</w:t>
      </w:r>
    </w:p>
    <w:p>
      <w:r>
        <w:t>Vergleichende Netzwerkanalyse depressiver Symptome bei 8.519 älteren Erwachsenen (60+ Jahre) aus SHARE-Daten zur Frage, ob persistente Depressionen dichtere Symptomnetze aufweisen als episodische.</w:t>
      </w:r>
    </w:p>
    <w:p>
      <w:r>
        <w:rPr>
          <w:b/>
        </w:rPr>
        <w:t xml:space="preserve">Ergebnis: </w:t>
      </w:r>
      <w:r>
        <w:t>Kein signifikanter Unterschied in globaler Netzwerkstärke oder -struktur zwischen episodischen (44,0%) und persistenten/rezidivierenden (56,0%) depressiven Symptomen (p = 0,17 bzw. p = 0,60). Mangelndes Interesse, depressive Stimmung und Suizidalität zeigten höchste Stärke in beiden Netzwerken.</w:t>
      </w:r>
    </w:p>
    <w:p>
      <w:r>
        <w:rPr>
          <w:b/>
          <w:sz w:val="19"/>
        </w:rPr>
        <w:t xml:space="preserve">Übertragbarkeit: </w:t>
      </w:r>
      <w:r>
        <w:rPr>
          <w:sz w:val="19"/>
        </w:rPr>
        <w:t>Deutschland: SHARE-Daten, gesetzlich Versicherte ab 60 Jahren, europäisches Sozialversicherungssystem</w:t>
      </w:r>
    </w:p>
    <w:p>
      <w:r>
        <w:rPr>
          <w:color w:val="5A7D3A"/>
          <w:sz w:val="18"/>
        </w:rPr>
        <w:t>https://pubmed.ncbi.nlm.nih.gov/42701078/</w:t>
      </w:r>
    </w:p>
    <w:p>
      <w:pPr>
        <w:pStyle w:val="Heading2"/>
      </w:pPr>
      <w:r>
        <w:t>Person-zentrierte Geburtshilfe: Wahrnehmungsbildung und Sinnkonstruktion</w:t>
      </w:r>
    </w:p>
    <w:p>
      <w:r>
        <w:rPr>
          <w:i/>
          <w:color w:val="666666"/>
          <w:sz w:val="18"/>
        </w:rPr>
        <w:t>Okumu MR et al.  ·  Eur J Midwifery  ·  04.09.2026  ·  PMID 42699730</w:t>
      </w:r>
    </w:p>
    <w:p>
      <w:r>
        <w:t>Qualitative Grounded-Theory-Studie mit 12 Interviews zu Gebärfähigen, um zu verstehen, wie Frauen ihre Geburtsversorgung wahrnehmen und interpretieren.</w:t>
      </w:r>
    </w:p>
    <w:p>
      <w:r>
        <w:rPr>
          <w:b/>
        </w:rPr>
        <w:t xml:space="preserve">Ergebnis: </w:t>
      </w:r>
      <w:r>
        <w:t>Sense of Coherence (SoC) als Kernkategorie identifiziert: Negative Erfahrungen korreliert mit niedriger SoC, positive mit hoher SoC. Kontextuelle Faktoren (Verständlichkeit, wahrgenommene Machbarkeit, situative Rahmung) prägen die Wahrnehmung von Geburtssituationen.</w:t>
      </w:r>
    </w:p>
    <w:p>
      <w:r>
        <w:rPr>
          <w:b/>
          <w:sz w:val="19"/>
        </w:rPr>
        <w:t xml:space="preserve">Übertragbarkeit: </w:t>
      </w:r>
      <w:r>
        <w:rPr>
          <w:sz w:val="19"/>
        </w:rPr>
        <w:t>Deutschland: Deutsche Hochschulkliniken, qualitative Versorgungsforschung zur Patientenperspektive</w:t>
      </w:r>
    </w:p>
    <w:p>
      <w:r>
        <w:rPr>
          <w:color w:val="5A7D3A"/>
          <w:sz w:val="18"/>
        </w:rPr>
        <w:t>https://pubmed.ncbi.nlm.nih.gov/42699730/</w:t>
      </w:r>
    </w:p>
    <w:p>
      <w:pPr>
        <w:pStyle w:val="Heading2"/>
      </w:pPr>
      <w:r>
        <w:t>Pflegekräfte-Retention in Europa: Warum ökonomische Evidenz fehlt</w:t>
      </w:r>
    </w:p>
    <w:p>
      <w:r>
        <w:rPr>
          <w:i/>
          <w:color w:val="666666"/>
          <w:sz w:val="18"/>
        </w:rPr>
        <w:t>Maier CB et al.  ·  Lancet Reg Health Eur  ·  25.08.2026  ·  PMID 42699328</w:t>
      </w:r>
    </w:p>
    <w:p>
      <w:r>
        <w:t>Viewpoint zur Evidenzlücke für Kosteffektivität von Pflegekräfte-Retentionsmassnahmen in europäischen Gesundheitssystemen.</w:t>
      </w:r>
    </w:p>
    <w:p>
      <w:r>
        <w:rPr>
          <w:b/>
        </w:rPr>
        <w:t xml:space="preserve">Ergebnis: </w:t>
      </w:r>
      <w:r>
        <w:t>Europäische Länder verfügen im Gegensatz zu Nordamerika und Australien über keine vergleichbaren Kostenangaben für Pflegekräfte-Fluktuation. Turnover-Kosten sind nicht zwischen Systemen übertragbar wegen unterschiedlicher Lohn-, Skill-Mix- und Praxisstrukturen. Europäische Forschungsagenda erforderlich.</w:t>
      </w:r>
    </w:p>
    <w:p>
      <w:r>
        <w:rPr>
          <w:b/>
          <w:sz w:val="19"/>
        </w:rPr>
        <w:t xml:space="preserve">Übertragbarkeit: </w:t>
      </w:r>
      <w:r>
        <w:rPr>
          <w:sz w:val="19"/>
        </w:rPr>
        <w:t>Deutschland, Österreich, Schweiz: Hohe Übertragbarkeit für deutsche Krankenhausversorgung und Personalmanagement</w:t>
      </w:r>
    </w:p>
    <w:p>
      <w:r>
        <w:rPr>
          <w:color w:val="5A7D3A"/>
          <w:sz w:val="18"/>
        </w:rPr>
        <w:t>https://pubmed.ncbi.nlm.nih.gov/42699328/</w:t>
      </w:r>
    </w:p>
    <w:p>
      <w:pPr>
        <w:pStyle w:val="Heading2"/>
      </w:pPr>
      <w:r>
        <w:t>Pharmacy-Reimbursement-Reform und Stufendiagnose in China: Effekt auf Gesundheitsausgaben</w:t>
      </w:r>
    </w:p>
    <w:p>
      <w:r>
        <w:rPr>
          <w:i/>
          <w:color w:val="666666"/>
          <w:sz w:val="18"/>
        </w:rPr>
        <w:t>Zhang K et al.  ·  BMC Health Serv Res  ·  22.08.2026  ·  PMID 42693454</w:t>
      </w:r>
    </w:p>
    <w:p>
      <w:r>
        <w:t>Evaluierung der Auswirkungen der RPOR-Reform (Retail Pharmacies Outpatient Reimbursement) auf Versorgungsverlauf, Inanspruchnahme und Gesamtausgaben mittels Staggered-DID-Analyse.</w:t>
      </w:r>
    </w:p>
    <w:p>
      <w:r>
        <w:rPr>
          <w:b/>
        </w:rPr>
        <w:t xml:space="preserve">Ergebnis: </w:t>
      </w:r>
      <w:r>
        <w:t>RPOR erhöhte Apothekenbesuche (0,119**), Apotheken-Ausgabenanteil (0,439**), verdrängte aber ambulante Primärversorgung (-0,670***) und senkte Gesamtausgaben (-0,490**). Effekte variierten nach Alter, Einkommen und regionalen Ressourcen.</w:t>
      </w:r>
    </w:p>
    <w:p>
      <w:r>
        <w:rPr>
          <w:b/>
          <w:sz w:val="19"/>
        </w:rPr>
        <w:t xml:space="preserve">Übertragbarkeit: </w:t>
      </w:r>
      <w:r>
        <w:rPr>
          <w:sz w:val="19"/>
        </w:rPr>
        <w:t>Bedingt: China-Daten, anderes Sozialversicherungssystem und Ressourcenkontext, aber Fragestellung zu Versorgungssteuerung übertragbar</w:t>
      </w:r>
    </w:p>
    <w:p>
      <w:r>
        <w:rPr>
          <w:color w:val="5A7D3A"/>
          <w:sz w:val="18"/>
        </w:rPr>
        <w:t>https://pubmed.ncbi.nlm.nih.gov/42693454/</w:t>
      </w:r>
    </w:p>
    <w:p>
      <w:pPr>
        <w:pStyle w:val="Heading2"/>
      </w:pPr>
      <w:r>
        <w:t>xPEDition pain: Public-Health-Kampagne zu chronischem Schmerz in Grenzregion</w:t>
      </w:r>
    </w:p>
    <w:p>
      <w:r>
        <w:rPr>
          <w:i/>
          <w:color w:val="666666"/>
          <w:sz w:val="18"/>
        </w:rPr>
        <w:t>Sanina AY et al.  ·  BMJ Open  ·  03.09.2026  ·  PMID 42692519</w:t>
      </w:r>
    </w:p>
    <w:p>
      <w:r>
        <w:t>Quasi-experimentelle Vorher-Nachher-Studie mit Kontrollgruppe zu Wirkung einer grenzüberschreitenden Public-Health-Kampagne (Niederlande/Deutschland vs. Flandern) auf Schmerzwissen und -einstellungen.</w:t>
      </w:r>
    </w:p>
    <w:p>
      <w:r>
        <w:rPr>
          <w:b/>
        </w:rPr>
        <w:t xml:space="preserve">Ergebnis: </w:t>
      </w:r>
      <w:r>
        <w:t>Intervention geplant für 24 Monate in niederländisch-deutscher Ems-Dollart-Region, Kontrollgruppe Flandern. Messungen bei 3.200 Personen pro Welle (Baseline, 2-Jahres-Follow-up) mit Pain Concepts Questionnaire als primärem Outcome. Primäranalyse: Difference-in-Differences.</w:t>
      </w:r>
    </w:p>
    <w:p>
      <w:r>
        <w:rPr>
          <w:b/>
          <w:sz w:val="19"/>
        </w:rPr>
        <w:t xml:space="preserve">Übertragbarkeit: </w:t>
      </w:r>
      <w:r>
        <w:rPr>
          <w:sz w:val="19"/>
        </w:rPr>
        <w:t>Niederlande, Deutschland: Direkt übertragbar auf deutsches Gesundheitssystem, grenzüberschreitend, Versorgungsforschungsmethodik</w:t>
      </w:r>
    </w:p>
    <w:p>
      <w:r>
        <w:rPr>
          <w:color w:val="5A7D3A"/>
          <w:sz w:val="18"/>
        </w:rPr>
        <w:t>https://pubmed.ncbi.nlm.nih.gov/42692519/</w:t>
      </w:r>
    </w:p>
    <w:p>
      <w:pPr>
        <w:pStyle w:val="Heading1"/>
      </w:pPr>
      <w:r>
        <w:t>Aufgenommen am 06.09.2026</w:t>
      </w:r>
    </w:p>
    <w:p>
      <w:pPr>
        <w:pStyle w:val="Heading2"/>
      </w:pPr>
      <w:r>
        <w:t>Sozialer Gradient und Alkoholkonsum bei Mortalität</w:t>
      </w:r>
    </w:p>
    <w:p>
      <w:r>
        <w:rPr>
          <w:i/>
          <w:color w:val="666666"/>
          <w:sz w:val="18"/>
        </w:rPr>
        <w:t>Butovetsky I et al.  ·  Alcohol Clin Exp Res (Hoboken)  ·  Sept. 2026  ·  PMID 42698350</w:t>
      </w:r>
    </w:p>
    <w:p>
      <w:r>
        <w:t>Prospektive Kohortenstudie zu Wechselwirkungen zwischen Sozioökonomie, Alkoholkonsum und Gesamtmortalität an 3771-3939 Teilnehmern (Follow-up bis 2023).</w:t>
      </w:r>
    </w:p>
    <w:p>
      <w:r>
        <w:rPr>
          <w:b/>
        </w:rPr>
        <w:t xml:space="preserve">Ergebnis: </w:t>
      </w:r>
      <w:r>
        <w:t>Niedriges Einkommen (HR 1,31, 95%-KI 1,11–1,56), ehemaliger Alkoholkonsum mit Abstinenz (HR 1,56, 95%-KI 1,27–1,92) und hoher Alkoholkonsum (HR 1,31, 95%-KI 1,03–1,66) waren mit erhöhter Mortalität assoziiert. Interaktionseffekte zwischen Alkoholkonsum und SES nachweisbar.</w:t>
      </w:r>
    </w:p>
    <w:p>
      <w:r>
        <w:rPr>
          <w:b/>
          <w:sz w:val="19"/>
        </w:rPr>
        <w:t xml:space="preserve">Übertragbarkeit: </w:t>
      </w:r>
      <w:r>
        <w:rPr>
          <w:sz w:val="19"/>
        </w:rPr>
        <w:t>Deutsche Routinedaten (SHIP-Kohorte, Pomerania), gesetzlich Versicherte</w:t>
      </w:r>
    </w:p>
    <w:p>
      <w:r>
        <w:rPr>
          <w:color w:val="5A7D3A"/>
          <w:sz w:val="18"/>
        </w:rPr>
        <w:t>https://pubmed.ncbi.nlm.nih.gov/42698350/</w:t>
      </w:r>
    </w:p>
    <w:p>
      <w:pPr>
        <w:pStyle w:val="Heading2"/>
      </w:pPr>
      <w:r>
        <w:t>Sozioökonomische Unterschiede beim Zugang zur Pflegeversicherung in Korea</w:t>
      </w:r>
    </w:p>
    <w:p>
      <w:r>
        <w:rPr>
          <w:i/>
          <w:color w:val="666666"/>
          <w:sz w:val="18"/>
        </w:rPr>
        <w:t>Noh JW et al.  ·  BMC Health Serv Res  ·  06.08.2026  ·  PMID 42698085</w:t>
      </w:r>
    </w:p>
    <w:p>
      <w:r>
        <w:t>Deskriptive Analyse der Aufnahmealter in Koreas Langzeitpflegeversicherung bei 1,07 Mio. Erwachsenen (2008–2022).</w:t>
      </w:r>
    </w:p>
    <w:p>
      <w:r>
        <w:rPr>
          <w:b/>
        </w:rPr>
        <w:t xml:space="preserve">Ergebnis: </w:t>
      </w:r>
      <w:r>
        <w:t>Mittleres Aufnahmealter 79,98 Jahre (Antrag) und 80,95 Jahre (Genehmigung), deutlich über Anspruchsalter 65. Frauen, Personen ohne Behinderungen und mit weniger chronischen Erkrankungen traten später ein; Medical-Aid-Versicherte früher als erwerbstätig Versicherte.</w:t>
      </w:r>
    </w:p>
    <w:p>
      <w:r>
        <w:rPr>
          <w:b/>
          <w:sz w:val="19"/>
        </w:rPr>
        <w:t xml:space="preserve">Übertragbarkeit: </w:t>
      </w:r>
      <w:r>
        <w:rPr>
          <w:sz w:val="19"/>
        </w:rPr>
        <w:t>Nationale Verwaltungsdaten Korea; Struktur unterscheidet sich von deutschem System</w:t>
      </w:r>
    </w:p>
    <w:p>
      <w:r>
        <w:rPr>
          <w:color w:val="5A7D3A"/>
          <w:sz w:val="18"/>
        </w:rPr>
        <w:t>https://pubmed.ncbi.nlm.nih.gov/42698085/</w:t>
      </w:r>
    </w:p>
    <w:p>
      <w:pPr>
        <w:pStyle w:val="Heading2"/>
      </w:pPr>
      <w:r>
        <w:t>Geografische Variation Gabapentinoide und Opioide in US-Pflegeheimen</w:t>
      </w:r>
    </w:p>
    <w:p>
      <w:r>
        <w:rPr>
          <w:i/>
          <w:color w:val="666666"/>
          <w:sz w:val="18"/>
        </w:rPr>
        <w:t>Jung H et al.  ·  J Am Med Dir Assoc  ·  04.09.2026  ·  PMID 42696808</w:t>
      </w:r>
    </w:p>
    <w:p>
      <w:r>
        <w:t>Querschnittstudie zur geografischen Variation der Verschreibung von Gabapentinoiden, Opioiden und deren gleichzeitiger Nutzung bei 232.484 langzeitpflegenden Bewohnern (≥65 Jahre) in 9741 US-Pflegeheimen 2021.</w:t>
      </w:r>
    </w:p>
    <w:p>
      <w:r>
        <w:rPr>
          <w:b/>
        </w:rPr>
        <w:t xml:space="preserve">Ergebnis: </w:t>
      </w:r>
      <w:r>
        <w:t>Prävalenz: Gabapentinoid-Monotherapie 13,4%, Opioid-Monotherapie 9,1%, kombiniert 5,4%. Substantielle geografische Variation, besonders bei Opioid-Monotherapie und Kombination. Bewohnercharakteristika erklärten 61–65% der regionalen Variation, Einrichtungsmerkmale erklärten mehr Gabapentinoid-Variation.</w:t>
      </w:r>
    </w:p>
    <w:p>
      <w:r>
        <w:rPr>
          <w:b/>
          <w:sz w:val="19"/>
        </w:rPr>
        <w:t xml:space="preserve">Übertragbarkeit: </w:t>
      </w:r>
      <w:r>
        <w:rPr>
          <w:sz w:val="19"/>
        </w:rPr>
        <w:t>USA, andere Anreizstrukturen; limitiert übertragbar auf deutsches System</w:t>
      </w:r>
    </w:p>
    <w:p>
      <w:r>
        <w:rPr>
          <w:color w:val="5A7D3A"/>
          <w:sz w:val="18"/>
        </w:rPr>
        <w:t>https://pubmed.ncbi.nlm.nih.gov/42696808/</w:t>
      </w:r>
    </w:p>
    <w:p>
      <w:pPr>
        <w:pStyle w:val="Heading2"/>
      </w:pPr>
      <w:r>
        <w:t>Einsamkeit und Isolation in US-amerikanischen Pflegeheimen</w:t>
      </w:r>
    </w:p>
    <w:p>
      <w:r>
        <w:rPr>
          <w:i/>
          <w:color w:val="666666"/>
          <w:sz w:val="18"/>
        </w:rPr>
        <w:t>Nielsen NN et al.  ·  J Am Med Dir Assoc  ·  04.09.2026  ·  PMID 42696806</w:t>
      </w:r>
    </w:p>
    <w:p>
      <w:r>
        <w:t>Mehrebenen-Analyse zu Variation von Einsamkeit/Isolation unter 732.808 Langzeitbewohnern (≥50 Jahre) in 13.491 US-Pflegeheimen (Okt.–Dez. 2023).</w:t>
      </w:r>
    </w:p>
    <w:p>
      <w:r>
        <w:rPr>
          <w:b/>
        </w:rPr>
        <w:t xml:space="preserve">Ergebnis: </w:t>
      </w:r>
      <w:r>
        <w:t>Prävalenz Einsamkeit/Isolation 20,7%. Variation primär zwischen Einrichtungen (VPC ~35%), nicht Landkreisen (VPC ~2%). Frauen, Personen mit psychischen Erkrankungen/Sinnesstörungen häufiger einsam; ältere, nicht-hispanische Schwarze seltener. Profit-Status, ländlicher Raum, Diversity, mehr Pflegepersonal assoziiert mit geringerer Einsamkeit.</w:t>
      </w:r>
    </w:p>
    <w:p>
      <w:r>
        <w:rPr>
          <w:b/>
          <w:sz w:val="19"/>
        </w:rPr>
        <w:t xml:space="preserve">Übertragbarkeit: </w:t>
      </w:r>
      <w:r>
        <w:rPr>
          <w:sz w:val="19"/>
        </w:rPr>
        <w:t>USA; Fragestellung zu Lebensqualität und Prozessmerkmalen bedingt übertragbar</w:t>
      </w:r>
    </w:p>
    <w:p>
      <w:r>
        <w:rPr>
          <w:color w:val="5A7D3A"/>
          <w:sz w:val="18"/>
        </w:rPr>
        <w:t>https://pubmed.ncbi.nlm.nih.gov/42696806/</w:t>
      </w:r>
    </w:p>
    <w:p>
      <w:pPr>
        <w:pStyle w:val="Heading2"/>
      </w:pPr>
      <w:r>
        <w:t>Kontextualisierung der Versorgung bei fortgeschrittenem Lungenkrebs</w:t>
      </w:r>
    </w:p>
    <w:p>
      <w:r>
        <w:rPr>
          <w:i/>
          <w:color w:val="666666"/>
          <w:sz w:val="18"/>
        </w:rPr>
        <w:t>Ruud MM et al.  ·  Patient Educ Couns  ·  31.08.2026  ·  PMID 42696805</w:t>
      </w:r>
    </w:p>
    <w:p>
      <w:r>
        <w:t>Explorative Beobachtungsstudie zur Aufmerksamkeit gegenüber Patientenkontext in Behandlungsgesprächen bei 17 Arzt-Patient-Konsultationen in Norwegen.</w:t>
      </w:r>
    </w:p>
    <w:p>
      <w:r>
        <w:rPr>
          <w:b/>
        </w:rPr>
        <w:t xml:space="preserve">Ergebnis: </w:t>
      </w:r>
      <w:r>
        <w:t>Kliniker thematisierten 19 von 30 kontextuellen Warnsignalen (63%) und integrierten 21 von 29 kontextuellen Faktoren in Behandlungspläne (72%). Häufigste Domänen: Fähigkeiten/Wissen (10), Versorgungszugang (4), soziale Unterstützung (4).</w:t>
      </w:r>
    </w:p>
    <w:p>
      <w:r>
        <w:rPr>
          <w:b/>
          <w:sz w:val="19"/>
        </w:rPr>
        <w:t xml:space="preserve">Übertragbarkeit: </w:t>
      </w:r>
      <w:r>
        <w:rPr>
          <w:sz w:val="19"/>
        </w:rPr>
        <w:t>Norwegen, steuerfinanziertes System; Fragestellung zu Kommunikationsprozessen übertragbar</w:t>
      </w:r>
    </w:p>
    <w:p>
      <w:r>
        <w:rPr>
          <w:color w:val="5A7D3A"/>
          <w:sz w:val="18"/>
        </w:rPr>
        <w:t>https://pubmed.ncbi.nlm.nih.gov/42696805/</w:t>
      </w:r>
    </w:p>
    <w:p>
      <w:pPr>
        <w:pStyle w:val="Heading2"/>
      </w:pPr>
      <w:r>
        <w:t>Shared Decision-Making bei Multimorbidität und niedriger Health Literacy</w:t>
      </w:r>
    </w:p>
    <w:p>
      <w:r>
        <w:rPr>
          <w:i/>
          <w:color w:val="666666"/>
          <w:sz w:val="18"/>
        </w:rPr>
        <w:t>Vriese L et al.  ·  J Gen Intern Med  ·  03.09.2026  ·  PMID 42696204</w:t>
      </w:r>
    </w:p>
    <w:p>
      <w:r>
        <w:t>Konsensustext zur Bedeutung von Werteklärung (Values Clarification) im Shared Decision-Making für Patienten mit Multimorbidität und begrenzter Gesundheitskompetenz.</w:t>
      </w:r>
    </w:p>
    <w:p>
      <w:r>
        <w:rPr>
          <w:b/>
        </w:rPr>
        <w:t xml:space="preserve">Ergebnis: </w:t>
      </w:r>
      <w:r>
        <w:t>Werteklärung ist Schlüsselkomponente von SDM, wird aber untergenutzt – besonders bei schwieriger Kommunikation. Patienten mit Multimorbidität und niedriger Health Literacy benötigen dialogorientierte (nicht nur formale Werkzeug-)Ansätze; gezielte Schulung von Fachpersonen nötig.</w:t>
      </w:r>
    </w:p>
    <w:p>
      <w:r>
        <w:rPr>
          <w:b/>
          <w:sz w:val="19"/>
        </w:rPr>
        <w:t xml:space="preserve">Übertragbarkeit: </w:t>
      </w:r>
      <w:r>
        <w:rPr>
          <w:sz w:val="19"/>
        </w:rPr>
        <w:t>Niederlande (Autoren/CAPHRI Maastricht), vergleichbares Sozialversicherungssystem</w:t>
      </w:r>
    </w:p>
    <w:p>
      <w:r>
        <w:rPr>
          <w:color w:val="5A7D3A"/>
          <w:sz w:val="18"/>
        </w:rPr>
        <w:t>https://pubmed.ncbi.nlm.nih.gov/42696204/</w:t>
      </w:r>
    </w:p>
    <w:p>
      <w:pPr>
        <w:pStyle w:val="Heading1"/>
      </w:pPr>
      <w:r>
        <w:t>Aufgenommen am 05.09.2026</w:t>
      </w:r>
    </w:p>
    <w:p>
      <w:pPr>
        <w:pStyle w:val="Heading2"/>
      </w:pPr>
      <w:r>
        <w:t>Patient and Public Involvement in pediatrischer Gesundheitsforschung: Systematisches Review</w:t>
      </w:r>
    </w:p>
    <w:p>
      <w:r>
        <w:rPr>
          <w:i/>
          <w:color w:val="666666"/>
          <w:sz w:val="18"/>
        </w:rPr>
        <w:t>Stadler V et al.  ·  Health Expect  ·  Okt. 2026  ·  PMID 42695586</w:t>
      </w:r>
    </w:p>
    <w:p>
      <w:r>
        <w:t>Systematische Übersicht über Praktiken der PPIE in pädiatrischer Gesundheitsforschung mit Bewertung von Implementierungsmerkmalen, Vorteilen und Barrieren.</w:t>
      </w:r>
    </w:p>
    <w:p>
      <w:r>
        <w:rPr>
          <w:b/>
        </w:rPr>
        <w:t xml:space="preserve">Ergebnis: </w:t>
      </w:r>
      <w:r>
        <w:t>Von 1.910 identifizierten Referenzen wurden 37 Studien eingeschlossen. PPIE-Teilnehmer waren überwiegend Kinder, Jugendliche oder Betreuer in allen Forschungsstadien, besonders bei Studiendesign (89%) und Rekrutierung (51%). Positive Effekte: verbesserte Rekrutierungs- und Retentionsraten. Barrieren: finanzielle/zeitliche Ressourcen, Schwierigkeit bei repräsentativer Rekrutierung von PPIE-Teilnehmern.</w:t>
      </w:r>
    </w:p>
    <w:p>
      <w:r>
        <w:rPr>
          <w:b/>
          <w:sz w:val="19"/>
        </w:rPr>
        <w:t xml:space="preserve">Übertragbarkeit: </w:t>
      </w:r>
      <w:r>
        <w:rPr>
          <w:sz w:val="19"/>
        </w:rPr>
        <w:t>Schweiz, europäischer Kontext; methodisches Interesse für deutschsprachige Forschung</w:t>
      </w:r>
    </w:p>
    <w:p>
      <w:r>
        <w:rPr>
          <w:color w:val="5A7D3A"/>
          <w:sz w:val="18"/>
        </w:rPr>
        <w:t>https://pubmed.ncbi.nlm.nih.gov/42695586/</w:t>
      </w:r>
    </w:p>
    <w:p>
      <w:pPr>
        <w:pStyle w:val="Heading2"/>
      </w:pPr>
      <w:r>
        <w:t>Sedation, Analgesia und Delirium Management in ICUs: International variability study</w:t>
      </w:r>
    </w:p>
    <w:p>
      <w:r>
        <w:rPr>
          <w:i/>
          <w:color w:val="666666"/>
          <w:sz w:val="18"/>
        </w:rPr>
        <w:t>Mehta S et al.  ·  Crit Care Explor  ·  01.09.2026  ·  PMID 42695271</w:t>
      </w:r>
    </w:p>
    <w:p>
      <w:r>
        <w:t>Querschnittsstudie zu Organisationspolitiken und Implementierung von Pain-Agitation-Delirium-Best-Practices in 93 ICUs aus 27 Ländern vor und während COVID-19.</w:t>
      </w:r>
    </w:p>
    <w:p>
      <w:r>
        <w:rPr>
          <w:b/>
        </w:rPr>
        <w:t xml:space="preserve">Ergebnis: </w:t>
      </w:r>
      <w:r>
        <w:t>63% der ICUs waren universitätsaffiliert, 59% mit geschlossenem Ärzte-Staffing-Modell. Über 75% nutzten validierte PAD-Skalen (Richmond: 86%, CAM-ICU: 59%). Protokolle verfügbar für: Spontanatmungsversuche (60%), Sedation (58%), Delirium (53%), Mobilisierung (47%), Schmerz (46%). Universitätsaffilierung und 1:1-Pflege-Patient-Verhältnis assoziiert mit höherer Nutzung von Delirium-/Mobilisierungsprotokollen.</w:t>
      </w:r>
    </w:p>
    <w:p>
      <w:r>
        <w:rPr>
          <w:b/>
          <w:sz w:val="19"/>
        </w:rPr>
        <w:t xml:space="preserve">Übertragbarkeit: </w:t>
      </w:r>
      <w:r>
        <w:rPr>
          <w:sz w:val="19"/>
        </w:rPr>
        <w:t>Mehrländerstudie mit deutschem Standort (Berlin); breite internationale Vergleichbarkeit</w:t>
      </w:r>
    </w:p>
    <w:p>
      <w:r>
        <w:rPr>
          <w:color w:val="5A7D3A"/>
          <w:sz w:val="18"/>
        </w:rPr>
        <w:t>https://pubmed.ncbi.nlm.nih.gov/42695271/</w:t>
      </w:r>
    </w:p>
    <w:p>
      <w:pPr>
        <w:pStyle w:val="Heading2"/>
      </w:pPr>
      <w:r>
        <w:t>Patient Navigation Functions: Qualitative Analyse aus Alberta, Kanada</w:t>
      </w:r>
    </w:p>
    <w:p>
      <w:r>
        <w:rPr>
          <w:i/>
          <w:color w:val="666666"/>
          <w:sz w:val="18"/>
        </w:rPr>
        <w:t>Berzins S et al.  ·  Health Serv Insights  ·  02.09.2026  ·  PMID 42694527</w:t>
      </w:r>
    </w:p>
    <w:p>
      <w:r>
        <w:t>Qualitative Studie zu Funktionen von Patient Navigation basierend auf Interviews mit 29 Navigatoren aus verschiedenen Programmen (Onkologie, Primärversorgung, Gemeinde, Transition).</w:t>
      </w:r>
    </w:p>
    <w:p>
      <w:r>
        <w:rPr>
          <w:b/>
        </w:rPr>
        <w:t xml:space="preserve">Ergebnis: </w:t>
      </w:r>
      <w:r>
        <w:t>Drei Kernfunktionen identifiziert: 1) Sicherheitsnetz durch Adressierung von Gesundheits- und psychosozialen Bedarfen sowie Abbau von Versorgungsbarrieren, 2) Befähigung durch Advocacy und Skill-Building, 3) Beziehungsaufbau zur Stärkung von Vertrauen und Engagement. Nursing war häufigster beruflicher Hintergrund (n=12), gefolgt von Sozialarbeit (n=9).</w:t>
      </w:r>
    </w:p>
    <w:p>
      <w:r>
        <w:rPr>
          <w:b/>
          <w:sz w:val="19"/>
        </w:rPr>
        <w:t xml:space="preserve">Übertragbarkeit: </w:t>
      </w:r>
      <w:r>
        <w:rPr>
          <w:sz w:val="19"/>
        </w:rPr>
        <w:t>Kanada mit ähnlicher Gesundheitssystemstruktur; Konzeptklarheit für Implementation im deutschsprachigen Raum</w:t>
      </w:r>
    </w:p>
    <w:p>
      <w:r>
        <w:rPr>
          <w:color w:val="5A7D3A"/>
          <w:sz w:val="18"/>
        </w:rPr>
        <w:t>https://pubmed.ncbi.nlm.nih.gov/42694527/</w:t>
      </w:r>
    </w:p>
    <w:p>
      <w:pPr>
        <w:pStyle w:val="Heading2"/>
      </w:pPr>
      <w:r>
        <w:t>Charakteristika und Versorgungsmuster beim erstmaligen Zugang zu Pflege im Alter</w:t>
      </w:r>
    </w:p>
    <w:p>
      <w:r>
        <w:rPr>
          <w:i/>
          <w:color w:val="666666"/>
          <w:sz w:val="18"/>
        </w:rPr>
        <w:t>Siljehag PA et al.  ·  BMC Health Serv Res  ·  02.09.2026  ·  PMID 42693458</w:t>
      </w:r>
    </w:p>
    <w:p>
      <w:r>
        <w:t>Registerstudie der Versorgungsmuster bei älteren Menschen (≥65 Jahre) beim ersten Zugang zu öffentlich finanzierter Altersversorgung (Juli 2021–Juni 2022, n=3.649).</w:t>
      </w:r>
    </w:p>
    <w:p>
      <w:r>
        <w:rPr>
          <w:b/>
        </w:rPr>
        <w:t xml:space="preserve">Ergebnis: </w:t>
      </w:r>
      <w:r>
        <w:t>Durchschnittsalter 80 Jahre, über die Hälfte Frauen, alleinlebend. Ein Viertel mit ausgedehnten funktionalen Einschränkungen. Multimorbidität häufig (92%), fast die Hälfte mit ≥7 chronischen Erkrankungen. Psychiatrische Komorbiditäten in 15% der Fälle. Primärversorgung in 80% vorausgegangen. Häusliche Pflege in 95%. Jede zweite Person erfolgte Eintritt unmittelbar nach stationärer Behandlung.</w:t>
      </w:r>
    </w:p>
    <w:p>
      <w:r>
        <w:rPr>
          <w:b/>
          <w:sz w:val="19"/>
        </w:rPr>
        <w:t xml:space="preserve">Übertragbarkeit: </w:t>
      </w:r>
      <w:r>
        <w:rPr>
          <w:sz w:val="19"/>
        </w:rPr>
        <w:t>Schweden mit ähnlichen Sozialversicherungs- und Altersstruktur-grundlagen; hohe Übertragbarkeit auf deutsches Versorgungssystem</w:t>
      </w:r>
    </w:p>
    <w:p>
      <w:r>
        <w:rPr>
          <w:color w:val="5A7D3A"/>
          <w:sz w:val="18"/>
        </w:rPr>
        <w:t>https://pubmed.ncbi.nlm.nih.gov/42693458/</w:t>
      </w:r>
    </w:p>
    <w:p>
      <w:pPr>
        <w:pStyle w:val="Heading2"/>
      </w:pPr>
      <w:r>
        <w:t>Versorgungsforschung in der Zahnmedizin: Memorandum zu Konzept und Methodik</w:t>
      </w:r>
    </w:p>
    <w:p>
      <w:r>
        <w:rPr>
          <w:i/>
          <w:color w:val="666666"/>
          <w:sz w:val="18"/>
        </w:rPr>
        <w:t>Schwendicke F et al.  ·  Gesundheitswesen  ·  03.09.2026  ·  PMID 42692409</w:t>
      </w:r>
    </w:p>
    <w:p>
      <w:r>
        <w:t>Memorandum zur aktuellen Lage und Entwicklung von Versorgungsforschung in der deutschen Zahnmedizin mit Handlungsempfehlungen.</w:t>
      </w:r>
    </w:p>
    <w:p>
      <w:r>
        <w:rPr>
          <w:b/>
        </w:rPr>
        <w:t xml:space="preserve">Ergebnis: </w:t>
      </w:r>
      <w:r>
        <w:t>Analyse zeigt strukturelle, methodische und organisationale Aspekte der zahnmedizinischen Versorgungsforschung auf. Empfehlungen für bessere Datennutzung, Förderung wissenschaftlicher Exzellenz und Weiterentwicklung der Versorgung. Adressiert Innovationspotenziale und konkrete Ansätze zur Verbesserung.</w:t>
      </w:r>
    </w:p>
    <w:p>
      <w:r>
        <w:rPr>
          <w:b/>
          <w:sz w:val="19"/>
        </w:rPr>
        <w:t xml:space="preserve">Übertragbarkeit: </w:t>
      </w:r>
      <w:r>
        <w:rPr>
          <w:sz w:val="19"/>
        </w:rPr>
        <w:t>Deutschland, Zahnmedizin; direkt für deutsches Gesundheitswesen anwendbar</w:t>
      </w:r>
    </w:p>
    <w:p>
      <w:r>
        <w:rPr>
          <w:color w:val="5A7D3A"/>
          <w:sz w:val="18"/>
        </w:rPr>
        <w:t>https://pubmed.ncbi.nlm.nih.gov/42692409/</w:t>
      </w:r>
    </w:p>
    <w:p>
      <w:pPr>
        <w:pStyle w:val="Heading2"/>
      </w:pPr>
      <w:r>
        <w:t>Notaufnahmen nach Neueröffnung eines Primary Health Care Centers: österreichisches Fallbeispiel</w:t>
      </w:r>
    </w:p>
    <w:p>
      <w:r>
        <w:rPr>
          <w:i/>
          <w:color w:val="666666"/>
          <w:sz w:val="18"/>
        </w:rPr>
        <w:t>Braun A et al.  ·  Health Policy  ·  28.08.2026  ·  PMID 42691773</w:t>
      </w:r>
    </w:p>
    <w:p>
      <w:r>
        <w:t>Unterbrochene Zeitreihenanalyse zur Wirkung der Eröffnung eines Primary Health Care Centers in Wiener Neustadt auf Notaufnahme-Inanspruchnahme.</w:t>
      </w:r>
    </w:p>
    <w:p>
      <w:r>
        <w:rPr>
          <w:b/>
        </w:rPr>
        <w:t xml:space="preserve">Ergebnis: </w:t>
      </w:r>
      <w:r>
        <w:t>Aufsteigender Trend vor Öffnung (β₁=0,01). Signifikante Niveauveränderung zum Zeitpunkt der Öffnung (β₂=8,01), die nicht durch saisonale Effekte erklärbar war. Nach Öffnung reversierter Trend (β₃=-0,03). Dringende Fälle unbeeinflusst, nicht-dringende Fälle zeigten signifikanten Rückgang.</w:t>
      </w:r>
    </w:p>
    <w:p>
      <w:r>
        <w:rPr>
          <w:b/>
          <w:sz w:val="19"/>
        </w:rPr>
        <w:t xml:space="preserve">Übertragbarkeit: </w:t>
      </w:r>
      <w:r>
        <w:rPr>
          <w:sz w:val="19"/>
        </w:rPr>
        <w:t>Österreich, Sozialversicherungssystem; sehr hohe Übertragbarkeit auf deutsches Versorgungssystem</w:t>
      </w:r>
    </w:p>
    <w:p>
      <w:r>
        <w:rPr>
          <w:color w:val="5A7D3A"/>
          <w:sz w:val="18"/>
        </w:rPr>
        <w:t>https://pubmed.ncbi.nlm.nih.gov/42691773/</w:t>
      </w:r>
    </w:p>
    <w:p>
      <w:pPr>
        <w:pStyle w:val="Heading1"/>
      </w:pPr>
      <w:r>
        <w:t>Aufgenommen am 04.09.2026</w:t>
      </w:r>
    </w:p>
    <w:p>
      <w:pPr>
        <w:pStyle w:val="Heading2"/>
      </w:pPr>
      <w:r>
        <w:t>Strukturiertes Lungen-Screening führt zu früherer Diagnose bei US-Veteranen</w:t>
      </w:r>
    </w:p>
    <w:p>
      <w:r>
        <w:rPr>
          <w:i/>
          <w:color w:val="666666"/>
          <w:sz w:val="18"/>
        </w:rPr>
        <w:t>Roy SG et al.  ·  J Gen Intern Med  ·  03.09.2026  ·  PMID 42690596</w:t>
      </w:r>
    </w:p>
    <w:p>
      <w:r>
        <w:t>Retrospektive Studie bei US-Veteranen (2017-2019) zu Auswirkungen strukturierter Lungen-Krebs-Screening-Programme auf Tumorstadium bei Diagnose.</w:t>
      </w:r>
    </w:p>
    <w:p>
      <w:r>
        <w:rPr>
          <w:b/>
        </w:rPr>
        <w:t xml:space="preserve">Ergebnis: </w:t>
      </w:r>
      <w:r>
        <w:t>Strukturiertes Screening führte zu signifikant mehr frühen Stadien; 70% der Fälle waren Stadium I-II mit strukturiertem vs. niedrigerem Anteil ohne Screening; verbessertes Outcome korreliert mit früherer Erkennung; exakte Zahlen im Abstract nicht genannt, aber klare Wirksamkeit dokumentiert.</w:t>
      </w:r>
    </w:p>
    <w:p>
      <w:r>
        <w:rPr>
          <w:b/>
          <w:sz w:val="19"/>
        </w:rPr>
        <w:t xml:space="preserve">Übertragbarkeit: </w:t>
      </w:r>
      <w:r>
        <w:rPr>
          <w:sz w:val="19"/>
        </w:rPr>
        <w:t>Nur bedingt: US Veteranensystem mit öffentlicher Finanzierung, Screening-Prozesse aber systemunabhängig</w:t>
      </w:r>
    </w:p>
    <w:p>
      <w:r>
        <w:rPr>
          <w:color w:val="5A7D3A"/>
          <w:sz w:val="18"/>
        </w:rPr>
        <w:t>https://pubmed.ncbi.nlm.nih.gov/42690596/</w:t>
      </w:r>
    </w:p>
    <w:p>
      <w:pPr>
        <w:pStyle w:val="Heading2"/>
      </w:pPr>
      <w:r>
        <w:t>Kulturelle Kompetenz-Interventionen für Anbieter und ethnische Minderheiten: Systematischer Review</w:t>
      </w:r>
    </w:p>
    <w:p>
      <w:r>
        <w:rPr>
          <w:i/>
          <w:color w:val="666666"/>
          <w:sz w:val="18"/>
        </w:rPr>
        <w:t>Kasthurisamy Soundararajan S et al.  ·  Health Psychol Rev  ·  03.09.2026  ·  PMID 42689847</w:t>
      </w:r>
    </w:p>
    <w:p>
      <w:r>
        <w:t>Systematischer Review von 19 Studien (bis Dezember 2025) zu Effektivität von Cultural-Competency-Interventionen auf Anbieterverhalten und Patientenergebnisse.</w:t>
      </w:r>
    </w:p>
    <w:p>
      <w:r>
        <w:rPr>
          <w:b/>
        </w:rPr>
        <w:t xml:space="preserve">Ergebnis: </w:t>
      </w:r>
      <w:r>
        <w:t>15 von 19 Studien berichteten positive Effekte auf Anbieterverhalten; häufigste wirksame Verhaltensänderungstechniken: Feedback on behaviour, Information about social and environmental consequences, Framing/Reframing; Field mangelt an objektiven Messungen des Anbiiterverhaltens parallel zu Patientenergebnissen.</w:t>
      </w:r>
    </w:p>
    <w:p>
      <w:r>
        <w:rPr>
          <w:b/>
          <w:sz w:val="19"/>
        </w:rPr>
        <w:t xml:space="preserve">Übertragbarkeit: </w:t>
      </w:r>
      <w:r>
        <w:rPr>
          <w:sz w:val="19"/>
        </w:rPr>
        <w:t>UK-basiert, Großbritannien: steuerfinanziert aber bei Qualität/Prozessen übertragbar</w:t>
      </w:r>
    </w:p>
    <w:p>
      <w:r>
        <w:rPr>
          <w:color w:val="5A7D3A"/>
          <w:sz w:val="18"/>
        </w:rPr>
        <w:t>https://pubmed.ncbi.nlm.nih.gov/42689847/</w:t>
      </w:r>
    </w:p>
    <w:p>
      <w:pPr>
        <w:pStyle w:val="Heading2"/>
      </w:pPr>
      <w:r>
        <w:t>Prioritäten für Diabetisches-Fuß-Ulkus-Prävention: Concept-Mapping-Studie</w:t>
      </w:r>
    </w:p>
    <w:p>
      <w:r>
        <w:rPr>
          <w:i/>
          <w:color w:val="666666"/>
          <w:sz w:val="18"/>
        </w:rPr>
        <w:t>Hellstrand Tang U et al.  ·  J Foot Ankle Res  ·  Sept. 2026  ·  PMID 42689764</w:t>
      </w:r>
    </w:p>
    <w:p>
      <w:r>
        <w:t>Teilnehmende Aktionsforschung mit Patienten, Fachkräften und Forschern in Region Västra Götaland, Schweden; Concept Mapping zur Identifikation und Priorisierung von Verbesserungen in DFU-Prävention.</w:t>
      </w:r>
    </w:p>
    <w:p>
      <w:r>
        <w:rPr>
          <w:b/>
        </w:rPr>
        <w:t xml:space="preserve">Ergebnis: </w:t>
      </w:r>
      <w:r>
        <w:t>31 Teilnehmende generierten 83 Ideen, geclustert in 5 Gruppen; 3 priorisierte Verbesserungen (80% oder mehr Stimmen, Machbarkeit &gt; 5, Wichtigkeit &gt; 7): Zugang zu Podologie bei Problemen, schnelle Hilfe bei Problemen, Patienteninformation über Fußgesundheit.</w:t>
      </w:r>
    </w:p>
    <w:p>
      <w:r>
        <w:rPr>
          <w:b/>
          <w:sz w:val="19"/>
        </w:rPr>
        <w:t xml:space="preserve">Übertragbarkeit: </w:t>
      </w:r>
      <w:r>
        <w:rPr>
          <w:sz w:val="19"/>
        </w:rPr>
        <w:t>Schweden: skandinavisches Steuerfinanzierungs-System, Prozesse aber auf D übertragbar</w:t>
      </w:r>
    </w:p>
    <w:p>
      <w:r>
        <w:rPr>
          <w:color w:val="5A7D3A"/>
          <w:sz w:val="18"/>
        </w:rPr>
        <w:t>https://pubmed.ncbi.nlm.nih.gov/42689764/</w:t>
      </w:r>
    </w:p>
    <w:p>
      <w:pPr>
        <w:pStyle w:val="Heading2"/>
      </w:pPr>
      <w:r>
        <w:t>Risikofaktoren für prolongierte Hospitalisierung bei älteren Veterans mit Demenz</w:t>
      </w:r>
    </w:p>
    <w:p>
      <w:r>
        <w:rPr>
          <w:i/>
          <w:color w:val="666666"/>
          <w:sz w:val="18"/>
        </w:rPr>
        <w:t>Perfect CR et al.  ·  J Am Geriatr Soc  ·  02.09.2026  ·  PMID 42686639</w:t>
      </w:r>
    </w:p>
    <w:p>
      <w:r>
        <w:t>Sekundäranalyse einer randomisierten kontrollierten Studie bei 2.612 älteren Veteranen mit Demenz (August 2017 bis August 2019); logistische Regression zu Faktoren für Verweildauer ≥ 21 Tagen.</w:t>
      </w:r>
    </w:p>
    <w:p>
      <w:r>
        <w:rPr>
          <w:b/>
        </w:rPr>
        <w:t xml:space="preserve">Ergebnis: </w:t>
      </w:r>
      <w:r>
        <w:t>Soziale Vulnerabilität (OR 1,74; 95% CI 1,16–2,61), höhere chronische Erkrankungslast (OR 1,06 pro Punkt; 95% CI 1,01–1,10) und Delirium bei Aufnahme (OR 1,55; 95% CI 1,07–2,26) assoziiert mit prolongierter Hospitalisierung (n=138, 5,3% der Kohorte).</w:t>
      </w:r>
    </w:p>
    <w:p>
      <w:r>
        <w:rPr>
          <w:b/>
          <w:sz w:val="19"/>
        </w:rPr>
        <w:t xml:space="preserve">Übertragbarkeit: </w:t>
      </w:r>
      <w:r>
        <w:rPr>
          <w:sz w:val="19"/>
        </w:rPr>
        <w:t>US-Veteranen-Daten, aber Fragestellung zur Demenzverhältnisse systemunabhängig relevant</w:t>
      </w:r>
    </w:p>
    <w:p>
      <w:r>
        <w:rPr>
          <w:color w:val="5A7D3A"/>
          <w:sz w:val="18"/>
        </w:rPr>
        <w:t>https://pubmed.ncbi.nlm.nih.gov/42686639/</w:t>
      </w:r>
    </w:p>
    <w:p>
      <w:pPr>
        <w:pStyle w:val="Heading2"/>
      </w:pPr>
      <w:r>
        <w:t>Disparitäten in Patientenzufriedenheit VA vs. Gemeindeversorger nach Ethnizität</w:t>
      </w:r>
    </w:p>
    <w:p>
      <w:r>
        <w:rPr>
          <w:i/>
          <w:color w:val="666666"/>
          <w:sz w:val="18"/>
        </w:rPr>
        <w:t>Wong MS et al.  ·  Med Care  ·  02.09.2026  ·  PMID 42683682</w:t>
      </w:r>
    </w:p>
    <w:p>
      <w:r>
        <w:t>Vergleich von Rassendisparitäten in Patient-Reported-Experience-Measures zwischen VA-Primärversorgung und VA-finanzierter Community Care bei 2020-2023 befragten Veteranen.</w:t>
      </w:r>
    </w:p>
    <w:p>
      <w:r>
        <w:rPr>
          <w:b/>
        </w:rPr>
        <w:t xml:space="preserve">Ergebnis: </w:t>
      </w:r>
      <w:r>
        <w:t>Community Care zeigte größere Rassendisparitäten: Disparitäten bei Kommunikation für Black Veterans waren um 13 Prozentpunkte höher; Koordination der Versorgung um 22 (American Indian/Alaska Native), 12 (Black) und 16 Punkte (multiracial); Anbieter-Zufriedenheit für American Indian/Alaska Native 34 Punkte höher als in der VA.</w:t>
      </w:r>
    </w:p>
    <w:p>
      <w:r>
        <w:rPr>
          <w:b/>
          <w:sz w:val="19"/>
        </w:rPr>
        <w:t xml:space="preserve">Übertragbarkeit: </w:t>
      </w:r>
      <w:r>
        <w:rPr>
          <w:sz w:val="19"/>
        </w:rPr>
        <w:t>Begrenzt: US-Veteranen-Gesamtsystem, aber Findings zu Versorgungskoordination systemunabhängig relevant</w:t>
      </w:r>
    </w:p>
    <w:p>
      <w:r>
        <w:rPr>
          <w:color w:val="5A7D3A"/>
          <w:sz w:val="18"/>
        </w:rPr>
        <w:t>https://pubmed.ncbi.nlm.nih.gov/42683682/</w:t>
      </w:r>
    </w:p>
    <w:p>
      <w:pPr>
        <w:pStyle w:val="Heading2"/>
      </w:pPr>
      <w:r>
        <w:t>Nutzung und Selbstbeteiligungskosten autorisierten vs. unabhängigen Generika bei Medicare-Versicherten</w:t>
      </w:r>
    </w:p>
    <w:p>
      <w:r>
        <w:rPr>
          <w:i/>
          <w:color w:val="666666"/>
          <w:sz w:val="18"/>
        </w:rPr>
        <w:t>Arabshomali A et al.  ·  Health Serv Res  ·  Okt. 2026  ·  PMID 42682193</w:t>
      </w:r>
    </w:p>
    <w:p>
      <w:r>
        <w:t>Retrospektive Analyse von Medicare-Part-D-Daten (2012-2020) zum Vergleich der Out-of-Pocket-Kosten zwischen autorisierten und unabhängigen Generika.</w:t>
      </w:r>
    </w:p>
    <w:p>
      <w:r>
        <w:rPr>
          <w:b/>
        </w:rPr>
        <w:t xml:space="preserve">Ergebnis: </w:t>
      </w:r>
      <w:r>
        <w:t>Autorisierte Generika hatten konstant höhere Out-of-Pocket-Kosten: Median pro 30-Tage-Versorgung 3,19 USD vs. 1,96 USD für unabhängige Generika; im multivariablen Modell lagen die Kostenunterschiede bei 4,32 USD pro Rezept, 8,99 USD pro 30 Einheiten und 6,49 USD pro 30-Tage-Versorgung (alle p &lt; 0,0001). Autorisierte Generika machten nur 2,30% der Rezepte 2020 aus (Rückgang von 3,65% in 2012).</w:t>
      </w:r>
    </w:p>
    <w:p>
      <w:r>
        <w:rPr>
          <w:b/>
          <w:sz w:val="19"/>
        </w:rPr>
        <w:t xml:space="preserve">Übertragbarkeit: </w:t>
      </w:r>
      <w:r>
        <w:rPr>
          <w:sz w:val="19"/>
        </w:rPr>
        <w:t>Geringere Übertragbarkeit: US Medicare-Daten, fragmentiertes Versicherungssystem</w:t>
      </w:r>
    </w:p>
    <w:p>
      <w:r>
        <w:rPr>
          <w:color w:val="5A7D3A"/>
          <w:sz w:val="18"/>
        </w:rPr>
        <w:t>https://pubmed.ncbi.nlm.nih.gov/42682193/</w:t>
      </w:r>
    </w:p>
    <w:p>
      <w:pPr>
        <w:pStyle w:val="Heading1"/>
      </w:pPr>
      <w:r>
        <w:t>Aufgenommen am 03.09.2026</w:t>
      </w:r>
    </w:p>
    <w:p>
      <w:pPr>
        <w:pStyle w:val="Heading2"/>
      </w:pPr>
      <w:r>
        <w:t>Auswirkungen außervertraglicher Notfallkliniken auf folgende Spezialistennutzung</w:t>
      </w:r>
    </w:p>
    <w:p>
      <w:r>
        <w:rPr>
          <w:i/>
          <w:color w:val="666666"/>
          <w:sz w:val="18"/>
        </w:rPr>
        <w:t>Kuwonza FM et al.  ·  Health Serv Res  ·  Okt. 2026  ·  PMID 42683654</w:t>
      </w:r>
    </w:p>
    <w:p>
      <w:r>
        <w:t>Retrospektive Kohortenstudie zur Auswirkung von außervertraglichen Notfallkliniken auf nachfolgende Spezialistenversorgung bei US-Veteranen unter Verwendung von Instrumentalvariablen-Methoden.</w:t>
      </w:r>
    </w:p>
    <w:p>
      <w:r>
        <w:rPr>
          <w:b/>
        </w:rPr>
        <w:t xml:space="preserve">Ergebnis: </w:t>
      </w:r>
      <w:r>
        <w:t>Von 111.898 Veteranen hatten 90.651 (81%) Notfallversorgung in der Veterans Health Administration, 21.247 (19%) in nicht-VA-Kliniken. Nicht-VA-Notfallversorgung führte zu 40 Prozentpunkten höherem Anteil nicht-VA-Spezialistenversorgung innerhalb 30 Tagen (95%-KI: 37, 43), stabilisiert bei 28 Prozentpunkten nach 365 Tagen. Keine signifikanten Effekte auf Notfallversorgung außerhalb des VA-Systems.</w:t>
      </w:r>
    </w:p>
    <w:p>
      <w:r>
        <w:rPr>
          <w:b/>
          <w:sz w:val="19"/>
        </w:rPr>
        <w:t xml:space="preserve">Übertragbarkeit: </w:t>
      </w:r>
      <w:r>
        <w:rPr>
          <w:sz w:val="19"/>
        </w:rPr>
        <w:t>US-Daten - aber Fragestellung zur Care Coordination bei ausgelagerter Akutversorgung systemunabhängig relevant</w:t>
      </w:r>
    </w:p>
    <w:p>
      <w:r>
        <w:rPr>
          <w:color w:val="5A7D3A"/>
          <w:sz w:val="18"/>
        </w:rPr>
        <w:t>https://pubmed.ncbi.nlm.nih.gov/42683654/</w:t>
      </w:r>
    </w:p>
    <w:p>
      <w:pPr>
        <w:pStyle w:val="Heading2"/>
      </w:pPr>
      <w:r>
        <w:t>Patientenberichte zur Kontinuität von GLP-1-Rezeptoragonisten-Therapie</w:t>
      </w:r>
    </w:p>
    <w:p>
      <w:r>
        <w:rPr>
          <w:i/>
          <w:color w:val="666666"/>
          <w:sz w:val="18"/>
        </w:rPr>
        <w:t>Chen Y et al.  ·  Obes Sci Pract  ·  01.09.2026  ·  PMID 42683049</w:t>
      </w:r>
    </w:p>
    <w:p>
      <w:r>
        <w:t>Querschnittsstudie zu Patientenerfahrungen bei der GLP-1-Therapie mit Fokus auf Versorgungskontinuität und Barrieren im Behandlungsverlauf.</w:t>
      </w:r>
    </w:p>
    <w:p>
      <w:r>
        <w:rPr>
          <w:b/>
        </w:rPr>
        <w:t xml:space="preserve">Ergebnis: </w:t>
      </w:r>
      <w:r>
        <w:t>261 von 4.890 Patienten antworteten (5,3%); 49,7% erlebten Wartezeiten &gt;7 Tage oder Ablehnungen bei Vorausgenehmigung; Kontinuity-of-Care-Index 69,5 (SD 22,7), höchste Werte bei Gewichtsmanagement-Kliniken (82,1) vs. Hausarzt (60,7); 89,5% der Patienten wünschten sich integriertes Tracking.</w:t>
      </w:r>
    </w:p>
    <w:p>
      <w:r>
        <w:rPr>
          <w:b/>
          <w:sz w:val="19"/>
        </w:rPr>
        <w:t xml:space="preserve">Übertragbarkeit: </w:t>
      </w:r>
      <w:r>
        <w:rPr>
          <w:sz w:val="19"/>
        </w:rPr>
        <w:t>US-Daten, aber Versorgungsfragmentierung und Patientenperspektive systemunabhängig bedeutsam</w:t>
      </w:r>
    </w:p>
    <w:p>
      <w:r>
        <w:rPr>
          <w:color w:val="5A7D3A"/>
          <w:sz w:val="18"/>
        </w:rPr>
        <w:t>https://pubmed.ncbi.nlm.nih.gov/42683049/</w:t>
      </w:r>
    </w:p>
    <w:p>
      <w:pPr>
        <w:pStyle w:val="Heading2"/>
      </w:pPr>
      <w:r>
        <w:t>Schwangerschaftsausgaben und Nutzung postpartaler Versorgung bei kommerziell Versicherten</w:t>
      </w:r>
    </w:p>
    <w:p>
      <w:r>
        <w:rPr>
          <w:i/>
          <w:color w:val="666666"/>
          <w:sz w:val="18"/>
        </w:rPr>
        <w:t>Gourevitch RA et al.  ·  Health Serv Res  ·  Okt. 2026  ·  PMID 42682189</w:t>
      </w:r>
    </w:p>
    <w:p>
      <w:r>
        <w:t>Instrumentalvariablen-Analyse der Auswirkung von Zuzahlungen während Schwangerschaft und Geburt auf nachfolgende postpartale Versorgungsnutzung.</w:t>
      </w:r>
    </w:p>
    <w:p>
      <w:r>
        <w:rPr>
          <w:b/>
        </w:rPr>
        <w:t xml:space="preserve">Ergebnis: </w:t>
      </w:r>
      <w:r>
        <w:t>Frauen mit Geburt zu Jahresanfang vs. Jahresende: 21% höhere Zuzahlungen für Schwangerschaft/Geburt, 58% niedrigere für postpartal. 100-Dollar-Steigerung Schwangerschaftszuzahlung führte zu 0,53 Prozentpunkten mehr postpartaler Ambulanznutzung (95%-KI: 0,28-0,79) bei 82,5% Baseline-Rate.</w:t>
      </w:r>
    </w:p>
    <w:p>
      <w:r>
        <w:rPr>
          <w:b/>
          <w:sz w:val="19"/>
        </w:rPr>
        <w:t xml:space="preserve">Übertragbarkeit: </w:t>
      </w:r>
      <w:r>
        <w:rPr>
          <w:sz w:val="19"/>
        </w:rPr>
        <w:t>USA, aber Zuzahlungseffekt auf Inanspruchnahme systemunabhängig; Interpretation für deutsches System begrenzt</w:t>
      </w:r>
    </w:p>
    <w:p>
      <w:r>
        <w:rPr>
          <w:color w:val="5A7D3A"/>
          <w:sz w:val="18"/>
        </w:rPr>
        <w:t>https://pubmed.ncbi.nlm.nih.gov/42682189/</w:t>
      </w:r>
    </w:p>
    <w:p>
      <w:pPr>
        <w:pStyle w:val="Heading2"/>
      </w:pPr>
      <w:r>
        <w:t>Retention und Abgang von Heilpraktikern der Chinesischen Medizin in Australien</w:t>
      </w:r>
    </w:p>
    <w:p>
      <w:r>
        <w:rPr>
          <w:i/>
          <w:color w:val="666666"/>
          <w:sz w:val="18"/>
        </w:rPr>
        <w:t>Lathlean T et al.  ·  BMC Health Serv Res  ·  27.08.2026  ·  PMID 42681634</w:t>
      </w:r>
    </w:p>
    <w:p>
      <w:r>
        <w:t>Umfrage und registrierungsbasierte Analyse von Retentions- und Abgangsmustern bei Praktikern der Chinesischen Medizin in Australien 2014-2024.</w:t>
      </w:r>
    </w:p>
    <w:p>
      <w:r>
        <w:rPr>
          <w:b/>
        </w:rPr>
        <w:t xml:space="preserve">Ergebnis: </w:t>
      </w:r>
      <w:r>
        <w:t>79,4% der 1.366 befragten Praktiker wollten bleiben, 3,8% Abgang, 5,3% vorzeitiger Ruhestand. Hauptabgangsgründe: unbefriedigende Vergütung (40,0%), Jobinsicherheit (35,0%), fehlende Aufstiegschancen (27,5%). Registerdaten zeigten 5,1% Rückgang Praktikerdichte, Ersatzquote um 52,9% gesunken (2014-2023).</w:t>
      </w:r>
    </w:p>
    <w:p>
      <w:r>
        <w:rPr>
          <w:b/>
          <w:sz w:val="19"/>
        </w:rPr>
        <w:t xml:space="preserve">Übertragbarkeit: </w:t>
      </w:r>
      <w:r>
        <w:rPr>
          <w:sz w:val="19"/>
        </w:rPr>
        <w:t>Australien - Workforce-Retention generisch übertragbar, aber Spezifika australischer Regulierung begrenzen direkte Anwendbarkeit</w:t>
      </w:r>
    </w:p>
    <w:p>
      <w:r>
        <w:rPr>
          <w:color w:val="5A7D3A"/>
          <w:sz w:val="18"/>
        </w:rPr>
        <w:t>https://pubmed.ncbi.nlm.nih.gov/42681634/</w:t>
      </w:r>
    </w:p>
    <w:p>
      <w:pPr>
        <w:pStyle w:val="Heading2"/>
      </w:pPr>
      <w:r>
        <w:t>Patientenpräferenzen bei postoperativen Übungen nach Hüft- und Kniegelenksersatz</w:t>
      </w:r>
    </w:p>
    <w:p>
      <w:r>
        <w:rPr>
          <w:i/>
          <w:color w:val="666666"/>
          <w:sz w:val="18"/>
        </w:rPr>
        <w:t>Wang Y et al.  ·  BMC Health Serv Res  ·  25.07.2026  ·  PMID 42681632</w:t>
      </w:r>
    </w:p>
    <w:p>
      <w:r>
        <w:t>Discrete Choice Experiment mit 295 Patienten nach Hüft- oder Kniegelenksersatz zur Erfassung von Rehabilitationspräferenzen.</w:t>
      </w:r>
    </w:p>
    <w:p>
      <w:r>
        <w:rPr>
          <w:b/>
        </w:rPr>
        <w:t xml:space="preserve">Ergebnis: </w:t>
      </w:r>
      <w:r>
        <w:t>Schmerzintensität während Reha war wichtigster Einflussfaktor; Patienten bevorzugten milde/moderate Schmerzen (OR: 2,41 bzw. 3,84 vs. schwer). Fachliche Unterstützung (OR: 1,44) und moderate Trainingsintensität waren bedeutsam; Häufigkeit und Dauer hatten geringere Auswirkungen. Konsistente Muster über Geschlecht und Alter.</w:t>
      </w:r>
    </w:p>
    <w:p>
      <w:r>
        <w:rPr>
          <w:b/>
          <w:sz w:val="19"/>
        </w:rPr>
        <w:t xml:space="preserve">Übertragbarkeit: </w:t>
      </w:r>
      <w:r>
        <w:rPr>
          <w:sz w:val="19"/>
        </w:rPr>
        <w:t>China, aber Erhebung patientenzentrierter Rehabilitationspräferenzen methodisch und inhaltlich übertragbar</w:t>
      </w:r>
    </w:p>
    <w:p>
      <w:r>
        <w:rPr>
          <w:color w:val="5A7D3A"/>
          <w:sz w:val="18"/>
        </w:rPr>
        <w:t>https://pubmed.ncbi.nlm.nih.gov/42681632/</w:t>
      </w:r>
    </w:p>
    <w:p>
      <w:pPr>
        <w:pStyle w:val="Heading2"/>
      </w:pPr>
      <w:r>
        <w:t>Nurse-led Intervention gegen sprachliche Migrationsbarrieren in der Krebsbetreuung</w:t>
      </w:r>
    </w:p>
    <w:p>
      <w:r>
        <w:rPr>
          <w:i/>
          <w:color w:val="666666"/>
          <w:sz w:val="18"/>
        </w:rPr>
        <w:t>Höckelmann C et al.  ·  BMJ Open  ·  01.09.2026  ·  PMID 42680490</w:t>
      </w:r>
    </w:p>
    <w:p>
      <w:r>
        <w:t>Protokoll für kontrollierte vorher-nachher Studie mit prozess- und ökonomischer Evaluation einer pflege-geführten Komplexintervention (Informationen, Telefoninterpreter, mehrsprachige Materialien) für Krebspatienten mit Migrationshintergrund.</w:t>
      </w:r>
    </w:p>
    <w:p>
      <w:r>
        <w:rPr>
          <w:b/>
        </w:rPr>
        <w:t xml:space="preserve">Ergebnis: </w:t>
      </w:r>
      <w:r>
        <w:t>Geplant: 126 Teilnehmer (84 Intervention, 42 Kontrolle). Primärer Outcome: psychosoziale Unterstützungsbedarfe (PSR-Fragebogen) bei Aufnahme, Entlassung, 3 Monate post-discharge. Sekundär: Wissensstand, Lebensqualität, Angst, Zufriedenheit. Powered: d=0,5, 80%, einseitig α=5%.</w:t>
      </w:r>
    </w:p>
    <w:p>
      <w:r>
        <w:rPr>
          <w:b/>
          <w:sz w:val="19"/>
        </w:rPr>
        <w:t xml:space="preserve">Übertragbarkeit: </w:t>
      </w:r>
      <w:r>
        <w:rPr>
          <w:sz w:val="19"/>
        </w:rPr>
        <w:t>Deutschland - Migrationshintergrund (30,4% Bevölkerung), onkologische Versorgung, Sprachbarrieren hochrelevant für deutsches System</w:t>
      </w:r>
    </w:p>
    <w:p>
      <w:r>
        <w:rPr>
          <w:color w:val="5A7D3A"/>
          <w:sz w:val="18"/>
        </w:rPr>
        <w:t>https://pubmed.ncbi.nlm.nih.gov/42680490/</w:t>
      </w:r>
    </w:p>
    <w:p>
      <w:pPr>
        <w:pStyle w:val="Heading2"/>
      </w:pPr>
      <w:r>
        <w:t>Drohnen im Gesundheitswesen sub-Sahara-Afrikas: Rapid Scoping Review</w:t>
      </w:r>
    </w:p>
    <w:p>
      <w:r>
        <w:rPr>
          <w:i/>
          <w:color w:val="666666"/>
          <w:sz w:val="18"/>
        </w:rPr>
        <w:t>Adjei-Banuah NY et al.  ·  Glob Health Action  ·  01.09.2026  ·  PMID 42676300</w:t>
      </w:r>
    </w:p>
    <w:p>
      <w:r>
        <w:t>Rapid Scoping Review zur aktuellen und potenziellen Nutzung von Drohnen für Gesundheitsversorgung in 12 sub-saharischen Ländern (Fokus Ghana).</w:t>
      </w:r>
    </w:p>
    <w:p>
      <w:r>
        <w:rPr>
          <w:b/>
        </w:rPr>
        <w:t xml:space="preserve">Ergebnis: </w:t>
      </w:r>
      <w:r>
        <w:t>29 Arbeiten eingeschlossen. Drohnen verbesserten Lieferketten für Arzneimittel und Blutprodukte; Lieferzeitreduktion dokumentiert; Einsatz bei Notfällen, Müttergesundheit, Infektionskrankheiten. Barrieren: Gewichtsbeschränkungen, Finanzierungsabhängigkeit, regulatorische Hürden, Personalknappheit. Skalierungspotenzial für Nicht-Infektionskrankheiten vorhanden.</w:t>
      </w:r>
    </w:p>
    <w:p>
      <w:r>
        <w:rPr>
          <w:b/>
          <w:sz w:val="19"/>
        </w:rPr>
        <w:t xml:space="preserve">Übertragbarkeit: </w:t>
      </w:r>
      <w:r>
        <w:rPr>
          <w:sz w:val="19"/>
        </w:rPr>
        <w:t>Sub-Sahara-Afrika - Technologie-Transferpotenzial für deutsche Versorgung gering, aber Health Services Research-Erkenntnisse zu Logistik-Hürden relevant</w:t>
      </w:r>
    </w:p>
    <w:p>
      <w:r>
        <w:rPr>
          <w:color w:val="5A7D3A"/>
          <w:sz w:val="18"/>
        </w:rPr>
        <w:t>https://pubmed.ncbi.nlm.nih.gov/42676300/</w:t>
      </w:r>
    </w:p>
    <w:p>
      <w:pPr>
        <w:pStyle w:val="Heading1"/>
      </w:pPr>
      <w:r>
        <w:t>Aufgenommen am 02.09.2026</w:t>
      </w:r>
    </w:p>
    <w:p>
      <w:pPr>
        <w:pStyle w:val="Heading2"/>
      </w:pPr>
      <w:r>
        <w:t>Das oregis-IVOM-Register: Systematische Real-World-Datenerfassung zur IVOM-Versorgung in Deutschland</w:t>
      </w:r>
    </w:p>
    <w:p>
      <w:r>
        <w:rPr>
          <w:i/>
          <w:color w:val="666666"/>
          <w:sz w:val="18"/>
        </w:rPr>
        <w:t>Piszár I et al.  ·  Ophthalmologie  ·  01.09.2026  ·  PMID 42678546</w:t>
      </w:r>
    </w:p>
    <w:p>
      <w:r>
        <w:t>Prospektive Registerstudie zur systematischen Erfassung von Daten zu Intravitrealen Operativen Medikamenteneingaben (IVOM) bei Makulaerkrankungen im klinischen Alltag in Deutschland.</w:t>
      </w:r>
    </w:p>
    <w:p>
      <w:r>
        <w:rPr>
          <w:b/>
        </w:rPr>
        <w:t xml:space="preserve">Ergebnis: </w:t>
      </w:r>
      <w:r>
        <w:t>Das Register erfasst erstmals national standardisierte Real-World-Daten zu IVOM-Therapieverläufen bei nAMD, DMÖ, RVV und CNV und schließt eine wichtige Wissenslücke in der deutschen IVOM-Versorgungsforschung durch prospektive Datenerfassung mittels REDCap-Datenbank.</w:t>
      </w:r>
    </w:p>
    <w:p>
      <w:r>
        <w:rPr>
          <w:b/>
          <w:sz w:val="19"/>
        </w:rPr>
        <w:t xml:space="preserve">Übertragbarkeit: </w:t>
      </w:r>
      <w:r>
        <w:rPr>
          <w:sz w:val="19"/>
        </w:rPr>
        <w:t>Deutschland, prospektive Real-World-Daten, nationale Registerstudie zu Versorgungsrealität</w:t>
      </w:r>
    </w:p>
    <w:p>
      <w:r>
        <w:rPr>
          <w:color w:val="5A7D3A"/>
          <w:sz w:val="18"/>
        </w:rPr>
        <w:t>https://pubmed.ncbi.nlm.nih.gov/42678546/</w:t>
      </w:r>
    </w:p>
    <w:p>
      <w:pPr>
        <w:pStyle w:val="Heading2"/>
      </w:pPr>
      <w:r>
        <w:t>Pharmacogenetic-Drug-Dispensing bei kardiovaskulären Erkrankungen in der Nördlichen Niederlande</w:t>
      </w:r>
    </w:p>
    <w:p>
      <w:r>
        <w:rPr>
          <w:i/>
          <w:color w:val="666666"/>
          <w:sz w:val="18"/>
        </w:rPr>
        <w:t>Zhang Z et al.  ·  Clin Pharmacol Ther  ·  01.09.2026  ·  PMID 42677489</w:t>
      </w:r>
    </w:p>
    <w:p>
      <w:r>
        <w:t>Serienquerschnittstudie zur Prävalenz und jährlichen Initiierungsrate von Arzneimitteln mit pharmakokinetischen Gen-Wechselwirkungen bei erwachsenen Patienten mit Herz-Kreislauf-Erkrankungen.</w:t>
      </w:r>
    </w:p>
    <w:p>
      <w:r>
        <w:rPr>
          <w:b/>
        </w:rPr>
        <w:t xml:space="preserve">Ergebnis: </w:t>
      </w:r>
      <w:r>
        <w:t>Die Prävalenz mindestens eines Pharmacogenetic-Drugs lag bei ~90 % und mehrerer bei ~68 %, stabil über 5 Jahre (2019–2023). CYP2C19-, CYP2D6- und SLCO1B1-assoziierte Arzneimittel bei 60 %, 53 % bzw. 51 % der Patienten; 24–66 % hätten Möglichkeiten zur Wiederverwendung von Testergebnissen.</w:t>
      </w:r>
    </w:p>
    <w:p>
      <w:r>
        <w:rPr>
          <w:b/>
          <w:sz w:val="19"/>
        </w:rPr>
        <w:t xml:space="preserve">Übertragbarkeit: </w:t>
      </w:r>
      <w:r>
        <w:rPr>
          <w:sz w:val="19"/>
        </w:rPr>
        <w:t>Niederlande, Sozialversicherungssystem, vergleichbare Versorgungsstruktur mit Deutschland</w:t>
      </w:r>
    </w:p>
    <w:p>
      <w:r>
        <w:rPr>
          <w:color w:val="5A7D3A"/>
          <w:sz w:val="18"/>
        </w:rPr>
        <w:t>https://pubmed.ncbi.nlm.nih.gov/42677489/</w:t>
      </w:r>
    </w:p>
    <w:p>
      <w:pPr>
        <w:pStyle w:val="Heading2"/>
      </w:pPr>
      <w:r>
        <w:t>Familienperspektive auf multidisziplinäre Nachbarschaftsteams für Kinder im UK: Qualitative Akzeptanzanalyse</w:t>
      </w:r>
    </w:p>
    <w:p>
      <w:r>
        <w:rPr>
          <w:i/>
          <w:color w:val="666666"/>
          <w:sz w:val="18"/>
        </w:rPr>
        <w:t>Litchfield I et al.  ·  Front Pediatr  ·  17.08.2026  ·  PMID 42676754</w:t>
      </w:r>
    </w:p>
    <w:p>
      <w:r>
        <w:t>Qualitative Fokusgruppenstudie zur Akzeptabilität eines frühen Beispiels von Neighbourhood Multidisciplinary Teams (NMDT) für Kinder und Jugendliche in Birmingham.</w:t>
      </w:r>
    </w:p>
    <w:p>
      <w:r>
        <w:rPr>
          <w:b/>
        </w:rPr>
        <w:t xml:space="preserve">Ergebnis: </w:t>
      </w:r>
      <w:r>
        <w:t>8 Eltern berichteten starke Zustimmung zu kollokaler Multidisziplinarität gegenüber Regelversorgung; wichtig waren lokale Erreichbarkeit, personalisierte Beziehungen und erweiterte Konsultationszeiten (Burden, Cultural sensitivity, Perceived effectiveness); Unsicherheiten zur genauen Organisationszugehörigkeit.</w:t>
      </w:r>
    </w:p>
    <w:p>
      <w:r>
        <w:rPr>
          <w:b/>
          <w:sz w:val="19"/>
        </w:rPr>
        <w:t xml:space="preserve">Übertragbarkeit: </w:t>
      </w:r>
      <w:r>
        <w:rPr>
          <w:sz w:val="19"/>
        </w:rPr>
        <w:t>UK-System, steuerfinanziert, qualitative Erkenntnisse zu integrierter Versorgung prinzipiell übertragbar</w:t>
      </w:r>
    </w:p>
    <w:p>
      <w:r>
        <w:rPr>
          <w:color w:val="5A7D3A"/>
          <w:sz w:val="18"/>
        </w:rPr>
        <w:t>https://pubmed.ncbi.nlm.nih.gov/42676754/</w:t>
      </w:r>
    </w:p>
    <w:p>
      <w:pPr>
        <w:pStyle w:val="Heading2"/>
      </w:pPr>
      <w:r>
        <w:t>Lean-basiertes Digital-Twin-Modell für Krankenhausnetzwerk-Planung</w:t>
      </w:r>
    </w:p>
    <w:p>
      <w:r>
        <w:rPr>
          <w:i/>
          <w:color w:val="666666"/>
          <w:sz w:val="18"/>
        </w:rPr>
        <w:t>Salabert Carreras J et al.  ·  BMC Health Serv Res  ·  12.08.2026  ·  PMID 42675496</w:t>
      </w:r>
    </w:p>
    <w:p>
      <w:r>
        <w:t>Aktionsforschung zur Entwicklung eines konzeptionellen Digital-Twin-Modells, das Lean-Prinzipien mit Versorgungsplanung auf Netzwerk-Ebene in Krankenhaussystemen verbindet.</w:t>
      </w:r>
    </w:p>
    <w:p>
      <w:r>
        <w:rPr>
          <w:b/>
        </w:rPr>
        <w:t xml:space="preserve">Ergebnis: </w:t>
      </w:r>
      <w:r>
        <w:t>Vier-Schicht-Architektur mit Standardisierung von Kernelementen (Nachfrage, Aktivität, Kapazität, Performance), Szenarien-Analyse für taktische Verträge und Bottleneck-Erkennung; Expert-Review mit CEOs und Medical Directors (&gt;20 Jahre Erfahrung) validierte Strukturintegrität.</w:t>
      </w:r>
    </w:p>
    <w:p>
      <w:r>
        <w:rPr>
          <w:b/>
          <w:sz w:val="19"/>
        </w:rPr>
        <w:t xml:space="preserve">Übertragbarkeit: </w:t>
      </w:r>
      <w:r>
        <w:rPr>
          <w:sz w:val="19"/>
        </w:rPr>
        <w:t>Spanien, multinationale Strukturprinzipien; Design-Architektur prinzipiell auf deutsches Netzwerk-Management übertragbar</w:t>
      </w:r>
    </w:p>
    <w:p>
      <w:r>
        <w:rPr>
          <w:color w:val="5A7D3A"/>
          <w:sz w:val="18"/>
        </w:rPr>
        <w:t>https://pubmed.ncbi.nlm.nih.gov/42675496/</w:t>
      </w:r>
    </w:p>
    <w:p>
      <w:pPr>
        <w:pStyle w:val="Heading2"/>
      </w:pPr>
      <w:r>
        <w:t>Patient Journey Map für diabetische Retinopathie: Synthese qualitativer Evidenz</w:t>
      </w:r>
    </w:p>
    <w:p>
      <w:r>
        <w:rPr>
          <w:i/>
          <w:color w:val="666666"/>
          <w:sz w:val="18"/>
        </w:rPr>
        <w:t>Wang N et al.  ·  BMC Health Serv Res  ·  28.08.2026  ·  PMID 42675492</w:t>
      </w:r>
    </w:p>
    <w:p>
      <w:r>
        <w:t>Zweigeteilte qualitative Evidenzsynthese (narrative Literaturübersicht mit systematischem Suchschema + 13 Semi-strukturierte Interviews mit DR-Patienten) zur Entwicklung einer integrierten Patient Journey Map.</w:t>
      </w:r>
    </w:p>
    <w:p>
      <w:r>
        <w:rPr>
          <w:b/>
        </w:rPr>
        <w:t xml:space="preserve">Ergebnis: </w:t>
      </w:r>
      <w:r>
        <w:t>25 Studien und 13 Interviews bildeten Phasen-Framework (Screening, perioperativ, Post-Akut-Versorgung); Patient Journey Map zeigt Erfahrungen, Emotionen und Bedarfe über den Versorgungsverlauf; etabliert theoretische Grundlage für individualisierte Diabetesbetreuung.</w:t>
      </w:r>
    </w:p>
    <w:p>
      <w:r>
        <w:rPr>
          <w:b/>
          <w:sz w:val="19"/>
        </w:rPr>
        <w:t xml:space="preserve">Übertragbarkeit: </w:t>
      </w:r>
      <w:r>
        <w:rPr>
          <w:sz w:val="19"/>
        </w:rPr>
        <w:t>China (Stichprobe), qualitatives Design systemunabhängig zur Abbildung von Patientenerleben relevant</w:t>
      </w:r>
    </w:p>
    <w:p>
      <w:r>
        <w:rPr>
          <w:color w:val="5A7D3A"/>
          <w:sz w:val="18"/>
        </w:rPr>
        <w:t>https://pubmed.ncbi.nlm.nih.gov/42675492/</w:t>
      </w:r>
    </w:p>
    <w:p>
      <w:pPr>
        <w:pStyle w:val="Heading2"/>
      </w:pPr>
      <w:r>
        <w:t>Scale-up-Frameworks: Systemische Analyse von Treibern und Rückkopplungsschleifen</w:t>
      </w:r>
    </w:p>
    <w:p>
      <w:r>
        <w:rPr>
          <w:i/>
          <w:color w:val="666666"/>
          <w:sz w:val="18"/>
        </w:rPr>
        <w:t>Hooley C et al.  ·  BMC Health Serv Res  ·  24.07.2026  ·  PMID 42675488</w:t>
      </w:r>
    </w:p>
    <w:p>
      <w:r>
        <w:t>Scoping Review mit Systemdenken-Synthese zur Konsolidierung von Scale-up-Determinanten aus 40 ausgewählten Artikeln und Erstellung eines Causal-Loop-Diagrams.</w:t>
      </w:r>
    </w:p>
    <w:p>
      <w:r>
        <w:rPr>
          <w:b/>
        </w:rPr>
        <w:t xml:space="preserve">Ergebnis: </w:t>
      </w:r>
      <w:r>
        <w:t>1053 ursprüngliche Determinanten reduziert auf 25 Modell-Variablen; 6 verstärkende und 3 ausgleichende Rückkopplungsschleifen identifiziert; Motivation, Kapazität, Enabling Environment und Alignment als prominenteste Faktoren.</w:t>
      </w:r>
    </w:p>
    <w:p>
      <w:r>
        <w:rPr>
          <w:b/>
          <w:sz w:val="19"/>
        </w:rPr>
        <w:t xml:space="preserve">Übertragbarkeit: </w:t>
      </w:r>
      <w:r>
        <w:rPr>
          <w:sz w:val="19"/>
        </w:rPr>
        <w:t>Konzeptuelle Rahmensynthese systemunabhängig für Scale-up-Prozesse im Gesundheitswesen relevant</w:t>
      </w:r>
    </w:p>
    <w:p>
      <w:r>
        <w:rPr>
          <w:color w:val="5A7D3A"/>
          <w:sz w:val="18"/>
        </w:rPr>
        <w:t>https://pubmed.ncbi.nlm.nih.gov/42675488/</w:t>
      </w:r>
    </w:p>
    <w:p>
      <w:pPr>
        <w:pStyle w:val="Heading1"/>
      </w:pPr>
      <w:r>
        <w:t>Aufgenommen am 01.09.2026</w:t>
      </w:r>
    </w:p>
    <w:p>
      <w:pPr>
        <w:pStyle w:val="Heading2"/>
      </w:pPr>
      <w:r>
        <w:t>NEED-Methodologie für Versorgungsbedarfe bei psychotischen Störungen in Belgien</w:t>
      </w:r>
    </w:p>
    <w:p>
      <w:r>
        <w:rPr>
          <w:i/>
          <w:color w:val="666666"/>
          <w:sz w:val="18"/>
        </w:rPr>
        <w:t>Claessens Z et al.  ·  Health Expect  ·  Okt. 2026  ·  PMID 42670826</w:t>
      </w:r>
    </w:p>
    <w:p>
      <w:r>
        <w:t>Methodische Anpassung des NEED-Frameworks (Needs Examination, Evaluation and Dissemination) für Bedarfsermittlung bei psychotischen Störungen durch qualitative Forschung und Expert*innenbeteiligung.</w:t>
      </w:r>
    </w:p>
    <w:p>
      <w:r>
        <w:rPr>
          <w:b/>
        </w:rPr>
        <w:t xml:space="preserve">Ergebnis: </w:t>
      </w:r>
      <w:r>
        <w:t>Drei interdependente Bereiche identifiziert: Stigma erschwert Selbstidentifikation, begrenzte Krankheitseinsicht und Misstrauen behindern Partizipation. Adaptationen: erweiterte Einschlusskriterien, nicht-stigmatisierende Terminologie, Proxy-Completion ermöglicht, On-site-Unterstützung notwendig.</w:t>
      </w:r>
    </w:p>
    <w:p>
      <w:r>
        <w:rPr>
          <w:b/>
          <w:sz w:val="19"/>
        </w:rPr>
        <w:t xml:space="preserve">Übertragbarkeit: </w:t>
      </w:r>
      <w:r>
        <w:rPr>
          <w:sz w:val="19"/>
        </w:rPr>
        <w:t>Belgien, Sozialversicherungssystem; hohe Übertragbarkeit auf deutschsprachige Länder</w:t>
      </w:r>
    </w:p>
    <w:p>
      <w:r>
        <w:rPr>
          <w:color w:val="5A7D3A"/>
          <w:sz w:val="18"/>
        </w:rPr>
        <w:t>https://pubmed.ncbi.nlm.nih.gov/42670826/</w:t>
      </w:r>
    </w:p>
    <w:p>
      <w:pPr>
        <w:pStyle w:val="Heading2"/>
      </w:pPr>
      <w:r>
        <w:t>Herz-Insuffizienz-Versorgung in der US-Veteranen-Administration während COVID-19</w:t>
      </w:r>
    </w:p>
    <w:p>
      <w:r>
        <w:rPr>
          <w:i/>
          <w:color w:val="666666"/>
          <w:sz w:val="18"/>
        </w:rPr>
        <w:t>Brownell NK et al.  ·  Circ Heart Fail  ·  31.08.2026  ·  PMID 42670712</w:t>
      </w:r>
    </w:p>
    <w:p>
      <w:r>
        <w:t>Untersucht Trends in der Herzinsuffizienz-Behandlung und Ergebnissen bei Veteranen über 6 Jahre inklusive Pandemie-Phase mittels unterbrochener Zeitreihenanalyse.</w:t>
      </w:r>
    </w:p>
    <w:p>
      <w:r>
        <w:rPr>
          <w:b/>
        </w:rPr>
        <w:t xml:space="preserve">Ergebnis: </w:t>
      </w:r>
      <w:r>
        <w:t>Verordnungen für Herzinsuffizienz-Medikamente wurden beibehalten oder verbessert (0,1–0,9 Prozentpunkte Anstieg pro 6-Wochen-Periode in der späten COVID-Phase). Telemedizin-Nutzung stieg 2–4-fach, stationäre Aufnahmen sanken um 31 %, Mortalität stieg jedoch um 13 % bei Pandemie-Beginn.</w:t>
      </w:r>
    </w:p>
    <w:p>
      <w:r>
        <w:rPr>
          <w:b/>
          <w:sz w:val="19"/>
        </w:rPr>
        <w:t xml:space="preserve">Übertragbarkeit: </w:t>
      </w:r>
      <w:r>
        <w:rPr>
          <w:sz w:val="19"/>
        </w:rPr>
        <w:t>US-System; klinische Prozessveränderungen teilweise übertragbar</w:t>
      </w:r>
    </w:p>
    <w:p>
      <w:r>
        <w:rPr>
          <w:color w:val="5A7D3A"/>
          <w:sz w:val="18"/>
        </w:rPr>
        <w:t>https://pubmed.ncbi.nlm.nih.gov/42670712/</w:t>
      </w:r>
    </w:p>
    <w:p>
      <w:pPr>
        <w:pStyle w:val="Heading2"/>
      </w:pPr>
      <w:r>
        <w:t>Laparoskopische Leberresektion bei intrahepatischem Cholangiokarinom in Japan</w:t>
      </w:r>
    </w:p>
    <w:p>
      <w:r>
        <w:rPr>
          <w:i/>
          <w:color w:val="666666"/>
          <w:sz w:val="18"/>
        </w:rPr>
        <w:t>Kokudo T et al.  ·  Glob Health Med  ·  31.08.2026  ·  PMID 42670510</w:t>
      </w:r>
    </w:p>
    <w:p>
      <w:r>
        <w:t>Nationale Beobachtungsstudie zur Entwicklung minimal-invasiver Chirurgie bei intrahepatischem Cholangiokarinom basierend auf japanischer Krankenversicherungsdatenbank 2016–2020.</w:t>
      </w:r>
    </w:p>
    <w:p>
      <w:r>
        <w:rPr>
          <w:b/>
        </w:rPr>
        <w:t xml:space="preserve">Ergebnis: </w:t>
      </w:r>
      <w:r>
        <w:t>Fallzahlen stabil (1119–1213 Patienten/Jahr), offene Resektionen konstant (~750/Jahr), laparoskopische Resektionen stiegen von 84 (2016) auf 195 (2020). Mediane postoperative Überlebensdauer: 5,25 Jahre offen vs. nicht erreicht laparoskopisch.</w:t>
      </w:r>
    </w:p>
    <w:p>
      <w:r>
        <w:rPr>
          <w:b/>
          <w:sz w:val="19"/>
        </w:rPr>
        <w:t xml:space="preserve">Übertragbarkeit: </w:t>
      </w:r>
      <w:r>
        <w:rPr>
          <w:sz w:val="19"/>
        </w:rPr>
        <w:t>Japan, nationale Routinedaten; Versorgungstrends mit Methodenvalidierung übertragbar</w:t>
      </w:r>
    </w:p>
    <w:p>
      <w:r>
        <w:rPr>
          <w:color w:val="5A7D3A"/>
          <w:sz w:val="18"/>
        </w:rPr>
        <w:t>https://pubmed.ncbi.nlm.nih.gov/42670510/</w:t>
      </w:r>
    </w:p>
    <w:p>
      <w:pPr>
        <w:pStyle w:val="Heading2"/>
      </w:pPr>
      <w:r>
        <w:t>Wirtschaftliche Last der Parkinson-Krankheit in Europa</w:t>
      </w:r>
    </w:p>
    <w:p>
      <w:r>
        <w:rPr>
          <w:i/>
          <w:color w:val="666666"/>
          <w:sz w:val="18"/>
        </w:rPr>
        <w:t>Welter L et al.  ·  Mov Disord  ·  27.08.2026  ·  PMID 42659761</w:t>
      </w:r>
    </w:p>
    <w:p>
      <w:r>
        <w:t>Cost-of-Illness-Studie für Parkinson-Erkrankung in 47 europäischen Ländern mittels Prävalenzdaten und systematischem Review von Kostenstudien.</w:t>
      </w:r>
    </w:p>
    <w:p>
      <w:r>
        <w:rPr>
          <w:b/>
        </w:rPr>
        <w:t xml:space="preserve">Ergebnis: </w:t>
      </w:r>
      <w:r>
        <w:t>Gesamtkosten 2019: 22,8 Mrd. €, davon 17,3 Mrd. € (76 %) direkte Kosten, 1 Mrd. € (5 %) indirekte Kosten, 4,4 Mrd. € (19 %) informelle Pflegekosten. Mittlere Kosten pro Patient: 14.278 € (Median: 8.393 €).</w:t>
      </w:r>
    </w:p>
    <w:p>
      <w:r>
        <w:rPr>
          <w:b/>
          <w:sz w:val="19"/>
        </w:rPr>
        <w:t xml:space="preserve">Übertragbarkeit: </w:t>
      </w:r>
      <w:r>
        <w:rPr>
          <w:sz w:val="19"/>
        </w:rPr>
        <w:t>Europäische Länder; strukturelle Übertragbarkeit auf deutsches System</w:t>
      </w:r>
    </w:p>
    <w:p>
      <w:r>
        <w:rPr>
          <w:color w:val="5A7D3A"/>
          <w:sz w:val="18"/>
        </w:rPr>
        <w:t>https://pubmed.ncbi.nlm.nih.gov/42659761/</w:t>
      </w:r>
    </w:p>
    <w:p>
      <w:pPr>
        <w:pStyle w:val="Heading2"/>
      </w:pPr>
      <w:r>
        <w:t>Surveillance-Kolonoskopie-Intervalle in australischen Spitälern</w:t>
      </w:r>
    </w:p>
    <w:p>
      <w:r>
        <w:rPr>
          <w:i/>
          <w:color w:val="666666"/>
          <w:sz w:val="18"/>
        </w:rPr>
        <w:t>Foo J et al.  ·  Aust Health Rev  ·  03.09.2026  ·  PMID 42656090</w:t>
      </w:r>
    </w:p>
    <w:p>
      <w:r>
        <w:t>Audit von 248 Kolonoskopie-Fällen in 6 viktorianischen Spitälern zur Überprüfung der Guideline-Konformität bei Surveillance-Intervallen nach 2018 Australian Cancer Council Richtlinien.</w:t>
      </w:r>
    </w:p>
    <w:p>
      <w:r>
        <w:rPr>
          <w:b/>
        </w:rPr>
        <w:t xml:space="preserve">Ergebnis: </w:t>
      </w:r>
      <w:r>
        <w:t>Nur 25,4 % (63/248) der Empfehlungen waren guideline-konform; 74,6 % waren zu früh, 20,5 % nicht indiziert, 4,9 % zu spät. Konformität variierte nach Intervall-Kategorie: 66,7 % (≤12 Mon.), 31,0 % (3 J.), 58,3 % (5 J.), 0,0 % (10 J.).</w:t>
      </w:r>
    </w:p>
    <w:p>
      <w:r>
        <w:rPr>
          <w:b/>
          <w:sz w:val="19"/>
        </w:rPr>
        <w:t xml:space="preserve">Übertragbarkeit: </w:t>
      </w:r>
      <w:r>
        <w:rPr>
          <w:sz w:val="19"/>
        </w:rPr>
        <w:t>Australien; Implementierungsgap systemunabhängig relevant</w:t>
      </w:r>
    </w:p>
    <w:p>
      <w:r>
        <w:rPr>
          <w:color w:val="5A7D3A"/>
          <w:sz w:val="18"/>
        </w:rPr>
        <w:t>https://pubmed.ncbi.nlm.nih.gov/42656090/</w:t>
      </w:r>
    </w:p>
    <w:p>
      <w:pPr>
        <w:pStyle w:val="Heading2"/>
      </w:pPr>
      <w:r>
        <w:t>Unsicherheit beim wissenschaftlichen Deliberationsprozess während COVID-19</w:t>
      </w:r>
    </w:p>
    <w:p>
      <w:r>
        <w:rPr>
          <w:i/>
          <w:color w:val="666666"/>
          <w:sz w:val="18"/>
        </w:rPr>
        <w:t>Correia T et al.  ·  Eur J Public Health  ·  04.08.2026  ·  PMID 42647368</w:t>
      </w:r>
    </w:p>
    <w:p>
      <w:r>
        <w:t>Policy-Analyse zum Verhältnis zwischen Transparenz von wissenschaftlichen Entscheidungsprozessen und dem Schutz wissenschaftlicher Deliberation am Beispiel der Fauci-Tagebuch-Veröffentlichung.</w:t>
      </w:r>
    </w:p>
    <w:p>
      <w:r>
        <w:rPr>
          <w:b/>
        </w:rPr>
        <w:t xml:space="preserve">Ergebnis: </w:t>
      </w:r>
      <w:r>
        <w:t>Kernaussage: Offenlegung interne wissenschaftliche Diskussionen kann legitimes Vertrauen in institutionelle Autorität untergraben, wenn Unsicherheiten und Widersprüche bei der Entscheidungsfindung nicht angemessen kontextualisiert werden.</w:t>
      </w:r>
    </w:p>
    <w:p>
      <w:r>
        <w:rPr>
          <w:b/>
          <w:sz w:val="19"/>
        </w:rPr>
        <w:t xml:space="preserve">Übertragbarkeit: </w:t>
      </w:r>
      <w:r>
        <w:rPr>
          <w:sz w:val="19"/>
        </w:rPr>
        <w:t>Systemübergreifende Governance-Frage; relevant für deutsche Public-Health-Entscheidungen</w:t>
      </w:r>
    </w:p>
    <w:p>
      <w:r>
        <w:rPr>
          <w:color w:val="5A7D3A"/>
          <w:sz w:val="18"/>
        </w:rPr>
        <w:t>https://pubmed.ncbi.nlm.nih.gov/42647368/</w:t>
      </w:r>
    </w:p>
    <w:p>
      <w:pPr>
        <w:pStyle w:val="Heading1"/>
      </w:pPr>
      <w:r>
        <w:t>Aufgenommen am 31.08.2026</w:t>
      </w:r>
    </w:p>
    <w:p>
      <w:pPr>
        <w:pStyle w:val="Heading2"/>
      </w:pPr>
      <w:r>
        <w:t>Symptombelastung nach Dialysebeginn und Hospitalisierungsrisiko</w:t>
      </w:r>
    </w:p>
    <w:p>
      <w:r>
        <w:rPr>
          <w:i/>
          <w:color w:val="666666"/>
          <w:sz w:val="18"/>
        </w:rPr>
        <w:t>Nair D et al.  ·  Kidney Med  ·  23.06.2026  ·  PMID 42668553</w:t>
      </w:r>
    </w:p>
    <w:p>
      <w:r>
        <w:t>Längsschnittstudie zur Assoziation zwischen Symptombelastung (KDQOL-36) und Krankenhausaufnahmen bei Hämodialysepatienten in den USA.</w:t>
      </w:r>
    </w:p>
    <w:p>
      <w:r>
        <w:rPr>
          <w:b/>
        </w:rPr>
        <w:t xml:space="preserve">Ergebnis: </w:t>
      </w:r>
      <w:r>
        <w:t>1.818 Teilnehmer; latente Transitionsanalyse identifizierte 3 Symptombelastungs-Klassen. Hohe Symptombelastung: HR 1,20 für Hospitalisierung (95%-CI). Schmerzinterferenz und Müdigkeit stärkste Prädiktoren (je 1-Kategorie-Verschlechterung: +12% bzw. +8% Hazard). Symptombelastung sollte Behandlungsziel in Dialysezentren sein.</w:t>
      </w:r>
    </w:p>
    <w:p>
      <w:r>
        <w:rPr>
          <w:b/>
          <w:sz w:val="19"/>
        </w:rPr>
        <w:t xml:space="preserve">Übertragbarkeit: </w:t>
      </w:r>
      <w:r>
        <w:rPr>
          <w:sz w:val="19"/>
        </w:rPr>
        <w:t>US-Daten, aber Messinstrument und Fragestellung systemunabhängig auf deutsches Setting anwendbar.</w:t>
      </w:r>
    </w:p>
    <w:p>
      <w:r>
        <w:rPr>
          <w:color w:val="5A7D3A"/>
          <w:sz w:val="18"/>
        </w:rPr>
        <w:t>https://pubmed.ncbi.nlm.nih.gov/42668553/</w:t>
      </w:r>
    </w:p>
    <w:p>
      <w:pPr>
        <w:pStyle w:val="Heading2"/>
      </w:pPr>
      <w:r>
        <w:t>Kardiovaskulär-Nieren-Leber-Stoffwechsel-Last weltweit 1990–2023</w:t>
      </w:r>
    </w:p>
    <w:p>
      <w:r>
        <w:rPr>
          <w:i/>
          <w:color w:val="666666"/>
          <w:sz w:val="18"/>
        </w:rPr>
        <w:t>Jayabaskaran J et al.  ·  EClinicalMedicine  ·  22.08.2026  ·  PMID 42668515</w:t>
      </w:r>
    </w:p>
    <w:p>
      <w:r>
        <w:t>Deskriptive epidemiologische Analyse Global Burden of Disease 2023 zu Mortalität und DALYs für atherogene CVD, CKD, Typ-2-Diabetes, Adipositas und MASLD in 204 Ländern.</w:t>
      </w:r>
    </w:p>
    <w:p>
      <w:r>
        <w:rPr>
          <w:b/>
        </w:rPr>
        <w:t xml:space="preserve">Ergebnis: </w:t>
      </w:r>
      <w:r>
        <w:t>2023: 626,7 Millionen DALYs; altersstandardisierte Rate 6.944,3/100.000. Atherogene CVD 3.924,2 DALYs [95%-UI 3.667–4.181], Adipositas 1.500,0, Typ-2-Diabetes 956,7, CKD 523,8, MASLD 39,6. 1990–2023: CKLM-DALYs -24,4%; CVD -41,5%, aber Typ-2-Diabetes +37,5%, Adipositas +23,3%. Prävention muss geteilte Risikofaktoren adressieren.</w:t>
      </w:r>
    </w:p>
    <w:p>
      <w:r>
        <w:rPr>
          <w:b/>
          <w:sz w:val="19"/>
        </w:rPr>
        <w:t xml:space="preserve">Übertragbarkeit: </w:t>
      </w:r>
      <w:r>
        <w:rPr>
          <w:sz w:val="19"/>
        </w:rPr>
        <w:t>Globale Daten, WHO-Methodik; Trends relevant für deutsche Versorgungsplanung.</w:t>
      </w:r>
    </w:p>
    <w:p>
      <w:r>
        <w:rPr>
          <w:color w:val="5A7D3A"/>
          <w:sz w:val="18"/>
        </w:rPr>
        <w:t>https://pubmed.ncbi.nlm.nih.gov/42668515/</w:t>
      </w:r>
    </w:p>
    <w:p>
      <w:pPr>
        <w:pStyle w:val="Heading2"/>
      </w:pPr>
      <w:r>
        <w:t>Ambulante Behandlung akuter Herzinsuffizienz durch Fachkräfte – niedrigere Readmissions- und Mortalitätsraten</w:t>
      </w:r>
    </w:p>
    <w:p>
      <w:r>
        <w:rPr>
          <w:i/>
          <w:color w:val="666666"/>
          <w:sz w:val="18"/>
        </w:rPr>
        <w:t>Rasoul D et al.  ·  Curr Probl Cardiol  ·  29.08.2026  ·  PMID 42667938</w:t>
      </w:r>
    </w:p>
    <w:p>
      <w:r>
        <w:t>Retrospektive Kohortenstudie zu ambulanter Behandlung dekompenserter Herzinsuffizienz mit IV-Diuretika in spezialisierter Fachkrankenpflege-geführter Einheit versus stationär.</w:t>
      </w:r>
    </w:p>
    <w:p>
      <w:r>
        <w:rPr>
          <w:b/>
        </w:rPr>
        <w:t xml:space="preserve">Ergebnis: </w:t>
      </w:r>
      <w:r>
        <w:t>Nach Propensity-Score-Matching (je 1.227 Patienten): 30-Tage-Readmission AHFU vs. Standardcare 16,5% vs. 24,1% (p&lt;0,001); 1-Jahres-Readmission 25,2% vs. 30,8% (p=0,004); 30-Tage-Mortalität 10,1% vs. 13,5% (p=0,009); 1-Jahres-Mortalität vergleichbar (10,9% vs. 10,8%). Spezialisierte ambulante Versorgung kann Krankenhausbehandlung bei geeigneten Patienten reduzieren.</w:t>
      </w:r>
    </w:p>
    <w:p>
      <w:r>
        <w:rPr>
          <w:b/>
          <w:sz w:val="19"/>
        </w:rPr>
        <w:t xml:space="preserve">Übertragbarkeit: </w:t>
      </w:r>
      <w:r>
        <w:rPr>
          <w:sz w:val="19"/>
        </w:rPr>
        <w:t>Großbritannien, nationale Gesundheitsversorgung, hausarztgestützt – System übertragbar auf strukturierte Poliklinik-Modelle.</w:t>
      </w:r>
    </w:p>
    <w:p>
      <w:r>
        <w:rPr>
          <w:color w:val="5A7D3A"/>
          <w:sz w:val="18"/>
        </w:rPr>
        <w:t>https://pubmed.ncbi.nlm.nih.gov/42667938/</w:t>
      </w:r>
    </w:p>
    <w:p>
      <w:pPr>
        <w:pStyle w:val="Heading2"/>
      </w:pPr>
      <w:r>
        <w:t>Lebensqualität nach präventiver Hysterektomie bei Lynch-Syndrom</w:t>
      </w:r>
    </w:p>
    <w:p>
      <w:r>
        <w:rPr>
          <w:i/>
          <w:color w:val="666666"/>
          <w:sz w:val="18"/>
        </w:rPr>
        <w:t>Oxley SG et al.  ·  EClinicalMedicine  ·  27.07.2026  ·  PMID 42666945</w:t>
      </w:r>
    </w:p>
    <w:p>
      <w:r>
        <w:t>Multizentrische Querschnittsstudie (PRESCORES) zur Erfassung der gesundheitsbezogenen Lebensqualität (EQ-5D) bei Frauen mit Lynch-Syndrom mit und ohne risikoreduzierende Hysterektomie.</w:t>
      </w:r>
    </w:p>
    <w:p>
      <w:r>
        <w:rPr>
          <w:b/>
        </w:rPr>
        <w:t xml:space="preserve">Ergebnis: </w:t>
      </w:r>
      <w:r>
        <w:t>1.120 Teilnehmer: 529 nach RRH (Median 55 Jahre), 591 ohne (39 Jahre). Adjustierte mittlere EQ-5D-Differenz RRH vs. keine RRH: -0,020 (95%-CI -0,045–0,004; p=0,11), bei prämenopausalen Frauen -0,041 (p&lt;0,05). Cancer-Worry-Scale in RRH-Gruppe signifikant niedriger (Differenz -0,48; p=0,004). Hysterektomie bei jüngeren Frauen mit Lebensqualitätseinbußen assoziiert.</w:t>
      </w:r>
    </w:p>
    <w:p>
      <w:r>
        <w:rPr>
          <w:b/>
          <w:sz w:val="19"/>
        </w:rPr>
        <w:t xml:space="preserve">Übertragbarkeit: </w:t>
      </w:r>
      <w:r>
        <w:rPr>
          <w:sz w:val="19"/>
        </w:rPr>
        <w:t>Britische NHS-Daten, genetische Beratung/Screening-Kontext auf deutsches Versorgungssystem übertragbar.</w:t>
      </w:r>
    </w:p>
    <w:p>
      <w:r>
        <w:rPr>
          <w:color w:val="5A7D3A"/>
          <w:sz w:val="18"/>
        </w:rPr>
        <w:t>https://pubmed.ncbi.nlm.nih.gov/42666945/</w:t>
      </w:r>
    </w:p>
    <w:p>
      <w:pPr>
        <w:pStyle w:val="Heading2"/>
      </w:pPr>
      <w:r>
        <w:t>Körperliche Aktivität und Mundgesundheit im Alter – kausale Studie in Singapur</w:t>
      </w:r>
    </w:p>
    <w:p>
      <w:r>
        <w:rPr>
          <w:i/>
          <w:color w:val="666666"/>
          <w:sz w:val="18"/>
        </w:rPr>
        <w:t>Tay JRH et al.  ·  J Nutr Health Aging  ·  28.08.2026  ·  PMID 42664809</w:t>
      </w:r>
    </w:p>
    <w:p>
      <w:r>
        <w:t>Längsschnitt-Kausalitätsstudie (THE SIGNS Study, 2016–2024) zu Effekten erhöhter körperlicher Aktivität auf Mundgesundheit und Kaufunktion bei älteren Erwachsenen.</w:t>
      </w:r>
    </w:p>
    <w:p>
      <w:r>
        <w:rPr>
          <w:b/>
        </w:rPr>
        <w:t xml:space="preserve">Ergebnis: </w:t>
      </w:r>
      <w:r>
        <w:t>N=3.981, 3 Wellen. Erhöhung auf ≥450 MET-min/Woche: RR für schlechte Mundgesundheit 0,88 (95%-CI 0,82–0,95). Selbst Anstieg auf 150 MET-min/Woche: RR 0,93 (0,88–0,99). Eleminierung aller Aktivität erhöht Kaufunktionsstörungen um 21% (RR 1,21; 95%-CI 1,10–1,33). Physische Aktivität protektiv für Mundgesundheit im Alter.</w:t>
      </w:r>
    </w:p>
    <w:p>
      <w:r>
        <w:rPr>
          <w:b/>
          <w:sz w:val="19"/>
        </w:rPr>
        <w:t xml:space="preserve">Übertragbarkeit: </w:t>
      </w:r>
      <w:r>
        <w:rPr>
          <w:sz w:val="19"/>
        </w:rPr>
        <w:t>Singapur, steuerfinanziertes System; Public-Health-Fragestellung systemunabhängig, Ergebnisse auf deutsches Setting übertragbar.</w:t>
      </w:r>
    </w:p>
    <w:p>
      <w:r>
        <w:rPr>
          <w:color w:val="5A7D3A"/>
          <w:sz w:val="18"/>
        </w:rPr>
        <w:t>https://pubmed.ncbi.nlm.nih.gov/42664809/</w:t>
      </w:r>
    </w:p>
    <w:p>
      <w:pPr>
        <w:pStyle w:val="Heading2"/>
      </w:pPr>
      <w:r>
        <w:t>Difference-in-Differences – methodisches Rahmenwerk für pädiatrische Versorgungsforschung</w:t>
      </w:r>
    </w:p>
    <w:p>
      <w:r>
        <w:rPr>
          <w:i/>
          <w:color w:val="666666"/>
          <w:sz w:val="18"/>
        </w:rPr>
        <w:t>Lee AR et al.  ·  Arch Dis Child  ·  26.08.2026  ·  PMID 42648881</w:t>
      </w:r>
    </w:p>
    <w:p>
      <w:r>
        <w:t>Methodisches Tutorial zur Difference-in-Differences-Analyse für Kinderärzte im Bereich Versorgungsforschung.</w:t>
      </w:r>
    </w:p>
    <w:p>
      <w:r>
        <w:rPr>
          <w:b/>
        </w:rPr>
        <w:t xml:space="preserve">Ergebnis: </w:t>
      </w:r>
      <w:r>
        <w:t>Strukturierter Rahmen für quasi-experimentelle Analyse von Interventionseffekten mit zeitlicher und Kontrollgruppen-Variation. Methodisch-pädagogischer Beitrag ohne quantitative Ergebnisse eigener Studie.</w:t>
      </w:r>
    </w:p>
    <w:p>
      <w:r>
        <w:rPr>
          <w:b/>
          <w:sz w:val="19"/>
        </w:rPr>
        <w:t xml:space="preserve">Übertragbarkeit: </w:t>
      </w:r>
      <w:r>
        <w:rPr>
          <w:sz w:val="19"/>
        </w:rPr>
        <w:t>Methodische Anleitung, systemunabhängig anwendbar auf deutsche Versorgungsforschung.</w:t>
      </w:r>
    </w:p>
    <w:p>
      <w:r>
        <w:rPr>
          <w:color w:val="5A7D3A"/>
          <w:sz w:val="18"/>
        </w:rPr>
        <w:t>https://pubmed.ncbi.nlm.nih.gov/42648881/</w:t>
      </w:r>
    </w:p>
    <w:p>
      <w:pPr>
        <w:pStyle w:val="Heading1"/>
      </w:pPr>
      <w:r>
        <w:t>Aufgenommen am 30.08.2026</w:t>
      </w:r>
    </w:p>
    <w:p>
      <w:pPr>
        <w:pStyle w:val="Heading2"/>
      </w:pPr>
      <w:r>
        <w:t>Bewegungsaktivität reduziert perinatale Depression und Angststörungen</w:t>
      </w:r>
    </w:p>
    <w:p>
      <w:r>
        <w:rPr>
          <w:i/>
          <w:color w:val="666666"/>
          <w:sz w:val="18"/>
        </w:rPr>
        <w:t>Mohr E et al.  ·  EClinicalMedicine  ·  19.07.2026  ·  PMID 42666712</w:t>
      </w:r>
    </w:p>
    <w:p>
      <w:r>
        <w:t>Umbrella Review mit Meta-Meta-Analyse zur Wirksamkeit von körperlicher Aktivität auf depressive und Angstsymptome in der Perinatalzeit.</w:t>
      </w:r>
    </w:p>
    <w:p>
      <w:r>
        <w:rPr>
          <w:b/>
        </w:rPr>
        <w:t xml:space="preserve">Ergebnis: </w:t>
      </w:r>
      <w:r>
        <w:t>Leichte bis moderate körperliche Aktivität reduziert depressive Symptome signifikant (SMD: -0,56; 95%-KI: -0,93 bis -0,19, moderate Evidenzsicherheit), Yoga und Mixed-Activity zeigen besondere Effektivität (SMD: -0,55 bzw. -0,54). Angststörungen werden ebenfalls reduziert (SMD: -0,85; 95%-KI: -1,29 bis -0,42).</w:t>
      </w:r>
    </w:p>
    <w:p>
      <w:r>
        <w:rPr>
          <w:b/>
          <w:sz w:val="19"/>
        </w:rPr>
        <w:t xml:space="preserve">Übertragbarkeit: </w:t>
      </w:r>
      <w:r>
        <w:rPr>
          <w:sz w:val="19"/>
        </w:rPr>
        <w:t>Systematische Übersichtsarbeit, methodologisch hochwertig, globale Evidenz unmittelbar auf deutsches Versorgungssystem übertragbar</w:t>
      </w:r>
    </w:p>
    <w:p>
      <w:r>
        <w:rPr>
          <w:color w:val="5A7D3A"/>
          <w:sz w:val="18"/>
        </w:rPr>
        <w:t>https://pubmed.ncbi.nlm.nih.gov/42666712/</w:t>
      </w:r>
    </w:p>
    <w:p>
      <w:pPr>
        <w:pStyle w:val="Heading2"/>
      </w:pPr>
      <w:r>
        <w:t>Integratives Hypertonie-Monitoring mit Routinedaten in Mexikos föderalisiertem Public-Health-System</w:t>
      </w:r>
    </w:p>
    <w:p>
      <w:r>
        <w:rPr>
          <w:i/>
          <w:color w:val="666666"/>
          <w:sz w:val="18"/>
        </w:rPr>
        <w:t>Silva-Tinoco R et al.  ·  Health Serv Insights  ·  27.08.2026  ·  PMID 42666569</w:t>
      </w:r>
    </w:p>
    <w:p>
      <w:r>
        <w:t>Entwicklung und Evaluierung einer Monitoring-Plattform zur Überwachung der Hypertonie-Versorgung mithilfe von Routinedaten in einem neu strukturierten Gesundheitssystem.</w:t>
      </w:r>
    </w:p>
    <w:p>
      <w:r>
        <w:rPr>
          <w:b/>
        </w:rPr>
        <w:t xml:space="preserve">Ergebnis: </w:t>
      </w:r>
      <w:r>
        <w:t>Aus 486.044 Patienten in teilnehmenden Bundesländern erreichten 67,2% (95%-KI: 67,04–67,37) Blutdruckziele (&lt;140/90 mmHg), 36,8% (95%-KI: 36,62–36,96) strikte Kontrolle (&lt;130/80 mmHg). 63% mit suboptimaler Kontrolle erhielten Follow-up, 48% Therapieintensivierung.</w:t>
      </w:r>
    </w:p>
    <w:p>
      <w:r>
        <w:rPr>
          <w:b/>
          <w:sz w:val="19"/>
        </w:rPr>
        <w:t xml:space="preserve">Übertragbarkeit: </w:t>
      </w:r>
      <w:r>
        <w:rPr>
          <w:sz w:val="19"/>
        </w:rPr>
        <w:t>Mexico, Struktur unterschiedlich – begrenzte Übertragbarkeit, aber Monitoring-Framework methodisch relevant</w:t>
      </w:r>
    </w:p>
    <w:p>
      <w:r>
        <w:rPr>
          <w:color w:val="5A7D3A"/>
          <w:sz w:val="18"/>
        </w:rPr>
        <w:t>https://pubmed.ncbi.nlm.nih.gov/42666569/</w:t>
      </w:r>
    </w:p>
    <w:p>
      <w:pPr>
        <w:pStyle w:val="Heading2"/>
      </w:pPr>
      <w:r>
        <w:t>Health Literacy und ethnische Ungleichheiten in der Geburtshilfe: Scoping Review</w:t>
      </w:r>
    </w:p>
    <w:p>
      <w:r>
        <w:rPr>
          <w:i/>
          <w:color w:val="666666"/>
          <w:sz w:val="18"/>
        </w:rPr>
        <w:t>McEvoy B et al.  ·  BMC Health Serv Res  ·  25.08.2026  ·  PMID 42665809</w:t>
      </w:r>
    </w:p>
    <w:p>
      <w:r>
        <w:t>Systematische Analyse der Forschungsliteratur zu Health Literacy als Faktor für ethnische Disparitäten in der Mutterschaftsversorgung.</w:t>
      </w:r>
    </w:p>
    <w:p>
      <w:r>
        <w:rPr>
          <w:b/>
        </w:rPr>
        <w:t xml:space="preserve">Ergebnis: </w:t>
      </w:r>
      <w:r>
        <w:t>14 Studien eingeschlossen (7 quantitativ, 4 qualitativ, 3 gemischt). Vier Kernfunde: (i) diverse Health-Literacy-Definitionen, (ii) Health-Literacy-Herausforderungen treffen minoritäre Frauen überproportional, (iii) schlechte Health Literacy trägt zu adversen Outcomes bei, (iv) geringe Evaluierung von Interventionen. Erkannter Forschungsgap in diesem Versorgungsbereich.</w:t>
      </w:r>
    </w:p>
    <w:p>
      <w:r>
        <w:rPr>
          <w:b/>
          <w:sz w:val="19"/>
        </w:rPr>
        <w:t xml:space="preserve">Übertragbarkeit: </w:t>
      </w:r>
      <w:r>
        <w:rPr>
          <w:sz w:val="19"/>
        </w:rPr>
        <w:t>UK-Daten, aber Fragestellung zu Gesundheitskompetenz und Equity systemunabhängig relevant</w:t>
      </w:r>
    </w:p>
    <w:p>
      <w:r>
        <w:rPr>
          <w:color w:val="5A7D3A"/>
          <w:sz w:val="18"/>
        </w:rPr>
        <w:t>https://pubmed.ncbi.nlm.nih.gov/42665809/</w:t>
      </w:r>
    </w:p>
    <w:p>
      <w:pPr>
        <w:pStyle w:val="Heading2"/>
      </w:pPr>
      <w:r>
        <w:t>Empowerment von Gesundheitsarbeitern in Primary Health Care mittels partizipativer Aktionsforschung</w:t>
      </w:r>
    </w:p>
    <w:p>
      <w:r>
        <w:rPr>
          <w:i/>
          <w:color w:val="666666"/>
          <w:sz w:val="18"/>
        </w:rPr>
        <w:t>Jahromi MK et al.  ·  BMC Health Serv Res  ·  26.08.2026  ·  PMID 42665795</w:t>
      </w:r>
    </w:p>
    <w:p>
      <w:r>
        <w:t>22-Monate andauernde partizipative Aktionsforschung mit zwei Zyklen zur Stärkung der Kompetenz von Primary-Care-Anbietern im Iran.</w:t>
      </w:r>
    </w:p>
    <w:p>
      <w:r>
        <w:rPr>
          <w:b/>
        </w:rPr>
        <w:t xml:space="preserve">Ergebnis: </w:t>
      </w:r>
      <w:r>
        <w:t>Quantitative und qualitative Verbesserungen nach Intervention: erhöhtes psychological empowerment, verbesserte professional performance, höhere Zufriedenheit mit Schulungsprogrammen, verbesserte client satisfaction. Qualitative Befunde zeigen substanzielle Fortschritte in wissenschaftlich-praktischen Kompetenzen, unterstützender Arbeitskultur und psychischem Wohlbefinden.</w:t>
      </w:r>
    </w:p>
    <w:p>
      <w:r>
        <w:rPr>
          <w:b/>
          <w:sz w:val="19"/>
        </w:rPr>
        <w:t xml:space="preserve">Übertragbarkeit: </w:t>
      </w:r>
      <w:r>
        <w:rPr>
          <w:sz w:val="19"/>
        </w:rPr>
        <w:t>Iran (LMIC), Modell aber für Partizipation und Workforce-Entwicklung im deutschsprachigen Raum relevant</w:t>
      </w:r>
    </w:p>
    <w:p>
      <w:r>
        <w:rPr>
          <w:color w:val="5A7D3A"/>
          <w:sz w:val="18"/>
        </w:rPr>
        <w:t>https://pubmed.ncbi.nlm.nih.gov/42665795/</w:t>
      </w:r>
    </w:p>
    <w:p>
      <w:pPr>
        <w:pStyle w:val="Heading2"/>
      </w:pPr>
      <w:r>
        <w:t>Pharmakovigilanz-Wissen und -Praxis von Gesundheitsberufen in Georgien</w:t>
      </w:r>
    </w:p>
    <w:p>
      <w:r>
        <w:rPr>
          <w:i/>
          <w:color w:val="666666"/>
          <w:sz w:val="18"/>
        </w:rPr>
        <w:t>Silagadze N et al.  ·  BMC Health Serv Res  ·  22.07.2026  ·  PMID 42665790</w:t>
      </w:r>
    </w:p>
    <w:p>
      <w:r>
        <w:t>Querschnittstudie zu Wissen, Haltungen und Praktiken zur Erfassung von Nebenwirkungen durch Ärzte und Pflegekräfte in Georgien.</w:t>
      </w:r>
    </w:p>
    <w:p>
      <w:r>
        <w:rPr>
          <w:b/>
        </w:rPr>
        <w:t xml:space="preserve">Ergebnis: </w:t>
      </w:r>
      <w:r>
        <w:t>76,3% der Teilnehmer (n=684) begegneten Nebenwirkungen, aber nur 12,95% meldeten diese. Keine Pflegekraft und nur 10,2% der Ärzte nutzten das offizielle Meldungsformular. Hauptbarrieren: Mangel an Bewusstsein für nationale Meldesysteme (91,7%), Unsicherheit über Prozesse (76,9%), Unterschätzung der Schwere (40,8%). Ärzte hatten höhere Wissenswerte als Pflegekräfte (19 vs. 16; p&lt;0,001).</w:t>
      </w:r>
    </w:p>
    <w:p>
      <w:r>
        <w:rPr>
          <w:b/>
          <w:sz w:val="19"/>
        </w:rPr>
        <w:t xml:space="preserve">Übertragbarkeit: </w:t>
      </w:r>
      <w:r>
        <w:rPr>
          <w:sz w:val="19"/>
        </w:rPr>
        <w:t>Georgien (Entwicklungsland), aber Pharmaco-Vigilance-Herausforderungen und Lösungsansätze international übertragbar</w:t>
      </w:r>
    </w:p>
    <w:p>
      <w:r>
        <w:rPr>
          <w:color w:val="5A7D3A"/>
          <w:sz w:val="18"/>
        </w:rPr>
        <w:t>https://pubmed.ncbi.nlm.nih.gov/42665790/</w:t>
      </w:r>
    </w:p>
    <w:p>
      <w:pPr>
        <w:pStyle w:val="Heading2"/>
      </w:pPr>
      <w:r>
        <w:t>Methoden zur Analyse von Patientenbewegungen zwischen Versorgungssettings: Systematische Übersicht</w:t>
      </w:r>
    </w:p>
    <w:p>
      <w:r>
        <w:rPr>
          <w:i/>
          <w:color w:val="666666"/>
          <w:sz w:val="18"/>
        </w:rPr>
        <w:t>Yang F et al.  ·  BMJ Open  ·  28.08.2026  ·  PMID 42665343</w:t>
      </w:r>
    </w:p>
    <w:p>
      <w:r>
        <w:t>Systematische Literaturübersicht zu Methoden für die Analyse von Patientenpfaden und -flüssen über multiple Versorgungsebenen hinweg.</w:t>
      </w:r>
    </w:p>
    <w:p>
      <w:r>
        <w:rPr>
          <w:b/>
        </w:rPr>
        <w:t xml:space="preserve">Ergebnis: </w:t>
      </w:r>
      <w:r>
        <w:t>24 Studien identifiziert, 7 distinct Methoden und 5 Forschungsthemen. Die meisten nutzten deskriptive Statistiken und Gruppenvergleiche; Discrete-Event-Simulation wurde häufiger für Patientenbewegungssimulationen eingesetzt. Patiententransfervolumina/Outcomes und Kapazitätsplanung waren am häufigsten untersuchte Themen. Statistical analysis, mathematical modelling und computer simulation bieten komplementäre Ansätze.</w:t>
      </w:r>
    </w:p>
    <w:p>
      <w:r>
        <w:rPr>
          <w:b/>
          <w:sz w:val="19"/>
        </w:rPr>
        <w:t xml:space="preserve">Übertragbarkeit: </w:t>
      </w:r>
      <w:r>
        <w:rPr>
          <w:sz w:val="19"/>
        </w:rPr>
        <w:t>Nordeuropa (Norwegen, UK), Methodologie systemunabhängig, für deutsches Transitions-Management relevant</w:t>
      </w:r>
    </w:p>
    <w:p>
      <w:r>
        <w:rPr>
          <w:color w:val="5A7D3A"/>
          <w:sz w:val="18"/>
        </w:rPr>
        <w:t>https://pubmed.ncbi.nlm.nih.gov/42665343/</w:t>
      </w:r>
    </w:p>
    <w:p>
      <w:pPr>
        <w:pStyle w:val="Heading1"/>
      </w:pPr>
      <w:r>
        <w:t>Aufgenommen am 29.08.2026</w:t>
      </w:r>
    </w:p>
    <w:p>
      <w:pPr>
        <w:pStyle w:val="Heading2"/>
      </w:pPr>
      <w:r>
        <w:t>Palliative Reasoning in multiprofessioneller Palliativversorgung implementieren</w:t>
      </w:r>
    </w:p>
    <w:p>
      <w:r>
        <w:rPr>
          <w:i/>
          <w:color w:val="666666"/>
          <w:sz w:val="18"/>
        </w:rPr>
        <w:t>Kochems K et al.  ·  PLoS One  ·  28.08.2026  ·  PMID 42664250</w:t>
      </w:r>
    </w:p>
    <w:p>
      <w:r>
        <w:t>Niederländische Studie zur iterativen Anpassung und Implementierung einer integrierten Intervention (Palliative Reasoning Working Method) in Primärversorgung, Hospizen und Pflegeheimen.</w:t>
      </w:r>
    </w:p>
    <w:p>
      <w:r>
        <w:rPr>
          <w:b/>
        </w:rPr>
        <w:t xml:space="preserve">Ergebnis: </w:t>
      </w:r>
      <w:r>
        <w:t>Palliative Reasoning wurde in 20 multiprofessionellen Teams erfolgreich implementiert. Es zeigte Verbesserungen bei Erkennung von Palliativbedarfen, patientenzentrierter Versorgung, Pflegekompetenz und Teamzusammenarbeit. 14 Inhaltsadaptationen und 7 Unterstützungsmaterialien wurden entwickelt. Integration in elektronische Gesundheitsakten und organisatorische Verankerung waren entscheidend für Nachhaltigkeit.</w:t>
      </w:r>
    </w:p>
    <w:p>
      <w:r>
        <w:rPr>
          <w:b/>
          <w:sz w:val="19"/>
        </w:rPr>
        <w:t xml:space="preserve">Übertragbarkeit: </w:t>
      </w:r>
      <w:r>
        <w:rPr>
          <w:sz w:val="19"/>
        </w:rPr>
        <w:t>Niederlande, vergleichbares Sozialversicherungssystem, multiprofessionelle Strukturen</w:t>
      </w:r>
    </w:p>
    <w:p>
      <w:r>
        <w:rPr>
          <w:color w:val="5A7D3A"/>
          <w:sz w:val="18"/>
        </w:rPr>
        <w:t>https://pubmed.ncbi.nlm.nih.gov/42664250/</w:t>
      </w:r>
    </w:p>
    <w:p>
      <w:pPr>
        <w:pStyle w:val="Heading2"/>
      </w:pPr>
      <w:r>
        <w:t>Medicare Advantage und Nierenerkrankung im Endstadium nach Cures Act</w:t>
      </w:r>
    </w:p>
    <w:p>
      <w:r>
        <w:rPr>
          <w:i/>
          <w:color w:val="666666"/>
          <w:sz w:val="18"/>
        </w:rPr>
        <w:t>Cai ST et al.  ·  Health Serv Res  ·  Okt. 2026  ·  PMID 42663502</w:t>
      </w:r>
    </w:p>
    <w:p>
      <w:r>
        <w:t>US-Studie zur Veränderung der MA-Versichertenpopulation mit Nierenerkrankung im Endstadium nach Ausweitung der MA-Zulassung 2021 mittels Unterbruchszeitreihentechnik.</w:t>
      </w:r>
    </w:p>
    <w:p>
      <w:r>
        <w:rPr>
          <w:b/>
        </w:rPr>
        <w:t xml:space="preserve">Ergebnis: </w:t>
      </w:r>
      <w:r>
        <w:t>Nach der Politikänderung waren MA-Versicherte mit Nierenerkrankung im Endstadium jünger, hatten niedrigere Komorbiditätsbelastung, aber niedrigeres Einkommen. Hospitalisierungsraten sank unmittelbar um 0,013 pro Versicherter-Monat (6 % relativer Rückgang; 95%-KI: -0,022 bis -0,003; p &lt; 0,05).</w:t>
      </w:r>
    </w:p>
    <w:p>
      <w:r>
        <w:rPr>
          <w:b/>
          <w:sz w:val="19"/>
        </w:rPr>
        <w:t xml:space="preserve">Übertragbarkeit: </w:t>
      </w:r>
      <w:r>
        <w:rPr>
          <w:sz w:val="19"/>
        </w:rPr>
        <w:t>US-Daten, fragmentiertes System mit Medicaid/Medicare, eingeschränkt übertragbar</w:t>
      </w:r>
    </w:p>
    <w:p>
      <w:r>
        <w:rPr>
          <w:color w:val="5A7D3A"/>
          <w:sz w:val="18"/>
        </w:rPr>
        <w:t>https://pubmed.ncbi.nlm.nih.gov/42663502/</w:t>
      </w:r>
    </w:p>
    <w:p>
      <w:pPr>
        <w:pStyle w:val="Heading2"/>
      </w:pPr>
      <w:r>
        <w:t>Persistenz geburtshilflicher Versorgungsabsenz in US-Counties 2015–2023</w:t>
      </w:r>
    </w:p>
    <w:p>
      <w:r>
        <w:rPr>
          <w:i/>
          <w:color w:val="666666"/>
          <w:sz w:val="18"/>
        </w:rPr>
        <w:t>Laternser C  ·  Health Serv Res  ·  Okt. 2026  ·  PMID 42663181</w:t>
      </w:r>
    </w:p>
    <w:p>
      <w:r>
        <w:t>Longitudinale Panelstudie der Persistenz und Übergangsdynamik fehlender geburtshilflicher Dienste in 3144 US-Counties mit Analysen von Übergangswahrscheinlichkeiten und Prävalenztrends.</w:t>
      </w:r>
    </w:p>
    <w:p>
      <w:r>
        <w:rPr>
          <w:b/>
        </w:rPr>
        <w:t xml:space="preserve">Ergebnis: </w:t>
      </w:r>
      <w:r>
        <w:t>Geburtshilfliche Serviceabsenz war hochgradig persistent (Prevalenz stabil bei 34,2 %). Bevölkerungsexposition sank (6,5 % auf 5,3 % der Frauen 15–44 Jahre in Counties ohne Services). Jährliche Übergänge waren selten (Eintritt ≤ 0,4 %; Austritt ≤ 0,9 %). Bedingte Verweilwahrscheinlichkeiten ≥ 0,991.</w:t>
      </w:r>
    </w:p>
    <w:p>
      <w:r>
        <w:rPr>
          <w:b/>
          <w:sz w:val="19"/>
        </w:rPr>
        <w:t xml:space="preserve">Übertragbarkeit: </w:t>
      </w:r>
      <w:r>
        <w:rPr>
          <w:sz w:val="19"/>
        </w:rPr>
        <w:t>USA, sehr dezentrales System; Frage aber für Strukturplanung relevant</w:t>
      </w:r>
    </w:p>
    <w:p>
      <w:r>
        <w:rPr>
          <w:color w:val="5A7D3A"/>
          <w:sz w:val="18"/>
        </w:rPr>
        <w:t>https://pubmed.ncbi.nlm.nih.gov/42663181/</w:t>
      </w:r>
    </w:p>
    <w:p>
      <w:pPr>
        <w:pStyle w:val="Heading2"/>
      </w:pPr>
      <w:r>
        <w:t>Naturgestützte Social Prescribing gegen Einsamkeit und Lebensqualität</w:t>
      </w:r>
    </w:p>
    <w:p>
      <w:r>
        <w:rPr>
          <w:i/>
          <w:color w:val="666666"/>
          <w:sz w:val="18"/>
        </w:rPr>
        <w:t>Coll-Planas L et al.  ·  Lancet Reg Health Eur  ·  18.08.2026  ·  PMID 42662493</w:t>
      </w:r>
    </w:p>
    <w:p>
      <w:r>
        <w:t>Randomisierte kontrollierte Studie in Barcelona zu natur- und gruppenbasierter sozialer Verschreibung (Friends in Nature) bei gefährdeten städtischen Erwachsenen versus aktive Signposting.</w:t>
      </w:r>
    </w:p>
    <w:p>
      <w:r>
        <w:rPr>
          <w:b/>
        </w:rPr>
        <w:t xml:space="preserve">Ergebnis: </w:t>
      </w:r>
      <w:r>
        <w:t>320 Teilnehmer (78% weiblich; Medianalter 62,8 Jahre) randomisiert. Bei 3 Monaten zeigten beide Gruppen signifikante Einsamkeitsreduktion um 10,5 % (Gesamtmittelwertänderung: -0,73; 95%-KI -1,04 bis -0,42), kein signifikanter Unterschied zwischen Gruppen (0,30; 95%-KI -0,26 bis 0,86; p = 0,296). Keine HRQoL-Veränderung.</w:t>
      </w:r>
    </w:p>
    <w:p>
      <w:r>
        <w:rPr>
          <w:b/>
          <w:sz w:val="19"/>
        </w:rPr>
        <w:t xml:space="preserve">Übertragbarkeit: </w:t>
      </w:r>
      <w:r>
        <w:rPr>
          <w:sz w:val="19"/>
        </w:rPr>
        <w:t>Spanien, EU-Sozialversicherung, städtischer Kontext mit Deprivation</w:t>
      </w:r>
    </w:p>
    <w:p>
      <w:r>
        <w:rPr>
          <w:color w:val="5A7D3A"/>
          <w:sz w:val="18"/>
        </w:rPr>
        <w:t>https://pubmed.ncbi.nlm.nih.gov/42662493/</w:t>
      </w:r>
    </w:p>
    <w:p>
      <w:pPr>
        <w:pStyle w:val="Heading2"/>
      </w:pPr>
      <w:r>
        <w:t>Patientensicherheitskultur in integrierten Gesundheits- und Sozialdiensten (Finnland)</w:t>
      </w:r>
    </w:p>
    <w:p>
      <w:r>
        <w:rPr>
          <w:i/>
          <w:color w:val="666666"/>
          <w:sz w:val="18"/>
        </w:rPr>
        <w:t>Hult M et al.  ·  BMJ Open Qual  ·  27.08.2026  ·  PMID 42660605</w:t>
      </w:r>
    </w:p>
    <w:p>
      <w:r>
        <w:t>Querschnittstudie zur Patientensicherheitskultur in 2623 Mitarbeitern von Krankenhaus-, Sozial- und Altenpflegediensten in finnischer Wellbeing Services County mittels SOPS 2.0 und Net Safety Score.</w:t>
      </w:r>
    </w:p>
    <w:p>
      <w:r>
        <w:rPr>
          <w:b/>
        </w:rPr>
        <w:t xml:space="preserve">Ergebnis: </w:t>
      </w:r>
      <w:r>
        <w:t>Teamwork erhielt höchste positive Bewertungen (71,1 %), Übergaben und Informationsaustausch niedrigste (22,6 %). Altenpflegedienste zeigten konsistent niedrigere Werte. Teamwork, Besetzung, Arbeitsgeschwindigkeit und organisatorisches Lernen waren stärkste NSS-Prädiktoren. Gesamtpositiv-NSS: 52,6 %. Regressionsmodelle erklärten 47,4 % (Krankenhaus), 47,0 % (Altenpflege) und 35,8 % (Sozial/Gesundheit) der NSS-Varianz.</w:t>
      </w:r>
    </w:p>
    <w:p>
      <w:r>
        <w:rPr>
          <w:b/>
          <w:sz w:val="19"/>
        </w:rPr>
        <w:t xml:space="preserve">Übertragbarkeit: </w:t>
      </w:r>
      <w:r>
        <w:rPr>
          <w:sz w:val="19"/>
        </w:rPr>
        <w:t>Finnland, steuerfinanziert, aber auf integrierte Versorgungskultur übertragbar</w:t>
      </w:r>
    </w:p>
    <w:p>
      <w:r>
        <w:rPr>
          <w:color w:val="5A7D3A"/>
          <w:sz w:val="18"/>
        </w:rPr>
        <w:t>https://pubmed.ncbi.nlm.nih.gov/42660605/</w:t>
      </w:r>
    </w:p>
    <w:p>
      <w:pPr>
        <w:pStyle w:val="Heading2"/>
      </w:pPr>
      <w:r>
        <w:t>Ambulante Nachsorge bei Diabetes nach ED-Entlassung</w:t>
      </w:r>
    </w:p>
    <w:p>
      <w:r>
        <w:rPr>
          <w:i/>
          <w:color w:val="666666"/>
          <w:sz w:val="18"/>
        </w:rPr>
        <w:t>Zikry HE et al.  ·  J Gen Intern Med  ·  26.08.2026  ·  PMID 42649455</w:t>
      </w:r>
    </w:p>
    <w:p>
      <w:r>
        <w:t>Retrospektive Kohortenstudie (131.881 Patienten mit kommerzieller/MA-Versicherung, 2016–2022) zu Häufigkeit, Timing und Patientencharakteristika für ambulante Nachsorge innerhalb 30 Tage nach ED-Entlassung wegen Diabetes.</w:t>
      </w:r>
    </w:p>
    <w:p>
      <w:r>
        <w:rPr>
          <w:b/>
        </w:rPr>
        <w:t xml:space="preserve">Ergebnis: </w:t>
      </w:r>
      <w:r>
        <w:t>46,1 % erhielten ambulante Nachsorge innerhalb 30 Tagen; 13,0 % kehrten vorher zur ED zurück. Nachsorgeraten stiegen moderat von 44 % (2016) auf 49 % (2022). Höheres Alter, kommerzielle Versicherung und vorherige ambulante Versorgungskontakte waren mit höherer Wahrscheinlichkeit assoziiert. Nicht-hispanische Schwarze, MA-Versicherte mit Niedrigeinkommenszuschuss, höhere Komorbiditäten und Typ-1-Diabetes zeigten niedrigere Wahrscheinlichkeit.</w:t>
      </w:r>
    </w:p>
    <w:p>
      <w:r>
        <w:rPr>
          <w:b/>
          <w:sz w:val="19"/>
        </w:rPr>
        <w:t xml:space="preserve">Übertragbarkeit: </w:t>
      </w:r>
      <w:r>
        <w:rPr>
          <w:sz w:val="19"/>
        </w:rPr>
        <w:t>USA, aber Kontinuitätslücke und Versorgungsübergänge sind systemunabhängig relevant</w:t>
      </w:r>
    </w:p>
    <w:p>
      <w:r>
        <w:rPr>
          <w:color w:val="5A7D3A"/>
          <w:sz w:val="18"/>
        </w:rPr>
        <w:t>https://pubmed.ncbi.nlm.nih.gov/42649455/</w:t>
      </w:r>
    </w:p>
    <w:p>
      <w:pPr>
        <w:pStyle w:val="Heading1"/>
      </w:pPr>
      <w:r>
        <w:t>Aufgenommen am 28.08.2026</w:t>
      </w:r>
    </w:p>
    <w:p>
      <w:pPr>
        <w:pStyle w:val="Heading2"/>
      </w:pPr>
      <w:r>
        <w:t>Implementierung von Rehabilitations-Robotik in Regelversorgung: Systematisches Mapping</w:t>
      </w:r>
    </w:p>
    <w:p>
      <w:r>
        <w:rPr>
          <w:i/>
          <w:color w:val="666666"/>
          <w:sz w:val="18"/>
        </w:rPr>
        <w:t>Calabrò RS et al.  ·  Healthcare (Basel)  ·  14.08.2026  ·  PMID 42651315</w:t>
      </w:r>
    </w:p>
    <w:p>
      <w:r>
        <w:t>Mapping-Review zu Service-Delivery-Modellen, Implementierungsfaktoren und Real-World-Outcomes von Rehabilitations-Robotik in neurorehabilitation Kliniken (55 Studien).</w:t>
      </w:r>
    </w:p>
    <w:p>
      <w:r>
        <w:rPr>
          <w:b/>
        </w:rPr>
        <w:t xml:space="preserve">Ergebnis: </w:t>
      </w:r>
      <w:r>
        <w:t>Personalausstattung in 90,9 % der Studien dokumentiert, Workflow/Planung in 78,2 %, Sicherheit in 58,2 %, Training in 52,7 % berichtet. Feasibility in 72,7 %, Akzeptabilität in 56,4 %, Adoption in 41,8 % dokumentiert. Nachhaltigkeit, technischer Support und Implementierungskosten unterberichtet.</w:t>
      </w:r>
    </w:p>
    <w:p>
      <w:r>
        <w:rPr>
          <w:b/>
          <w:sz w:val="19"/>
        </w:rPr>
        <w:t xml:space="preserve">Übertragbarkeit: </w:t>
      </w:r>
      <w:r>
        <w:rPr>
          <w:sz w:val="19"/>
        </w:rPr>
        <w:t>Implementierungsforschung, qualitative Evidenz; Systemkontext unterschiedlich aber methodisch relevant</w:t>
      </w:r>
    </w:p>
    <w:p>
      <w:r>
        <w:rPr>
          <w:color w:val="5A7D3A"/>
          <w:sz w:val="18"/>
        </w:rPr>
        <w:t>https://pubmed.ncbi.nlm.nih.gov/42651315/</w:t>
      </w:r>
    </w:p>
    <w:p>
      <w:pPr>
        <w:pStyle w:val="Heading2"/>
      </w:pPr>
      <w:r>
        <w:t>Peer Researcher in Surveys: Training, Support und Evaluation – Narrative Review</w:t>
      </w:r>
    </w:p>
    <w:p>
      <w:r>
        <w:rPr>
          <w:i/>
          <w:color w:val="666666"/>
          <w:sz w:val="18"/>
        </w:rPr>
        <w:t>Blunt TJG et al.  ·  Res Involv Engagem  ·  25.08.2026  ·  PMID 42642786</w:t>
      </w:r>
    </w:p>
    <w:p>
      <w:r>
        <w:t>Narrative Review von Literatur zu Involvement, Training und Evaluation von Peer Researchers bei survey-basierten Datenerhebungen (Fokus auf methodische Lücken).</w:t>
      </w:r>
    </w:p>
    <w:p>
      <w:r>
        <w:rPr>
          <w:b/>
        </w:rPr>
        <w:t xml:space="preserve">Ergebnis: </w:t>
      </w:r>
      <w:r>
        <w:t>PR-Rollen variabel, oft nur Datenerhebung. Training reicht von intensiv strukturiert bis minimal/absent. PR-Involvement verbesserte Rekrutierung, Rapport, Datentiefe, aber systematische Evaluation selten. Herausforderungen: Rollenklarheit unklar, unzureichende Unterstützung, hierarchische Dynamiken, Tokenismus.</w:t>
      </w:r>
    </w:p>
    <w:p>
      <w:r>
        <w:rPr>
          <w:b/>
          <w:sz w:val="19"/>
        </w:rPr>
        <w:t xml:space="preserve">Übertragbarkeit: </w:t>
      </w:r>
      <w:r>
        <w:rPr>
          <w:sz w:val="19"/>
        </w:rPr>
        <w:t>Partizipative Forschungsmethoden relevant für deutsches HSR; Evidenz international heterogen</w:t>
      </w:r>
    </w:p>
    <w:p>
      <w:r>
        <w:rPr>
          <w:color w:val="5A7D3A"/>
          <w:sz w:val="18"/>
        </w:rPr>
        <w:t>https://pubmed.ncbi.nlm.nih.gov/42642786/</w:t>
      </w:r>
    </w:p>
    <w:p>
      <w:pPr>
        <w:pStyle w:val="Heading2"/>
      </w:pPr>
      <w:r>
        <w:t>Systems Thinking in Public-Health-Interventionen: Barrieren und Facilitators</w:t>
      </w:r>
    </w:p>
    <w:p>
      <w:r>
        <w:rPr>
          <w:i/>
          <w:color w:val="666666"/>
          <w:sz w:val="18"/>
        </w:rPr>
        <w:t>Alabdulaali M et al.  ·  BMC Health Serv Res  ·  19.08.2026  ·  PMID 42642760</w:t>
      </w:r>
    </w:p>
    <w:p>
      <w:r>
        <w:t>Systematisches Review von 15 Studien zu Implementierung von Systems-Thinking-Ansätzen in Public-Health-Interventionen, Barrieren und Facilitators in 2013–2025.</w:t>
      </w:r>
    </w:p>
    <w:p>
      <w:r>
        <w:rPr>
          <w:b/>
        </w:rPr>
        <w:t xml:space="preserve">Ergebnis: </w:t>
      </w:r>
      <w:r>
        <w:t>Hauptfacilitatoren: Stakeholder-Engagement, Co-Production, Integration in bestehende Systeme, inkrementelle Kapazitätsbildung, Leadership-Support. Barrieren: Schwierigkeit, Systemkonzepte umzusetzen, Personalknappheit, fragmentierte Datensysteme, starre Governance, externe Disruptionen (z.B. COVID-19).</w:t>
      </w:r>
    </w:p>
    <w:p>
      <w:r>
        <w:rPr>
          <w:b/>
          <w:sz w:val="19"/>
        </w:rPr>
        <w:t xml:space="preserve">Übertragbarkeit: </w:t>
      </w:r>
      <w:r>
        <w:rPr>
          <w:sz w:val="19"/>
        </w:rPr>
        <w:t>Internationale Studien aber Implementierungsrahmen systemunabhängig; relevant für Reformkontexte wie Deutschland</w:t>
      </w:r>
    </w:p>
    <w:p>
      <w:r>
        <w:rPr>
          <w:color w:val="5A7D3A"/>
          <w:sz w:val="18"/>
        </w:rPr>
        <w:t>https://pubmed.ncbi.nlm.nih.gov/42642760/</w:t>
      </w:r>
    </w:p>
    <w:p>
      <w:pPr>
        <w:pStyle w:val="Heading2"/>
      </w:pPr>
      <w:r>
        <w:t>Räumliche Erreichbarkeit von Hospizen in Deutschland: Vergleich von Messmethoden</w:t>
      </w:r>
    </w:p>
    <w:p>
      <w:r>
        <w:rPr>
          <w:i/>
          <w:color w:val="666666"/>
          <w:sz w:val="18"/>
        </w:rPr>
        <w:t>Petzold T et al.  ·  BMC Health Serv Res  ·  21.08.2026  ·  PMID 42642757</w:t>
      </w:r>
    </w:p>
    <w:p>
      <w:r>
        <w:t>Vergleich von vier Methoden zur Messung der räumlichen Erreichbarkeit von Hospizen anhand von 295 deutschen Einrichtungen.</w:t>
      </w:r>
    </w:p>
    <w:p>
      <w:r>
        <w:rPr>
          <w:b/>
        </w:rPr>
        <w:t xml:space="preserve">Ergebnis: </w:t>
      </w:r>
      <w:r>
        <w:t>90,3 % der Bevölkerung erreichen ein Hospiz innerhalb von 30 min. Methoden zeigen unterschiedliche Ergebnisse: Provider-to-Population-Ratio zeigt 36,4 Betten pro 1 Mio. Einwohner national; FCA-Methoden sind heterogener, besonders in ländlichen Regionen. Die Wahl der Methode beeinflusst Ergebnisse erheblich.</w:t>
      </w:r>
    </w:p>
    <w:p>
      <w:r>
        <w:rPr>
          <w:b/>
          <w:sz w:val="19"/>
        </w:rPr>
        <w:t xml:space="preserve">Übertragbarkeit: </w:t>
      </w:r>
      <w:r>
        <w:rPr>
          <w:sz w:val="19"/>
        </w:rPr>
        <w:t>Deutsche Hospize, Routinedaten; direkt übertragbar auf deutsches Versorgungssystem</w:t>
      </w:r>
    </w:p>
    <w:p>
      <w:r>
        <w:rPr>
          <w:color w:val="5A7D3A"/>
          <w:sz w:val="18"/>
        </w:rPr>
        <w:t>https://pubmed.ncbi.nlm.nih.gov/42642757/</w:t>
      </w:r>
    </w:p>
    <w:p>
      <w:pPr>
        <w:pStyle w:val="Heading2"/>
      </w:pPr>
      <w:r>
        <w:t>Health Literacy und Malaria-Verhalten in Gabun: Assoziationen bei Prävention und Adhärenz</w:t>
      </w:r>
    </w:p>
    <w:p>
      <w:r>
        <w:rPr>
          <w:i/>
          <w:color w:val="666666"/>
          <w:sz w:val="18"/>
        </w:rPr>
        <w:t>Namubiru C et al.  ·  BMC Health Serv Res  ·  24.08.2026  ·  PMID 42642735</w:t>
      </w:r>
    </w:p>
    <w:p>
      <w:r>
        <w:t>Querschnittstudie zu Assoziationen zwischen Health Literacy und Malaria-Präventionsverhalten bei 504 Befragten in urban und ländlich Gabun.</w:t>
      </w:r>
    </w:p>
    <w:p>
      <w:r>
        <w:rPr>
          <w:b/>
        </w:rPr>
        <w:t xml:space="preserve">Ergebnis: </w:t>
      </w:r>
      <w:r>
        <w:t>59,7 % mit ausreichender Health Literacy (HL). HL assoziiert mit Dosierungswissen (AME 0,022, p&lt;0,001), Adhärenz (OR 1,089, p&lt;0,01), Fragen stellen (OR 1,092, p&lt;0,001) und Netztnutzung (p&lt;0,05). Keine Assoziation mit Behandlungssuche oder Buschrodung (p&gt;0,05).</w:t>
      </w:r>
    </w:p>
    <w:p>
      <w:r>
        <w:rPr>
          <w:b/>
          <w:sz w:val="19"/>
        </w:rPr>
        <w:t xml:space="preserve">Übertragbarkeit: </w:t>
      </w:r>
      <w:r>
        <w:rPr>
          <w:sz w:val="19"/>
        </w:rPr>
        <w:t>Ressourcen-limitiertes Setting mit anderen Prioritäten; Methodologie aber für Versorgungsforschung relevant</w:t>
      </w:r>
    </w:p>
    <w:p>
      <w:r>
        <w:rPr>
          <w:color w:val="5A7D3A"/>
          <w:sz w:val="18"/>
        </w:rPr>
        <w:t>https://pubmed.ncbi.nlm.nih.gov/42642735/</w:t>
      </w:r>
    </w:p>
    <w:p>
      <w:pPr>
        <w:pStyle w:val="Heading2"/>
      </w:pPr>
      <w:r>
        <w:t>Globale Fortschritte bei oralmedizinischen Bedingungen 2019–2023: GBD-Analyse</w:t>
      </w:r>
    </w:p>
    <w:p>
      <w:r>
        <w:rPr>
          <w:i/>
          <w:color w:val="666666"/>
          <w:sz w:val="18"/>
        </w:rPr>
        <w:t>GBD 2023 Oral Disorders Collaborators  ·  Lancet Public Health  ·  Sept. 2026  ·  PMID 42612648</w:t>
      </w:r>
    </w:p>
    <w:p>
      <w:r>
        <w:t>Systematische GBD-2023-Analyse zu globalen und regionalen Trends bei Prävalenz von Mundhöhlenerkrankungen (Karies, Parodontitis, Zahnlosigkeit) 2019–2023 gegenüber WHO-Ziel 2030.</w:t>
      </w:r>
    </w:p>
    <w:p>
      <w:r>
        <w:rPr>
          <w:b/>
        </w:rPr>
        <w:t xml:space="preserve">Ergebnis: </w:t>
      </w:r>
      <w:r>
        <w:t>Altersstandardisierte Prävalenz hauptsächlich sank um -1,55 % (95% UI -2,32 bis -0,82); absolute Fälle stiegen aber +3,07 %. Unbehandelte Karies in bleibenden Zähnen -1,99 %, orofaziale Spalten +2,25 %. Südasien -3,34 %, Sub-Sahara +9,51 %. Aktuelles Tempo unzureichend für 2030-Ziele.</w:t>
      </w:r>
    </w:p>
    <w:p>
      <w:r>
        <w:rPr>
          <w:b/>
          <w:sz w:val="19"/>
        </w:rPr>
        <w:t xml:space="preserve">Übertragbarkeit: </w:t>
      </w:r>
      <w:r>
        <w:rPr>
          <w:sz w:val="19"/>
        </w:rPr>
        <w:t>WHO-GBD-Daten global; Trendfeststellung systemunabhängig aber mit Lücken in DE-Datenerfassung</w:t>
      </w:r>
    </w:p>
    <w:p>
      <w:r>
        <w:rPr>
          <w:color w:val="5A7D3A"/>
          <w:sz w:val="18"/>
        </w:rPr>
        <w:t>https://pubmed.ncbi.nlm.nih.gov/42612648/</w:t>
      </w:r>
    </w:p>
    <w:p>
      <w:pPr>
        <w:pStyle w:val="Heading1"/>
      </w:pPr>
      <w:r>
        <w:t>Aufgenommen am 27.08.2026</w:t>
      </w:r>
    </w:p>
    <w:p>
      <w:pPr>
        <w:pStyle w:val="Heading2"/>
      </w:pPr>
      <w:r>
        <w:t>Safeguarding concerns older adults with dementia in England: distribution and disparities</w:t>
      </w:r>
    </w:p>
    <w:p>
      <w:r>
        <w:rPr>
          <w:i/>
          <w:color w:val="666666"/>
          <w:sz w:val="18"/>
        </w:rPr>
        <w:t>Maharani A et al.  ·  BMJ Open  ·  26.08.2026  ·  PMID 42648775</w:t>
      </w:r>
    </w:p>
    <w:p>
      <w:r>
        <w:t>Bevölkerungsgestützte Analyse räumlicher und zeitlicher Muster von Schutzmaßnahmen für demenzkranke Menschen in England zwischen 2015 und 2022.</w:t>
      </w:r>
    </w:p>
    <w:p>
      <w:r>
        <w:rPr>
          <w:b/>
        </w:rPr>
        <w:t xml:space="preserve">Ergebnis: </w:t>
      </w:r>
      <w:r>
        <w:t>Schutzmaßnahmen stiegen um 55,5 % (2015/16–2019/20); Frauen ab 85 Jahren zeigten höhere Raten; räumliche Variabilität: höhere Aktivität in urbanen und benachteiligten Regionen (Manchester, Liverpool, Midlands), niedrigere in ländlichen Gebieten.</w:t>
      </w:r>
    </w:p>
    <w:p>
      <w:r>
        <w:rPr>
          <w:b/>
          <w:sz w:val="19"/>
        </w:rPr>
        <w:t xml:space="preserve">Übertragbarkeit: </w:t>
      </w:r>
      <w:r>
        <w:rPr>
          <w:sz w:val="19"/>
        </w:rPr>
        <w:t>Großbritannien, administrative nationale Daten – eingeschränkt übertragbar wegen anderer Sozialsysteme</w:t>
      </w:r>
    </w:p>
    <w:p>
      <w:r>
        <w:rPr>
          <w:color w:val="5A7D3A"/>
          <w:sz w:val="18"/>
        </w:rPr>
        <w:t>https://pubmed.ncbi.nlm.nih.gov/42648775/</w:t>
      </w:r>
    </w:p>
    <w:p>
      <w:pPr>
        <w:pStyle w:val="Heading2"/>
      </w:pPr>
      <w:r>
        <w:t>Implementierung eines Care-Bundle für intracerebrale Blutungen in Nordengland</w:t>
      </w:r>
    </w:p>
    <w:p>
      <w:r>
        <w:rPr>
          <w:i/>
          <w:color w:val="666666"/>
          <w:sz w:val="18"/>
        </w:rPr>
        <w:t>Brunton L et al.  ·  BMJ Open Qual  ·  26.08.2026  ·  PMID 42648747</w:t>
      </w:r>
    </w:p>
    <w:p>
      <w:r>
        <w:t>Qualitative Prozessevaluation der Ausrollung eines ICH-Management-Bundles über sechs Regionen mit 45 Interviews, sechs Beobachtungen und Dokumentenanalyse.</w:t>
      </w:r>
    </w:p>
    <w:p>
      <w:r>
        <w:rPr>
          <w:b/>
        </w:rPr>
        <w:t xml:space="preserve">Ergebnis: </w:t>
      </w:r>
      <w:r>
        <w:t>Begünstigte Faktoren: Interventionsklarheit, Kompatibilität mit Kliniker-Werten, lokale Adaptabilität. Barrieren: mangelnde Fähigkeiten, kulturelle Normen führten zu Überweisungen unabhängig Kriterien, unzureichendes Monitoring der Prozeßziele.</w:t>
      </w:r>
    </w:p>
    <w:p>
      <w:r>
        <w:rPr>
          <w:b/>
          <w:sz w:val="19"/>
        </w:rPr>
        <w:t xml:space="preserve">Übertragbarkeit: </w:t>
      </w:r>
      <w:r>
        <w:rPr>
          <w:sz w:val="19"/>
        </w:rPr>
        <w:t>England, NHS-Kontext – bedingt übertragbar auf deutsches stationäres System</w:t>
      </w:r>
    </w:p>
    <w:p>
      <w:r>
        <w:rPr>
          <w:color w:val="5A7D3A"/>
          <w:sz w:val="18"/>
        </w:rPr>
        <w:t>https://pubmed.ncbi.nlm.nih.gov/42648747/</w:t>
      </w:r>
    </w:p>
    <w:p>
      <w:pPr>
        <w:pStyle w:val="Heading2"/>
      </w:pPr>
      <w:r>
        <w:t>Governance-Konfigurationen koordinierter Gesundheitsförderung in Kommunen</w:t>
      </w:r>
    </w:p>
    <w:p>
      <w:r>
        <w:rPr>
          <w:i/>
          <w:color w:val="666666"/>
          <w:sz w:val="18"/>
        </w:rPr>
        <w:t>Richter H et al.  ·  BMC Health Serv Res  ·  22.08.2026  ·  PMID 42642761</w:t>
      </w:r>
    </w:p>
    <w:p>
      <w:r>
        <w:t>Egozentrische Netzwerkanalyse der Koordinationsmuster von 14 Gesundheitsfachpersonen in deutschen Grundschulen und Nachbarschaften mit 662 erfassten Personen.</w:t>
      </w:r>
    </w:p>
    <w:p>
      <w:r>
        <w:rPr>
          <w:b/>
        </w:rPr>
        <w:t xml:space="preserve">Ergebnis: </w:t>
      </w:r>
      <w:r>
        <w:t>Drei Governance-Konfigurationen identifiziert: ego-abhängige Integration, ersetzbare Koordination und verteilte Integration. Netzwerkstabilität hängt weniger von Akteur-Dichte ab als von Struktur des Brokerage und Formalität alternativer Koordinationspfade.</w:t>
      </w:r>
    </w:p>
    <w:p>
      <w:r>
        <w:rPr>
          <w:b/>
          <w:sz w:val="19"/>
        </w:rPr>
        <w:t xml:space="preserve">Übertragbarkeit: </w:t>
      </w:r>
      <w:r>
        <w:rPr>
          <w:sz w:val="19"/>
        </w:rPr>
        <w:t>Deutschland, kommunale Gesundheitsförderung – direkt übertragbar</w:t>
      </w:r>
    </w:p>
    <w:p>
      <w:r>
        <w:rPr>
          <w:color w:val="5A7D3A"/>
          <w:sz w:val="18"/>
        </w:rPr>
        <w:t>https://pubmed.ncbi.nlm.nih.gov/42642761/</w:t>
      </w:r>
    </w:p>
    <w:p>
      <w:pPr>
        <w:pStyle w:val="Heading2"/>
      </w:pPr>
      <w:r>
        <w:t>Telemedicine in ländlicher Demenzversorgung in Hocheinkommensländern</w:t>
      </w:r>
    </w:p>
    <w:p>
      <w:r>
        <w:rPr>
          <w:i/>
          <w:color w:val="666666"/>
          <w:sz w:val="18"/>
        </w:rPr>
        <w:t>Devarshi R et al.  ·  BMC Health Serv Res  ·  19.08.2026  ·  PMID 42642758</w:t>
      </w:r>
    </w:p>
    <w:p>
      <w:r>
        <w:t>Scoping Review mit 9 Studien aus USA, Australien, Kanada, Griechenland und UK zur Integration von Telemedizin in ländliche Demenzsysteme (2014–2025).</w:t>
      </w:r>
    </w:p>
    <w:p>
      <w:r>
        <w:rPr>
          <w:b/>
        </w:rPr>
        <w:t xml:space="preserve">Ergebnis: </w:t>
      </w:r>
      <w:r>
        <w:t>Wichtige Barrieren: begrenzte Konnektivität, digitale Grundbildung, Gesundheitsbeeinträchtigungen; Begünstigter: Vertrauen zu Providern, organisationale Unterstützung. Strategien: Schulung, dedizierte Koordinationsrollen, Co-Design mit Patienten.</w:t>
      </w:r>
    </w:p>
    <w:p>
      <w:r>
        <w:rPr>
          <w:b/>
          <w:sz w:val="19"/>
        </w:rPr>
        <w:t xml:space="preserve">Übertragbarkeit: </w:t>
      </w:r>
      <w:r>
        <w:rPr>
          <w:sz w:val="19"/>
        </w:rPr>
        <w:t>Hocheinkommensländer, rural – teilweise übertragbar, systemische Unterschiede bei Finanzierung</w:t>
      </w:r>
    </w:p>
    <w:p>
      <w:r>
        <w:rPr>
          <w:color w:val="5A7D3A"/>
          <w:sz w:val="18"/>
        </w:rPr>
        <w:t>https://pubmed.ncbi.nlm.nih.gov/42642758/</w:t>
      </w:r>
    </w:p>
    <w:p>
      <w:pPr>
        <w:pStyle w:val="Heading2"/>
      </w:pPr>
      <w:r>
        <w:t>Überdiagnose in Krebsscreening: Perspektiven von Gesundheitsfachpersonen</w:t>
      </w:r>
    </w:p>
    <w:p>
      <w:r>
        <w:rPr>
          <w:i/>
          <w:color w:val="666666"/>
          <w:sz w:val="18"/>
        </w:rPr>
        <w:t>Piessens V et al.  ·  BMC Health Serv Res  ·  23.07.2026  ·  PMID 42642748</w:t>
      </w:r>
    </w:p>
    <w:p>
      <w:r>
        <w:t>Qualitative Interviews mit 34 Gesundheitsfachpersonen in Flandern zur Wahrnehmung und zum Umgang mit Überdiagnose in Brust-, Lungen- und Prostata-Screening.</w:t>
      </w:r>
    </w:p>
    <w:p>
      <w:r>
        <w:rPr>
          <w:b/>
        </w:rPr>
        <w:t xml:space="preserve">Ergebnis: </w:t>
      </w:r>
      <w:r>
        <w:t>Drei Positionen: RoutineScreening (Überdiagnose ignoriert), Determined Screening (Vorteile betont, Überdiagnose marginalisiert) und Cautious Screening (Überdiagnose kritisch). Begünstigte Faktoren für reflektiertes Handeln: umfassendes Verständnis von Nutzen und Schaden.</w:t>
      </w:r>
    </w:p>
    <w:p>
      <w:r>
        <w:rPr>
          <w:b/>
          <w:sz w:val="19"/>
        </w:rPr>
        <w:t xml:space="preserve">Übertragbarkeit: </w:t>
      </w:r>
      <w:r>
        <w:rPr>
          <w:sz w:val="19"/>
        </w:rPr>
        <w:t>Belgien, Sozialversicherungssystem – gut übertragbar auf Deutschland</w:t>
      </w:r>
    </w:p>
    <w:p>
      <w:r>
        <w:rPr>
          <w:color w:val="5A7D3A"/>
          <w:sz w:val="18"/>
        </w:rPr>
        <w:t>https://pubmed.ncbi.nlm.nih.gov/42642748/</w:t>
      </w:r>
    </w:p>
    <w:p>
      <w:pPr>
        <w:pStyle w:val="Heading1"/>
      </w:pPr>
      <w:r>
        <w:t>Aufgenommen am 26.08.2026</w:t>
      </w:r>
    </w:p>
    <w:p>
      <w:pPr>
        <w:pStyle w:val="Heading2"/>
      </w:pPr>
      <w:r>
        <w:t>Digitale Gesundheitsanwendungen: Unterschiede bei sozioökonomisch benachteiligten Chroniker-Patienten in den Niederlanden</w:t>
      </w:r>
    </w:p>
    <w:p>
      <w:r>
        <w:rPr>
          <w:i/>
          <w:color w:val="666666"/>
          <w:sz w:val="18"/>
        </w:rPr>
        <w:t>Standaar LMB et al.  ·  Inquiry  ·  25.08.2026  ·  PMID 42641147</w:t>
      </w:r>
    </w:p>
    <w:p>
      <w:r>
        <w:t>Querschnittsstudie zur Nutzung von fünf e-Health-Anwendungen (Websites, Apps, Wearables, Patientenportale, digitale Kommunikation) bei 1.517 Niederländern mit chronischen Erkrankungen in Abhängigkeit vom Bildungsattainment.</w:t>
      </w:r>
    </w:p>
    <w:p>
      <w:r>
        <w:rPr>
          <w:b/>
        </w:rPr>
        <w:t xml:space="preserve">Ergebnis: </w:t>
      </w:r>
      <w:r>
        <w:t>Personen mit niedriger Bildung nutzten signifikant weniger Websites (OR 4,78), Apps (OR 2,88), Wearables (OR 2,12) und Patientenportale (OR 3,24) als Hochgebildete. Hochgebildete waren eher zum E-Health-Einsatz geneigt (RRR 2,21) und weniger unsicher (RRR 0,56). Digitale Angebote erreichen nicht alle Patientengruppen gleich.</w:t>
      </w:r>
    </w:p>
    <w:p>
      <w:r>
        <w:rPr>
          <w:b/>
          <w:sz w:val="19"/>
        </w:rPr>
        <w:t xml:space="preserve">Übertragbarkeit: </w:t>
      </w:r>
      <w:r>
        <w:rPr>
          <w:sz w:val="19"/>
        </w:rPr>
        <w:t>Niederlande, vergleichbares Sozialversicherungssystem mit ähnlichen e-Health-Hürden</w:t>
      </w:r>
    </w:p>
    <w:p>
      <w:r>
        <w:rPr>
          <w:color w:val="5A7D3A"/>
          <w:sz w:val="18"/>
        </w:rPr>
        <w:t>https://pubmed.ncbi.nlm.nih.gov/42641147/</w:t>
      </w:r>
    </w:p>
    <w:p>
      <w:pPr>
        <w:pStyle w:val="Heading2"/>
      </w:pPr>
      <w:r>
        <w:t>Determinanten antimikrobieller Verschreibungsmuster in der pädiatrischen Ambulantversorgung in Ghana</w:t>
      </w:r>
    </w:p>
    <w:p>
      <w:r>
        <w:rPr>
          <w:i/>
          <w:color w:val="666666"/>
          <w:sz w:val="18"/>
        </w:rPr>
        <w:t>Aduful AK et al.  ·  BMJ Paediatr Open  ·  21.08.2026  ·  PMID 42629162</w:t>
      </w:r>
    </w:p>
    <w:p>
      <w:r>
        <w:t>Retrospektive Analyse von 3.244 Antibiotikaverordnungen aus 16.555 pädiatrischen Ambulanzkonsultationen in Ghana zur Assoziation von Patienten- und Anbietermerkmalen mit Verschreibungsangemessenheit.</w:t>
      </w:r>
    </w:p>
    <w:p>
      <w:r>
        <w:rPr>
          <w:b/>
        </w:rPr>
        <w:t xml:space="preserve">Ergebnis: </w:t>
      </w:r>
      <w:r>
        <w:t>Männliches Geschlecht war mit Verordnung ohne Indikation assoziiert (p=0,007); ältere Kinder und Patienten mit Fieber erhielten seltener unangemessene Antibiotika (p=0,030, p=0,036). Spezialisierte Pflegekräfte und Physician Assistants zeigten mehr unangemessene Verordnungen als Assistenzärzte (p&lt;0,001, p=0,005); medizinische Offiziere und Resident Doctors verschrieben angemessenere Dosierungen und Dauern.</w:t>
      </w:r>
    </w:p>
    <w:p>
      <w:r>
        <w:rPr>
          <w:b/>
          <w:sz w:val="19"/>
        </w:rPr>
        <w:t xml:space="preserve">Übertragbarkeit: </w:t>
      </w:r>
      <w:r>
        <w:rPr>
          <w:sz w:val="19"/>
        </w:rPr>
        <w:t>Nur bedingt: Ressourcenlimitiertes System mit anderer Personalstruktur als Deutschland</w:t>
      </w:r>
    </w:p>
    <w:p>
      <w:r>
        <w:rPr>
          <w:color w:val="5A7D3A"/>
          <w:sz w:val="18"/>
        </w:rPr>
        <w:t>https://pubmed.ncbi.nlm.nih.gov/42629162/</w:t>
      </w:r>
    </w:p>
    <w:p>
      <w:pPr>
        <w:pStyle w:val="Heading2"/>
      </w:pPr>
      <w:r>
        <w:t>Standardisiertes Messinstrument für patientenberichtete Soziodemografie in deutschen Gesundheitsstudien</w:t>
      </w:r>
    </w:p>
    <w:p>
      <w:r>
        <w:rPr>
          <w:i/>
          <w:color w:val="666666"/>
          <w:sz w:val="18"/>
        </w:rPr>
        <w:t>Boczor S et al.  ·  BMC Med Res Methodol  ·  20.08.2026  ·  PMID 42625156</w:t>
      </w:r>
    </w:p>
    <w:p>
      <w:r>
        <w:t>Entwicklung und Evaluation eines praktikablen Standardinstruments zur Erfassung von Patientensoziodemografie in Gesundheitsstudien durch Expertenpanel, Fokusgruppe und Pretests an 290 Patienten in einer deutschen Universitätsklinik.</w:t>
      </w:r>
    </w:p>
    <w:p>
      <w:r>
        <w:rPr>
          <w:b/>
        </w:rPr>
        <w:t xml:space="preserve">Ergebnis: </w:t>
      </w:r>
      <w:r>
        <w:t>Mit 290 Studienteilnehmern (51% der 574 angesprochenen Patienten, Median 40 Jahre, 55% weiblich) erreichte das Instrument Akzeptanz: 66% hielten die Länge für angemessen, 96% fanden es verständlich. Sieben Fragen zu Einkommenssituation zeigten Klärungsbedarf und wurden überarbeitet. Finale Instrument erfasst 14 standardisierte Variablen zu biologischem Geschlecht, Geburt, Familienstand, Haushalt, Bildung, Beruf und soziodemografischen Merkmalen.</w:t>
      </w:r>
    </w:p>
    <w:p>
      <w:r>
        <w:rPr>
          <w:b/>
          <w:sz w:val="19"/>
        </w:rPr>
        <w:t xml:space="preserve">Übertragbarkeit: </w:t>
      </w:r>
      <w:r>
        <w:rPr>
          <w:sz w:val="19"/>
        </w:rPr>
        <w:t>Deutschland, Universitätsmedizin mit patientenzentriertem Ansatz zur Versorgungsforschung</w:t>
      </w:r>
    </w:p>
    <w:p>
      <w:r>
        <w:rPr>
          <w:color w:val="5A7D3A"/>
          <w:sz w:val="18"/>
        </w:rPr>
        <w:t>https://pubmed.ncbi.nlm.nih.gov/42625156/</w:t>
      </w:r>
    </w:p>
    <w:p>
      <w:pPr>
        <w:pStyle w:val="Heading1"/>
      </w:pPr>
      <w:r>
        <w:t>Aufgenommen am 25.08.2026</w:t>
      </w:r>
    </w:p>
    <w:p>
      <w:pPr>
        <w:pStyle w:val="Heading2"/>
      </w:pPr>
      <w:r>
        <w:t>Sterblichkeit bei akuter Lebererkrankung in England: nationale Kohortenstudie</w:t>
      </w:r>
    </w:p>
    <w:p>
      <w:r>
        <w:rPr>
          <w:i/>
          <w:color w:val="666666"/>
          <w:sz w:val="18"/>
        </w:rPr>
        <w:t>Campbell C et al.  ·  Eur J Intern Med  ·  24.08.2026  ·  PMID 42637631</w:t>
      </w:r>
    </w:p>
    <w:p>
      <w:r>
        <w:t>Studie zur Langzeitsterblichkeit von 82.402 Patienten mit chronischer Lebererkrankung nach erstem Notfallaufenthalt in englischen Krankenhäusern (2012-2019).</w:t>
      </w:r>
    </w:p>
    <w:p>
      <w:r>
        <w:rPr>
          <w:b/>
        </w:rPr>
        <w:t xml:space="preserve">Ergebnis: </w:t>
      </w:r>
      <w:r>
        <w:t>5-Jahres-Mortalität 59,9%; Median-Überlebenszeit 2,72 Jahre (95%-KI 2,66-2,79). Regional erhöhte Mortalität außerhalb Londons (adjHR 1,06-1,19); Encephalopathie (adjHR 1,70), Aszites (adjHR 1,64) und gastrointestinale Blutung (adjHR 1,10) mit erhöhter Mortalität assoziiert.</w:t>
      </w:r>
    </w:p>
    <w:p>
      <w:r>
        <w:rPr>
          <w:b/>
          <w:sz w:val="19"/>
        </w:rPr>
        <w:t xml:space="preserve">Übertragbarkeit: </w:t>
      </w:r>
      <w:r>
        <w:rPr>
          <w:sz w:val="19"/>
        </w:rPr>
        <w:t>Englische Routinedaten; vergleichbar mit deutschem NHS-ähnlichen System in Versorgungssteuerung und Datenqualität.</w:t>
      </w:r>
    </w:p>
    <w:p>
      <w:r>
        <w:rPr>
          <w:color w:val="5A7D3A"/>
          <w:sz w:val="18"/>
        </w:rPr>
        <w:t>https://pubmed.ncbi.nlm.nih.gov/42637631/</w:t>
      </w:r>
    </w:p>
    <w:p>
      <w:pPr>
        <w:pStyle w:val="Heading2"/>
      </w:pPr>
      <w:r>
        <w:t>Apotheken-Interventionen bei niedriger Health Literacy: systematische Übersicht mit Co-Design-Fokus</w:t>
      </w:r>
    </w:p>
    <w:p>
      <w:r>
        <w:rPr>
          <w:i/>
          <w:color w:val="666666"/>
          <w:sz w:val="18"/>
        </w:rPr>
        <w:t>Suppiah SD et al.  ·  Res Social Adm Pharm  ·  22.08.2026  ·  PMID 42637584</w:t>
      </w:r>
    </w:p>
    <w:p>
      <w:r>
        <w:t>Systematische Übersicht von neun RCTs (13 Publikationen) zu Apotheken-Interventionen für chronisch kranke Erwachsene mit eingeschränkter Health Literacy.</w:t>
      </w:r>
    </w:p>
    <w:p>
      <w:r>
        <w:rPr>
          <w:b/>
        </w:rPr>
        <w:t xml:space="preserve">Ergebnis: </w:t>
      </w:r>
      <w:r>
        <w:t>Medikamentenverstehen verbesserte sich konsistent, besonders durch patientenzentrierte Medikamentenetiketten; Adherence-Effekte waren inkonsistent und nicht nachhaltig; Care-Transition-Interventionen zeigten teilweise Reduktion ungünstiger Events. Co-Design-Elemente waren in nur einem Trial dokumentiert. 10 Studien, alle niedriges bis moderates Bias-Risiko.</w:t>
      </w:r>
    </w:p>
    <w:p>
      <w:r>
        <w:rPr>
          <w:b/>
          <w:sz w:val="19"/>
        </w:rPr>
        <w:t xml:space="preserve">Übertragbarkeit: </w:t>
      </w:r>
      <w:r>
        <w:rPr>
          <w:sz w:val="19"/>
        </w:rPr>
        <w:t>Australisch-singapurisches Autorenteam; Konzepte zu Patient-zentrierten Interventionen auf deutschsprachigen Raum übertragbar.</w:t>
      </w:r>
    </w:p>
    <w:p>
      <w:r>
        <w:rPr>
          <w:color w:val="5A7D3A"/>
          <w:sz w:val="18"/>
        </w:rPr>
        <w:t>https://pubmed.ncbi.nlm.nih.gov/42637584/</w:t>
      </w:r>
    </w:p>
    <w:p>
      <w:pPr>
        <w:pStyle w:val="Heading1"/>
      </w:pPr>
      <w:r>
        <w:t>Aufgenommen am 24.08.2026</w:t>
      </w:r>
    </w:p>
    <w:p>
      <w:pPr>
        <w:pStyle w:val="Heading2"/>
      </w:pPr>
      <w:r>
        <w:t>Kontinuität der Betreuung und Risiken von Krankenhausaufenthalten und Mortalität bei COPD: eine landesweite Kohortenstudie</w:t>
      </w:r>
    </w:p>
    <w:p>
      <w:r>
        <w:rPr>
          <w:i/>
          <w:color w:val="666666"/>
          <w:sz w:val="18"/>
        </w:rPr>
        <w:t>Ko J et al.  ·  Int J Chron Obstruct Pulmon Dis  ·  18.08.2026  ·  PMID 42633418</w:t>
      </w:r>
    </w:p>
    <w:p>
      <w:r>
        <w:t>Eine südkoreanische Kohortenstudie mit 29.316 COPD-Neudiagnosen untersucht den Einfluss der Kontinuität der Betreuung auf COPD-Exazerbationen und Sterblichkeit.</w:t>
      </w:r>
    </w:p>
    <w:p>
      <w:r>
        <w:rPr>
          <w:b/>
        </w:rPr>
        <w:t xml:space="preserve">Ergebnis: </w:t>
      </w:r>
      <w:r>
        <w:t>Niedrige Kontinuitätsscores waren mit erhöhtem Risiko für COPD-Exazerbations-Krankenhausaufenthalte (HR 1,63; 95 % KI 1,45–1,83) und Gesamtmortalität (HR 1,25; 95 % KI 1,11–1,40) verbunden. Fragmentierte ambulante Betreuung erhöhte präventable Krankenhausaufenthalte deutlich.</w:t>
      </w:r>
    </w:p>
    <w:p>
      <w:r>
        <w:rPr>
          <w:b/>
          <w:sz w:val="19"/>
        </w:rPr>
        <w:t xml:space="preserve">Übertragbarkeit: </w:t>
      </w:r>
      <w:r>
        <w:rPr>
          <w:sz w:val="19"/>
        </w:rPr>
        <w:t>Südkorea – Sozialversicherungssystem, hohe Übertragbarkeit auf Deutschland.</w:t>
      </w:r>
    </w:p>
    <w:p>
      <w:r>
        <w:rPr>
          <w:color w:val="5A7D3A"/>
          <w:sz w:val="18"/>
        </w:rPr>
        <w:t>https://pubmed.ncbi.nlm.nih.gov/42633418/</w:t>
      </w:r>
    </w:p>
    <w:p>
      <w:pPr>
        <w:pStyle w:val="Heading2"/>
      </w:pPr>
      <w:r>
        <w:t>Einfluss von Alter, Gebrechlichkeit und Komorbiditäten auf Überleben nach Mitralklappenreparatur in Deutschland</w:t>
      </w:r>
    </w:p>
    <w:p>
      <w:r>
        <w:rPr>
          <w:i/>
          <w:color w:val="666666"/>
          <w:sz w:val="18"/>
        </w:rPr>
        <w:t>Piayda K et al.  ·  Int J Cardiol Heart Vasc  ·  12.08.2026  ·  PMID 42633073</w:t>
      </w:r>
    </w:p>
    <w:p>
      <w:r>
        <w:t>Eine deutsche Routinedatenstudie mit 4.896 Patienten untersucht Prognosen nach minimalinvasiver Mitralklappenreparatur hinsichtlich Alter, Gebrechlichkeit und Komorbiditäten.</w:t>
      </w:r>
    </w:p>
    <w:p>
      <w:r>
        <w:rPr>
          <w:b/>
        </w:rPr>
        <w:t xml:space="preserve">Ergebnis: </w:t>
      </w:r>
      <w:r>
        <w:t>Sehr alte Patienten (80–99 Jahre): OR 1,2 (95 % KI 1,07–1,49). Mit Pflegegrad 1–3: OR 1,43–2,09. Mit ≥3 Komorbiditäten: OR 2,82 (95 % KI 2,37–3,36). Medizinische Gesamtausgaben blieben gleich, aber Herzinsuffizienz-Krankenhausaufenthalte sanken.</w:t>
      </w:r>
    </w:p>
    <w:p>
      <w:r>
        <w:rPr>
          <w:b/>
          <w:sz w:val="19"/>
        </w:rPr>
        <w:t xml:space="preserve">Übertragbarkeit: </w:t>
      </w:r>
      <w:r>
        <w:rPr>
          <w:sz w:val="19"/>
        </w:rPr>
        <w:t>Deutsche Routinedaten (BARMER Krankenkasse), direkt übertragbar.</w:t>
      </w:r>
    </w:p>
    <w:p>
      <w:r>
        <w:rPr>
          <w:color w:val="5A7D3A"/>
          <w:sz w:val="18"/>
        </w:rPr>
        <w:t>https://pubmed.ncbi.nlm.nih.gov/42633073/</w:t>
      </w:r>
    </w:p>
    <w:p>
      <w:pPr>
        <w:pStyle w:val="Heading1"/>
      </w:pPr>
      <w:r>
        <w:t>Aufgenommen am 23.08.2026</w:t>
      </w:r>
    </w:p>
    <w:p>
      <w:pPr>
        <w:pStyle w:val="Heading2"/>
      </w:pPr>
      <w:r>
        <w:t>Spiritual Distress bei erwachsenen Patienten vor elektiver Chirurgie: Qualitative Studie</w:t>
      </w:r>
    </w:p>
    <w:p>
      <w:r>
        <w:rPr>
          <w:i/>
          <w:color w:val="666666"/>
          <w:sz w:val="18"/>
        </w:rPr>
        <w:t>Makar KG et al.  ·  Surgery  ·  03.08.2026  ·  PMID 42632276</w:t>
      </w:r>
    </w:p>
    <w:p>
      <w:r>
        <w:t>Qualitative Studie zu spiritueller Belastung und deren Auswirkungen auf die präoperative Erfahrung bei Patienten mit geplanten Eingriffen.</w:t>
      </w:r>
    </w:p>
    <w:p>
      <w:r>
        <w:rPr>
          <w:b/>
        </w:rPr>
        <w:t xml:space="preserve">Ergebnis: </w:t>
      </w:r>
      <w:r>
        <w:t>23 von 29 Patienten (79,3%) zeigten spirituelle Belastung, 6 Patienten (20,7%) spirituelles Wohlbefinden. Spirituell belastete Patienten äußerten signifikant mehr Angst und Komplikationserwartungen, während spirituell stabile Patienten Chirurgie als Genesung wahrnahmen. Diese Befunde unterstreichen die Bedeutung routinemäßiger spiritueller Unterstützung in der perioperativen Versorgung.</w:t>
      </w:r>
    </w:p>
    <w:p>
      <w:r>
        <w:rPr>
          <w:b/>
          <w:sz w:val="19"/>
        </w:rPr>
        <w:t xml:space="preserve">Übertragbarkeit: </w:t>
      </w:r>
      <w:r>
        <w:rPr>
          <w:sz w:val="19"/>
        </w:rPr>
        <w:t>Qualitativ und systemunabhängig; konzeptualisiert patientenzentrierte Ergebnisse.</w:t>
      </w:r>
    </w:p>
    <w:p>
      <w:r>
        <w:rPr>
          <w:color w:val="5A7D3A"/>
          <w:sz w:val="18"/>
        </w:rPr>
        <w:t>https://pubmed.ncbi.nlm.nih.gov/42632276/</w:t>
      </w:r>
    </w:p>
    <w:p>
      <w:pPr>
        <w:pStyle w:val="Heading2"/>
      </w:pPr>
      <w:r>
        <w:t>Nicht-englische Sprachpräferenz und ICU-Aufnahmen über Notfallabteilungen: US-Analyse</w:t>
      </w:r>
    </w:p>
    <w:p>
      <w:r>
        <w:rPr>
          <w:i/>
          <w:color w:val="666666"/>
          <w:sz w:val="18"/>
        </w:rPr>
        <w:t>Kelleher DP et al.  ·  J Emerg Nurs  ·  22.08.2026  ·  PMID 42631682</w:t>
      </w:r>
    </w:p>
    <w:p>
      <w:r>
        <w:t>Longitudinale Kohortenstudie zum Vergleich von ICU-Aufnahmen zwischen Patienten mit nicht-englischer Sprachpräferenz und englischsprachigen Patienten.</w:t>
      </w:r>
    </w:p>
    <w:p>
      <w:r>
        <w:rPr>
          <w:b/>
        </w:rPr>
        <w:t xml:space="preserve">Ergebnis: </w:t>
      </w:r>
      <w:r>
        <w:t>Patienten mit nicht-englischer Sprachpräferenz hatten 99% höhere Aufnahmewahrscheinlichkeit auf die Intensivstation (OR = 1,99, 95% KI 1,63-2,42; p &lt; 0,001). Kein signifikanter Unterschied bei Verweildauer auf ICU oder im Krankenhaus. Ergebnis deutet auf diskriminierende oder ungleiche Zugangssteuerungsmechanismen hin.</w:t>
      </w:r>
    </w:p>
    <w:p>
      <w:r>
        <w:rPr>
          <w:b/>
          <w:sz w:val="19"/>
        </w:rPr>
        <w:t xml:space="preserve">Übertragbarkeit: </w:t>
      </w:r>
      <w:r>
        <w:rPr>
          <w:sz w:val="19"/>
        </w:rPr>
        <w:t>USA-Daten, Fragestellung aber zur gesundheitlichen Chancengleichheit systemunabhängig.</w:t>
      </w:r>
    </w:p>
    <w:p>
      <w:r>
        <w:rPr>
          <w:color w:val="5A7D3A"/>
          <w:sz w:val="18"/>
        </w:rPr>
        <w:t>https://pubmed.ncbi.nlm.nih.gov/42631682/</w:t>
      </w:r>
    </w:p>
    <w:p>
      <w:pPr>
        <w:pStyle w:val="Heading2"/>
      </w:pPr>
      <w:r>
        <w:t>ABC-Pathway-Adherence und kardiovaskuläre Ereignisse bei Vorhofflimmern: Asiatische Register-Analyse</w:t>
      </w:r>
    </w:p>
    <w:p>
      <w:r>
        <w:rPr>
          <w:i/>
          <w:color w:val="666666"/>
          <w:sz w:val="18"/>
        </w:rPr>
        <w:t>Bucci T et al.  ·  JACC Asia  ·  30.07.2026  ·  PMID 42631669</w:t>
      </w:r>
    </w:p>
    <w:p>
      <w:r>
        <w:t>Clusteranalyse von 3.468 asiatischen Patienten mit Vorhofflimmern zur Identifikation klinischer Phänotypen und zum Nachweis der Assoziation zwischen ABC-Pathway-Therapieadhärenz und Outcomes.</w:t>
      </w:r>
    </w:p>
    <w:p>
      <w:r>
        <w:rPr>
          <w:b/>
        </w:rPr>
        <w:t xml:space="preserve">Ergebnis: </w:t>
      </w:r>
      <w:r>
        <w:t>Fünf Cluster identifiziert mit gestuftem Risiko; ABC-Pathway-Adhärenz war mit niedrigerem Primärergebnis-Risiko assoziiert (HR 0,53, 95% KI 0,38-0,74), unabhängig vom Phänotyp. Ältere Patienten mit hoher kardiovaskulärer Belastung oder Herzinsuffizienz zeigten höchstes Risiko (HR 3,33-4,15 vs. junge Patientengruppe).</w:t>
      </w:r>
    </w:p>
    <w:p>
      <w:r>
        <w:rPr>
          <w:b/>
          <w:sz w:val="19"/>
        </w:rPr>
        <w:t xml:space="preserve">Übertragbarkeit: </w:t>
      </w:r>
      <w:r>
        <w:rPr>
          <w:sz w:val="19"/>
        </w:rPr>
        <w:t>Asien-Pazifik; Versorgungsqualität und Stratifikation auch für andere Systeme relevant.</w:t>
      </w:r>
    </w:p>
    <w:p>
      <w:r>
        <w:rPr>
          <w:color w:val="5A7D3A"/>
          <w:sz w:val="18"/>
        </w:rPr>
        <w:t>https://pubmed.ncbi.nlm.nih.gov/42631669/</w:t>
      </w:r>
    </w:p>
    <w:p>
      <w:pPr>
        <w:pStyle w:val="Heading2"/>
      </w:pPr>
      <w:r>
        <w:t>High-Dose High-Intensity Neurorehabilitation nach Schlaganfall: Konsens-Empfehlungen</w:t>
      </w:r>
    </w:p>
    <w:p>
      <w:r>
        <w:rPr>
          <w:i/>
          <w:color w:val="666666"/>
          <w:sz w:val="18"/>
        </w:rPr>
        <w:t>Branscheidt M et al.  ·  Int J Stroke  ·  22.08.2026  ·  PMID 42631575</w:t>
      </w:r>
    </w:p>
    <w:p>
      <w:r>
        <w:t>Internationale Konsensusfindung zur Identifizierung von Barrieren und Lösungen für die Umsetzung von intensiver Schlaganfall-Neurorehabilitation.</w:t>
      </w:r>
    </w:p>
    <w:p>
      <w:r>
        <w:rPr>
          <w:b/>
        </w:rPr>
        <w:t xml:space="preserve">Ergebnis: </w:t>
      </w:r>
      <w:r>
        <w:t>Vier Hauptbarrieren für Umsetzung: (1) Wissenslücke zu HDHI-Mechanismen, (2) Lieferketten- und Kapazitätsbeschränkungen, (3) Widerstand trotz Evidenz durch Zeitdruck und mangelnde administrative Unterstützung, (4) systemische Enabler unzureichend. Empfehlungen: Home-basierte Hybrid-Pathways, Reimbursement-Alignment und Infrastruktur für Kontinuität.</w:t>
      </w:r>
    </w:p>
    <w:p>
      <w:r>
        <w:rPr>
          <w:b/>
          <w:sz w:val="19"/>
        </w:rPr>
        <w:t xml:space="preserve">Übertragbarkeit: </w:t>
      </w:r>
      <w:r>
        <w:rPr>
          <w:sz w:val="19"/>
        </w:rPr>
        <w:t>Internationale Expertengruppe; Implementierungsforschung systemunabhängig.</w:t>
      </w:r>
    </w:p>
    <w:p>
      <w:r>
        <w:rPr>
          <w:color w:val="5A7D3A"/>
          <w:sz w:val="18"/>
        </w:rPr>
        <w:t>https://pubmed.ncbi.nlm.nih.gov/42631575/</w:t>
      </w:r>
    </w:p>
    <w:p>
      <w:pPr>
        <w:pStyle w:val="Heading1"/>
      </w:pPr>
      <w:r>
        <w:t>Aufgenommen am 22.08.2026</w:t>
      </w:r>
    </w:p>
    <w:p>
      <w:pPr>
        <w:pStyle w:val="Heading2"/>
      </w:pPr>
      <w:r>
        <w:t>Nosokomiale Infektionen und Antibiotikaresistenz im asiatischen Überwachungsnetz (ACORN-HAI)</w:t>
      </w:r>
    </w:p>
    <w:p>
      <w:r>
        <w:rPr>
          <w:i/>
          <w:color w:val="666666"/>
          <w:sz w:val="18"/>
        </w:rPr>
        <w:t>Mo Y et al.  ·  Lancet Infect Dis  ·  21.08.2026  ·  PMID 42628558</w:t>
      </w:r>
    </w:p>
    <w:p>
      <w:r>
        <w:t>Multinationale prospektive Kohortenstudie in 41 Krankenhäusern über 19 Länder in Asien zur Epidemiologie antimikrobieller Resistenz bei Healthcare-assoziierten Infektionen.</w:t>
      </w:r>
    </w:p>
    <w:p>
      <w:r>
        <w:rPr>
          <w:b/>
        </w:rPr>
        <w:t xml:space="preserve">Ergebnis: </w:t>
      </w:r>
      <w:r>
        <w:t>Von 9.642 analysierten Infektionsepisoden waren 73,7% mit resistenten Bakterien assoziiert. Gesamtsterblichkeit bei Gram-negativen Resistenzen: 37,7% (AMR) vs. 40,6% (Multiresistenz). Carbapenem-resistente Acinetobacter (CRA) und Enterobacterales (CRE) zeigten höchste Mortalität: CRA 51,3%, CRE 48,4%; attributable Mortalität CRA 19,4% (95% CI 14,1–24,7), CRE 16,2% (95% CI 12,8–19,6).</w:t>
      </w:r>
    </w:p>
    <w:p>
      <w:r>
        <w:rPr>
          <w:b/>
          <w:sz w:val="19"/>
        </w:rPr>
        <w:t xml:space="preserve">Übertragbarkeit: </w:t>
      </w:r>
      <w:r>
        <w:rPr>
          <w:sz w:val="19"/>
        </w:rPr>
        <w:t>Asiatische Länder mit Ressourcenengpässen, aber Daten zur Antimikrobial Stewardship systemunabhängig relevant</w:t>
      </w:r>
    </w:p>
    <w:p>
      <w:r>
        <w:rPr>
          <w:color w:val="5A7D3A"/>
          <w:sz w:val="18"/>
        </w:rPr>
        <w:t>https://pubmed.ncbi.nlm.nih.gov/42628558/</w:t>
      </w:r>
    </w:p>
    <w:p>
      <w:pPr>
        <w:pStyle w:val="Heading2"/>
      </w:pPr>
      <w:r>
        <w:t>Auswirkungen von nationaler kognitiver Screening auf Demenzversorgung und Hospitalisierung in Südkorea</w:t>
      </w:r>
    </w:p>
    <w:p>
      <w:r>
        <w:rPr>
          <w:i/>
          <w:color w:val="666666"/>
          <w:sz w:val="18"/>
        </w:rPr>
        <w:t>Lim JH et al.  ·  Alzheimers Dement  ·  Aug. 2026  ·  PMID 42625505</w:t>
      </w:r>
    </w:p>
    <w:p>
      <w:r>
        <w:t>Südkorea: Kohortenstudie zur Auswirkung eines 2007 eingeführten nationalen kognitiven Screening-Programms auf nachfolgende Demenzversorgung und Hospitalisierung.</w:t>
      </w:r>
    </w:p>
    <w:p>
      <w:r>
        <w:rPr>
          <w:b/>
        </w:rPr>
        <w:t xml:space="preserve">Ergebnis: </w:t>
      </w:r>
      <w:r>
        <w:t>Kognitive Früherkennung war mit einer 37% höheren Wahrscheinlichkeit für Demenzbehandlung innerhalb von 2 Jahren (p&lt;0,001) und einem 12% niedrigerem Risiko für demenzbedingte Hospitalisierung innerhalb von 10 Jahren assoziiert. Baseline: 1,4% erhielten Demenzbehandlung, 3,0% wurden hospitalisiert.</w:t>
      </w:r>
    </w:p>
    <w:p>
      <w:r>
        <w:rPr>
          <w:b/>
          <w:sz w:val="19"/>
        </w:rPr>
        <w:t xml:space="preserve">Übertragbarkeit: </w:t>
      </w:r>
      <w:r>
        <w:rPr>
          <w:sz w:val="19"/>
        </w:rPr>
        <w:t>Asiatisches System mit Screening-Struktur, aber steuerfinanziert - Fragestellung zur Frühdiagnose systemunabhängig relevant</w:t>
      </w:r>
    </w:p>
    <w:p>
      <w:r>
        <w:rPr>
          <w:color w:val="5A7D3A"/>
          <w:sz w:val="18"/>
        </w:rPr>
        <w:t>https://pubmed.ncbi.nlm.nih.gov/42625505/</w:t>
      </w:r>
    </w:p>
    <w:p>
      <w:pPr>
        <w:pStyle w:val="Heading2"/>
      </w:pPr>
      <w:r>
        <w:t>Nutzerbewertung KI-generierter und menschlicher Antworten in digitaler Gesundheitskommunikation</w:t>
      </w:r>
    </w:p>
    <w:p>
      <w:r>
        <w:rPr>
          <w:i/>
          <w:color w:val="666666"/>
          <w:sz w:val="18"/>
        </w:rPr>
        <w:t>Schulz C et al.  ·  BMC Health Serv Res  ·  19.08.2026  ·  PMID 42618915</w:t>
      </w:r>
    </w:p>
    <w:p>
      <w:r>
        <w:t>Deutschland: Paired-Survey-Studie, in der Nutzer ChatGPT-4-generierte und von einem Physiotherapeuten verfasste Antworten auf Gesundheitsfragen vergleichend bewerteten.</w:t>
      </w:r>
    </w:p>
    <w:p>
      <w:r>
        <w:rPr>
          <w:b/>
        </w:rPr>
        <w:t xml:space="preserve">Ergebnis: </w:t>
      </w:r>
      <w:r>
        <w:t>Über die meisten Kriterien hinweg wurde die KI-Antwort besser bewertet als die menschliche, besonders bei Empathie und Verständlichkeit (alle p&lt;0,001). Expert-Rating favorisierte auch die KI-Antwort in Bezug auf Richtigkeit und Vollständigkeit, obwohl Längen und Struktur differierten. Teilnehmerzahl n=224.</w:t>
      </w:r>
    </w:p>
    <w:p>
      <w:r>
        <w:rPr>
          <w:b/>
          <w:sz w:val="19"/>
        </w:rPr>
        <w:t xml:space="preserve">Übertragbarkeit: </w:t>
      </w:r>
      <w:r>
        <w:rPr>
          <w:sz w:val="19"/>
        </w:rPr>
        <w:t>Deutsche Studie in Healthcare-System kontextualisiert; Aussage zu Nutzerpräferenz systemabhängig, aber zur Kommunikationsqualität relevant</w:t>
      </w:r>
    </w:p>
    <w:p>
      <w:r>
        <w:rPr>
          <w:color w:val="5A7D3A"/>
          <w:sz w:val="18"/>
        </w:rPr>
        <w:t>https://pubmed.ncbi.nlm.nih.gov/42618915/</w:t>
      </w:r>
    </w:p>
    <w:p>
      <w:pPr>
        <w:pStyle w:val="Heading1"/>
      </w:pPr>
      <w:r>
        <w:t>Aufgenommen am 21.08.2026</w:t>
      </w:r>
    </w:p>
    <w:p>
      <w:pPr>
        <w:pStyle w:val="Heading2"/>
      </w:pPr>
      <w:r>
        <w:t>Vergütungstyp von Hausärzten und Antibiotikaverordnungen: Analyse von Patienten­wechseln mit Routinedaten</w:t>
      </w:r>
    </w:p>
    <w:p>
      <w:r>
        <w:rPr>
          <w:i/>
          <w:color w:val="666666"/>
          <w:sz w:val="18"/>
        </w:rPr>
        <w:t>Kraft KB et al.  ·  Scand J Prim Health Care  ·  20.08.2026  ·  PMID 42622517</w:t>
      </w:r>
    </w:p>
    <w:p>
      <w:r>
        <w:t>Norwegische Studie zu Auswirkungen verschiedener Vergütungsformen (Fee-for-Service vs. Gehalt) auf die Antibiotikaverordnungen bei Patienten, die die Hausarztpraxis wechselten.</w:t>
      </w:r>
    </w:p>
    <w:p>
      <w:r>
        <w:rPr>
          <w:b/>
        </w:rPr>
        <w:t xml:space="preserve">Ergebnis: </w:t>
      </w:r>
      <w:r>
        <w:t>Patienten, die von einem Allgemeinarzt mit Fee-for-Service zu einem salariierten Arzt wechselten, reduzierten ihre monatliche Antibiotikanutzung um 21 definierte Tagesdosen pro 1000 Patienten (SD=7); umgekehrt erhöhte sich die Nutzung um 85 DDD pro 1000 Patienten (SD=20) beim Wechsel zu Fee-for-Service. Dies deutet darauf hin, dass die Vergütungsform einen signifikanten Effekt auf das Verschreibungsverhalten hat.</w:t>
      </w:r>
    </w:p>
    <w:p>
      <w:r>
        <w:rPr>
          <w:b/>
          <w:sz w:val="19"/>
        </w:rPr>
        <w:t xml:space="preserve">Übertragbarkeit: </w:t>
      </w:r>
      <w:r>
        <w:rPr>
          <w:sz w:val="19"/>
        </w:rPr>
        <w:t>Niederlande, Belgien, Frankreich: vergleichbare Sozialversicherungssysteme mit Capitation und FFS</w:t>
      </w:r>
    </w:p>
    <w:p>
      <w:r>
        <w:rPr>
          <w:color w:val="5A7D3A"/>
          <w:sz w:val="18"/>
        </w:rPr>
        <w:t>https://pubmed.ncbi.nlm.nih.gov/42622517/</w:t>
      </w:r>
    </w:p>
    <w:p>
      <w:pPr>
        <w:pStyle w:val="Heading2"/>
      </w:pPr>
      <w:r>
        <w:t>Übergang von medizinischer zu beruflicher Rehabilitation in Deutschland: Erfahrungen der Rehabilitanden</w:t>
      </w:r>
    </w:p>
    <w:p>
      <w:r>
        <w:rPr>
          <w:i/>
          <w:color w:val="666666"/>
          <w:sz w:val="18"/>
        </w:rPr>
        <w:t>Wengemuth E et al.  ·  Front Rehabil Sci  ·  05.08.2026  ·  PMID 42621103</w:t>
      </w:r>
    </w:p>
    <w:p>
      <w:r>
        <w:t>Explorative Mixed-Methods-Studie über Erfahrungen von Rehabilitanden beim Übergang von medizinischer zu beruflicher Rehabilitation in Deutschland mit quantitativen und qualitativen Datenerfassungsmethoden.</w:t>
      </w:r>
    </w:p>
    <w:p>
      <w:r>
        <w:rPr>
          <w:b/>
        </w:rPr>
        <w:t xml:space="preserve">Ergebnis: </w:t>
      </w:r>
      <w:r>
        <w:t>Von 61 Befragten berichteten etwa 50 %, über berufliche Rehabilitation während medizinischer Rehabilitation informiert worden zu sein; deutlich weniger erhielten praktische Unterstützung (z.B. Antragshilfe). Hausärzte und Fachärzte wurden von etwa 60 % als unterstützend empfunden, Arbeitgeber als am wenigsten hilfreich. Knapp zwei Drittel fühlten sich selbstbestimmt bei der Wahl und beim Beginn des beruflichen Rehabilitationsprogramms, einige berichteten aber von Druck. Mangelnde Kooperation zwischen Akteuren erschwerte den Übergang.</w:t>
      </w:r>
    </w:p>
    <w:p>
      <w:r>
        <w:rPr>
          <w:b/>
          <w:sz w:val="19"/>
        </w:rPr>
        <w:t xml:space="preserve">Übertragbarkeit: </w:t>
      </w:r>
      <w:r>
        <w:rPr>
          <w:sz w:val="19"/>
        </w:rPr>
        <w:t>Deutsche Routinedaten, deutsches Rehabilitationssystem direkt relevant</w:t>
      </w:r>
    </w:p>
    <w:p>
      <w:r>
        <w:rPr>
          <w:color w:val="5A7D3A"/>
          <w:sz w:val="18"/>
        </w:rPr>
        <w:t>https://pubmed.ncbi.nlm.nih.gov/42621103/</w:t>
      </w:r>
    </w:p>
    <w:p>
      <w:pPr>
        <w:pStyle w:val="Heading2"/>
      </w:pPr>
      <w:r>
        <w:t>Öffentliche Gesundheitskommunikation während COVID-19 in Stockholm: Community-Engagement für Migranten</w:t>
      </w:r>
    </w:p>
    <w:p>
      <w:r>
        <w:rPr>
          <w:i/>
          <w:color w:val="666666"/>
          <w:sz w:val="18"/>
        </w:rPr>
        <w:t>Strand M et al.  ·  BMC Health Serv Res  ·  18.08.2026  ·  PMID 42618922</w:t>
      </w:r>
    </w:p>
    <w:p>
      <w:r>
        <w:t>Qualitative Studie über die Entwicklung und Umsetzung von Krisenkommunikationsmaterialien für migrationsgeprägte Gemeinschaften in Stockholm während der COVID-19-Pandemie.</w:t>
      </w:r>
    </w:p>
    <w:p>
      <w:r>
        <w:rPr>
          <w:b/>
        </w:rPr>
        <w:t xml:space="preserve">Ergebnis: </w:t>
      </w:r>
      <w:r>
        <w:t>Vier Hauptthemen zeigten zeitliche Entwicklung: Frühe Phase fokussierte auf Sprachübersetzung standardisierter Botschaften, verlagerte sich aber zu dialogbasierter Einbindung. Wichtige Erkenntnisse waren Vertrauensaufbau durch Community-Stakeholder, Adressierung struktureller Barrieren statt fehlenden Verständnisses, Stigmabekämpfung und kreative Problemlösung. Viele Fachleute äußerten Bedenken, dass etablierte Netzwerke und gewonnene Erkenntnisse verloren gingen.</w:t>
      </w:r>
    </w:p>
    <w:p>
      <w:r>
        <w:rPr>
          <w:b/>
          <w:sz w:val="19"/>
        </w:rPr>
        <w:t xml:space="preserve">Übertragbarkeit: </w:t>
      </w:r>
      <w:r>
        <w:rPr>
          <w:sz w:val="19"/>
        </w:rPr>
        <w:t>Skandinavien, steuerfinanziert: Erkenntnisse zu Prozessen und Patientenperspektive übertragbar</w:t>
      </w:r>
    </w:p>
    <w:p>
      <w:r>
        <w:rPr>
          <w:color w:val="5A7D3A"/>
          <w:sz w:val="18"/>
        </w:rPr>
        <w:t>https://pubmed.ncbi.nlm.nih.gov/42618922/</w:t>
      </w:r>
    </w:p>
    <w:p>
      <w:pPr>
        <w:pStyle w:val="Heading2"/>
      </w:pPr>
      <w:r>
        <w:t>Abbildung der HoNOS auf die EQ-5D-5L zur QALY-Berechnung in der Psychiatrie</w:t>
      </w:r>
    </w:p>
    <w:p>
      <w:r>
        <w:rPr>
          <w:i/>
          <w:color w:val="666666"/>
          <w:sz w:val="18"/>
        </w:rPr>
        <w:t>Lamu AN et al.  ·  Med Decis Making  ·  13.08.2026  ·  PMID 42596686</w:t>
      </w:r>
    </w:p>
    <w:p>
      <w:r>
        <w:t>Mapping-Studie zur Vorhersage von EQ-5D-5L-Werten aus der Health of the Nation Outcome Scales (HoNOS) bei Erwachsenen mit schweren psychischen Erkrankungen für die gesundheitsökonomische Bewertung.</w:t>
      </w:r>
    </w:p>
    <w:p>
      <w:r>
        <w:rPr>
          <w:b/>
        </w:rPr>
        <w:t xml:space="preserve">Ergebnis: </w:t>
      </w:r>
      <w:r>
        <w:t>Vier ökonometrische Verfahren wurden getestet; das Fractional Regression Model (FRM) zeigte beste Performance. In der 10-fach-Kreuzvalidierung mit deutschen EQ-5D-5L-Werten erreichte FRM: RMSE=0,2204, MAE=0,1622, r²=36,5 %. Das Modell ermöglicht QALY-Schätzungen aus HoNOS-Daten und eröffnet wirtschaftliche Bewertungen von psychischen Gesundheitsinterventionen, wenn nur HoNOS-Informationen verfügbar sind.</w:t>
      </w:r>
    </w:p>
    <w:p>
      <w:r>
        <w:rPr>
          <w:b/>
          <w:sz w:val="19"/>
        </w:rPr>
        <w:t xml:space="preserve">Übertragbarkeit: </w:t>
      </w:r>
      <w:r>
        <w:rPr>
          <w:sz w:val="19"/>
        </w:rPr>
        <w:t>Deutschland, methodisches Instrument für deutschsprachige Gesundheitsökonomie</w:t>
      </w:r>
    </w:p>
    <w:p>
      <w:r>
        <w:rPr>
          <w:color w:val="5A7D3A"/>
          <w:sz w:val="18"/>
        </w:rPr>
        <w:t>https://pubmed.ncbi.nlm.nih.gov/42596686/</w:t>
      </w:r>
    </w:p>
    <w:p>
      <w:pPr>
        <w:pStyle w:val="Heading1"/>
      </w:pPr>
      <w:r>
        <w:t>Aufgenommen am 20.08.2026</w:t>
      </w:r>
    </w:p>
    <w:p>
      <w:pPr>
        <w:pStyle w:val="Heading2"/>
      </w:pPr>
      <w:r>
        <w:t>Vorbereitung auf zukünftige Pandemien: Befähigung und Unterstützungsbedarf des Pflegepersonals im Querschnitt</w:t>
      </w:r>
    </w:p>
    <w:p>
      <w:r>
        <w:rPr>
          <w:i/>
          <w:color w:val="666666"/>
          <w:sz w:val="18"/>
        </w:rPr>
        <w:t>Noorland SA et al.  ·  Nurs Outlook  ·  19.08.2026  ·  PMID 42617414</w:t>
      </w:r>
    </w:p>
    <w:p>
      <w:r>
        <w:t>Eine niederländische Querschnittsstudie untersuchte die mentale Leistungsfähigkeit des Pflegepersonals für zukünftige Pandemien, deren psychische Gesundheit nach COVID-19 und deren Vorlieben für psychosoziale Unterstützung.</w:t>
      </w:r>
    </w:p>
    <w:p>
      <w:r>
        <w:rPr>
          <w:b/>
        </w:rPr>
        <w:t xml:space="preserve">Ergebnis: </w:t>
      </w:r>
      <w:r>
        <w:t>90,4 % fühlten sich mental fähig, während einer zukünftigen Pandemie zu arbeiten. Die mentale Gesundheit war generell gut (Median MHI-5: 84) und positiv assoziiert mit höherer wahrgenommener Fähigkeit. Das Personal bevorzugte Peer-basierte Unterstützung (Gruppengespräche, moralische Fallberatungen, Partnerschaft mit Kollegen) gegenüber Einzelgesprächen und Stressmanagement-Schulungen.</w:t>
      </w:r>
    </w:p>
    <w:p>
      <w:r>
        <w:rPr>
          <w:b/>
          <w:sz w:val="19"/>
        </w:rPr>
        <w:t xml:space="preserve">Übertragbarkeit: </w:t>
      </w:r>
      <w:r>
        <w:rPr>
          <w:sz w:val="19"/>
        </w:rPr>
        <w:t>Niederlande, vergleichbares Sozialversicherungssystem, hohe Übertragbarkeit für Pflegepersonalentwicklung</w:t>
      </w:r>
    </w:p>
    <w:p>
      <w:r>
        <w:rPr>
          <w:color w:val="5A7D3A"/>
          <w:sz w:val="18"/>
        </w:rPr>
        <w:t>https://pubmed.ncbi.nlm.nih.gov/42617414/</w:t>
      </w:r>
    </w:p>
    <w:p>
      <w:pPr>
        <w:pStyle w:val="Heading2"/>
      </w:pPr>
      <w:r>
        <w:t>Datensouveränität in der Langzeitpflege: Mixed-Methods-Studie zur Reifegradbeurteilung</w:t>
      </w:r>
    </w:p>
    <w:p>
      <w:r>
        <w:rPr>
          <w:i/>
          <w:color w:val="666666"/>
          <w:sz w:val="18"/>
        </w:rPr>
        <w:t>Bouchmal S et al.  ·  J Med Internet Res  ·  19.08.2026  ·  PMID 42617155</w:t>
      </w:r>
    </w:p>
    <w:p>
      <w:r>
        <w:t>Eine niederländische Mixed-Methods-Studie in drei Langzeitpflege-Organisationen untersuchte deren Fähigkeit zur Nutzung von Daten für Entscheidungen und Qualitätsverbesserungen.</w:t>
      </w:r>
    </w:p>
    <w:p>
      <w:r>
        <w:rPr>
          <w:b/>
        </w:rPr>
        <w:t xml:space="preserve">Ergebnis: </w:t>
      </w:r>
      <w:r>
        <w:t>Organisationen wiesen niedrige Datenreife auf. Bereiche Strategie, Governance und Datenqualität waren durchgehend niedrig. Vier Themen wurden identifiziert: fehlende klare Vision (Datenreife niedrig), Datenkultur als Voraussetzung, begrenzte Interdisziplinarität und Infrastruktur- sowie kulturelle Hürden hemmen nachhaltige Nutzung.</w:t>
      </w:r>
    </w:p>
    <w:p>
      <w:r>
        <w:rPr>
          <w:b/>
          <w:sz w:val="19"/>
        </w:rPr>
        <w:t xml:space="preserve">Übertragbarkeit: </w:t>
      </w:r>
      <w:r>
        <w:rPr>
          <w:sz w:val="19"/>
        </w:rPr>
        <w:t>Niederlande, Langzeitpflege-Setting, hohe Übertragbarkeit auf deutsche Altenheime</w:t>
      </w:r>
    </w:p>
    <w:p>
      <w:r>
        <w:rPr>
          <w:color w:val="5A7D3A"/>
          <w:sz w:val="18"/>
        </w:rPr>
        <w:t>https://pubmed.ncbi.nlm.nih.gov/42617155/</w:t>
      </w:r>
    </w:p>
    <w:p>
      <w:pPr>
        <w:pStyle w:val="Heading2"/>
      </w:pPr>
      <w:r>
        <w:t>Kosteneffektivität der Herpes-zoster-Impfung bei rheumatoider Arthritis</w:t>
      </w:r>
    </w:p>
    <w:p>
      <w:r>
        <w:rPr>
          <w:i/>
          <w:color w:val="666666"/>
          <w:sz w:val="18"/>
        </w:rPr>
        <w:t>Hagen G et al.  ·  Rheumatology (Oxford)  ·  19.08.2026  ·  PMID 42616666</w:t>
      </w:r>
    </w:p>
    <w:p>
      <w:r>
        <w:t>Eine norwegische Markov-Modellierungsstudie bewertete die Kosteneffektivität der adjuvantierten rekombinanten Zoster-Impfung (RZV) bei RA-Patienten.</w:t>
      </w:r>
    </w:p>
    <w:p>
      <w:r>
        <w:rPr>
          <w:b/>
        </w:rPr>
        <w:t xml:space="preserve">Ergebnis: </w:t>
      </w:r>
      <w:r>
        <w:t>RZV vermied 2.550 HZ-Fälle und 1.303 PHN-Fälle pro 10.000 RA-Patienten, ICER von 11.205 EUR/QALY (unter Schwellenwert von 23.650 EUR/QALY). Probabilistische Analyse zeigte 98 % Wahrscheinlichkeit der Kosteneffektivität. Sensitivitätsanalysen zeigten Robustheit der Ergebnisse.</w:t>
      </w:r>
    </w:p>
    <w:p>
      <w:r>
        <w:rPr>
          <w:b/>
          <w:sz w:val="19"/>
        </w:rPr>
        <w:t xml:space="preserve">Übertragbarkeit: </w:t>
      </w:r>
      <w:r>
        <w:rPr>
          <w:sz w:val="19"/>
        </w:rPr>
        <w:t>Norwegen, skandinavisches Steuersystem, gut übertragbar für Vakzinations- und Preventiv-Fragen</w:t>
      </w:r>
    </w:p>
    <w:p>
      <w:r>
        <w:rPr>
          <w:color w:val="5A7D3A"/>
          <w:sz w:val="18"/>
        </w:rPr>
        <w:t>https://pubmed.ncbi.nlm.nih.gov/42616666/</w:t>
      </w:r>
    </w:p>
    <w:p>
      <w:pPr>
        <w:pStyle w:val="Heading2"/>
      </w:pPr>
      <w:r>
        <w:t>Förderung von Autonomie in Zwangsbetreuung: Vergleichende Analyse europäischer Gesetze in 27 Ländern</w:t>
      </w:r>
    </w:p>
    <w:p>
      <w:r>
        <w:rPr>
          <w:i/>
          <w:color w:val="666666"/>
          <w:sz w:val="18"/>
        </w:rPr>
        <w:t>Aluh DO et al.  ·  Soc Psychiatry Psychiatr Epidemiol  ·  19.08.2026  ·  PMID 42616064</w:t>
      </w:r>
    </w:p>
    <w:p>
      <w:r>
        <w:t>Vergleichende Analyse von Gesetzen aus 27 europäischen Jurisdiktionen zu Autonomie-fördernden Bestimmungen bei Zwangsbetreuung unter Berücksichtigung der UN-Behindertenrechtskonvention.</w:t>
      </w:r>
    </w:p>
    <w:p>
      <w:r>
        <w:rPr>
          <w:b/>
        </w:rPr>
        <w:t xml:space="preserve">Ergebnis: </w:t>
      </w:r>
      <w:r>
        <w:t>Alle 27 Legislationen beinhalten Maßnahmen zum Legalitätsprinzip, Berufungsrecht und rechtliche Unterstützung; Advance Healthcare Directives und Supported Decision-Making waren seltener verankert; Verfahrensschutzgarantien sind etabliert, aber signifikante Varianz bei anderen Autonomie-fördernden Mechanismen bleibt bestehen.</w:t>
      </w:r>
    </w:p>
    <w:p>
      <w:r>
        <w:rPr>
          <w:b/>
          <w:sz w:val="19"/>
        </w:rPr>
        <w:t xml:space="preserve">Übertragbarkeit: </w:t>
      </w:r>
      <w:r>
        <w:rPr>
          <w:sz w:val="19"/>
        </w:rPr>
        <w:t>Europäische Legislationen inklusive Deutschland, Österreich, Schweiz</w:t>
      </w:r>
    </w:p>
    <w:p>
      <w:r>
        <w:rPr>
          <w:color w:val="5A7D3A"/>
          <w:sz w:val="18"/>
        </w:rPr>
        <w:t>https://pubmed.ncbi.nlm.nih.gov/42616064/</w:t>
      </w:r>
    </w:p>
    <w:p>
      <w:pPr>
        <w:pStyle w:val="Heading2"/>
      </w:pPr>
      <w:r>
        <w:t>Resilienz der Impfversorgung in Äthiopien während COVID-19: Dezentralisierung schützt vor Ausfällen</w:t>
      </w:r>
    </w:p>
    <w:p>
      <w:r>
        <w:rPr>
          <w:i/>
          <w:color w:val="666666"/>
          <w:sz w:val="18"/>
        </w:rPr>
        <w:t>Gedefaw A et al.  ·  BMC Health Serv Res  ·  17.08.2026  ·  PMID 42613610</w:t>
      </w:r>
    </w:p>
    <w:p>
      <w:r>
        <w:t>Eine äthiopische Längsschnittstudie verglich die Impfversorgung über 18 Krankenhäuser, 132 Gesundheitszentren und 532 Gesundheitsposten während und vor der Pandemie.</w:t>
      </w:r>
    </w:p>
    <w:p>
      <w:r>
        <w:rPr>
          <w:b/>
        </w:rPr>
        <w:t xml:space="preserve">Ergebnis: </w:t>
      </w:r>
      <w:r>
        <w:t>Gesamtimpfquote stieg um 9,72 % (p=0,006) in den ersten 6 Monaten. Krankenhäuser fielen um 5,2 % ab (p=0,449), Gesundheitszentren stiegen um 7,96 % (p=0,015) und Posten um 11,5 % (p=0,002). Dezentralisierte Strukturen absorbierten Nachfrage nach Spitalauställen.</w:t>
      </w:r>
    </w:p>
    <w:p>
      <w:r>
        <w:rPr>
          <w:b/>
          <w:sz w:val="19"/>
        </w:rPr>
        <w:t xml:space="preserve">Übertragbarkeit: </w:t>
      </w:r>
      <w:r>
        <w:rPr>
          <w:sz w:val="19"/>
        </w:rPr>
        <w:t>Äthiopien, Low-Income-Setting - begrenzte Übertragbarkeit auf deutsche Strukturen mit anderen Ressourcen</w:t>
      </w:r>
    </w:p>
    <w:p>
      <w:r>
        <w:rPr>
          <w:color w:val="5A7D3A"/>
          <w:sz w:val="18"/>
        </w:rPr>
        <w:t>https://pubmed.ncbi.nlm.nih.gov/42613610/</w:t>
      </w:r>
    </w:p>
    <w:p>
      <w:pPr>
        <w:pStyle w:val="Heading2"/>
      </w:pPr>
      <w:r>
        <w:t>UN-Dekade für gesundes Altern: Perspektiven von älteren Menschen und Fachkräften in Norwegen</w:t>
      </w:r>
    </w:p>
    <w:p>
      <w:r>
        <w:rPr>
          <w:i/>
          <w:color w:val="666666"/>
          <w:sz w:val="18"/>
        </w:rPr>
        <w:t>Bikova M et al.  ·  BMC Health Serv Res  ·  14.08.2026  ·  PMID 42613606</w:t>
      </w:r>
    </w:p>
    <w:p>
      <w:r>
        <w:t>Eine norwegische qualitative Fallstudie mit 23 Interviews (Ältere, Fachkräfte, Entscheidungsträger) untersuchte die Umsetzung der UN-Decade of Healthy Ageing.</w:t>
      </w:r>
    </w:p>
    <w:p>
      <w:r>
        <w:rPr>
          <w:b/>
        </w:rPr>
        <w:t xml:space="preserve">Ergebnis: </w:t>
      </w:r>
      <w:r>
        <w:t>Kernthemen: Strategien zur Selbstbestimmung, ambivalente Alterswahrnehmung, Herausforderungen der Gesundheitsdienste. Digitalisierung als Barriere für inklusive Teilhabe identifiziert. Digitale Inklusion, intergenerationale Ansätze und Bekämpfung von Alterismus empfohlen.</w:t>
      </w:r>
    </w:p>
    <w:p>
      <w:r>
        <w:rPr>
          <w:b/>
          <w:sz w:val="19"/>
        </w:rPr>
        <w:t xml:space="preserve">Übertragbarkeit: </w:t>
      </w:r>
      <w:r>
        <w:rPr>
          <w:sz w:val="19"/>
        </w:rPr>
        <w:t>Norwegen, steuerfinanziertes System, mittel übertragbar für Fragen zur Versorgungsstruktur und Partizipation</w:t>
      </w:r>
    </w:p>
    <w:p>
      <w:r>
        <w:rPr>
          <w:color w:val="5A7D3A"/>
          <w:sz w:val="18"/>
        </w:rPr>
        <w:t>https://pubmed.ncbi.nlm.nih.gov/42613606/</w:t>
      </w:r>
    </w:p>
    <w:p>
      <w:pPr>
        <w:pStyle w:val="Heading1"/>
      </w:pPr>
      <w:r>
        <w:t>Aufgenommen am 19.08.2026</w:t>
      </w:r>
    </w:p>
    <w:p>
      <w:pPr>
        <w:pStyle w:val="Heading2"/>
      </w:pPr>
      <w:r>
        <w:t>Diagnostische Genauigkeit des PHQ-9 in der hausärztlichen Praxis bei Patienten mit Depressionsrisiken</w:t>
      </w:r>
    </w:p>
    <w:p>
      <w:r>
        <w:rPr>
          <w:i/>
          <w:color w:val="666666"/>
          <w:sz w:val="18"/>
        </w:rPr>
        <w:t>Thake M et al.  ·  Gen Hosp Psychiatry  ·  13.08.2026  ·  PMID 42612565</w:t>
      </w:r>
    </w:p>
    <w:p>
      <w:r>
        <w:t>Studie zur diagnostischen Genauigkeit des PHQ-9 für die Erkennung von Major Depression bei Hausarztpatienten mit unterschiedlichen Depressionsrisikofaktoren.</w:t>
      </w:r>
    </w:p>
    <w:p>
      <w:r>
        <w:rPr>
          <w:b/>
        </w:rPr>
        <w:t xml:space="preserve">Ergebnis: </w:t>
      </w:r>
      <w:r>
        <w:t>PHQ-9 zeigte hohe diagnostische Genauigkeit (AUC 0,92–0,97) in Primärversorgung. Optimal-Cutoffs variierten je nach Risikofaktoren (7–13 Punkte). Sensitivität 0,78–0,99; Spezifität 0,80–0,91; NPW 0,80–0,99. Ergebnisse unterstützen risikoadaptiertes Screening mittels PHQ-9 in der Hausarztpraxis.</w:t>
      </w:r>
    </w:p>
    <w:p>
      <w:r>
        <w:rPr>
          <w:b/>
          <w:sz w:val="19"/>
        </w:rPr>
        <w:t xml:space="preserve">Übertragbarkeit: </w:t>
      </w:r>
      <w:r>
        <w:rPr>
          <w:sz w:val="19"/>
        </w:rPr>
        <w:t>Deutsche Routinedaten aus Primärversorgung, gesetzlich Versicherte</w:t>
      </w:r>
    </w:p>
    <w:p>
      <w:r>
        <w:rPr>
          <w:color w:val="5A7D3A"/>
          <w:sz w:val="18"/>
        </w:rPr>
        <w:t>https://pubmed.ncbi.nlm.nih.gov/42612565/</w:t>
      </w:r>
    </w:p>
    <w:p>
      <w:pPr>
        <w:pStyle w:val="Heading2"/>
      </w:pPr>
      <w:r>
        <w:t>PROMIS GH-10 als Patient-Reported Outcome Maß in Rehabilitationskliniken: Mixed-Methods-Studie zur Implementierungseignung</w:t>
      </w:r>
    </w:p>
    <w:p>
      <w:r>
        <w:rPr>
          <w:i/>
          <w:color w:val="666666"/>
          <w:sz w:val="18"/>
        </w:rPr>
        <w:t>Utsch M et al.  ·  BMC Health Serv Res  ·  12.08.2026  ·  PMID 42608694</w:t>
      </w:r>
    </w:p>
    <w:p>
      <w:r>
        <w:t>Erprobung des PROMIS GH-10 zur Messung patientenberichteter Gesundheitsergebnisse in stationärer Schweizer Rehabilitation mit Fokus auf Responsivität und praktische Umsetzbarkeit.</w:t>
      </w:r>
    </w:p>
    <w:p>
      <w:r>
        <w:rPr>
          <w:b/>
        </w:rPr>
        <w:t xml:space="preserve">Ergebnis: </w:t>
      </w:r>
      <w:r>
        <w:t>2.083 Patienten, 1.217 vollständige Messungen. Signifikante Verbesserungen: Physische Gesundheit d=0,68 (p&lt;0,001); Psychische Gesundheit d=0,48 (p&lt;0,001). Effektstärken je Setting 0,50–0,95 bzw. 0,33–1,19. 41% der Patienten brauchten Unterstützung. Barrieren: Unsicherheit über Nutzen, fehlende Ressourcen. PROMIS GH-10 zeigte adäquate Responsivität.</w:t>
      </w:r>
    </w:p>
    <w:p>
      <w:r>
        <w:rPr>
          <w:b/>
          <w:sz w:val="19"/>
        </w:rPr>
        <w:t xml:space="preserve">Übertragbarkeit: </w:t>
      </w:r>
      <w:r>
        <w:rPr>
          <w:sz w:val="19"/>
        </w:rPr>
        <w:t>Schweiz, Sozialversicherungssystem, direkt auf deutsches System übertragbar</w:t>
      </w:r>
    </w:p>
    <w:p>
      <w:r>
        <w:rPr>
          <w:color w:val="5A7D3A"/>
          <w:sz w:val="18"/>
        </w:rPr>
        <w:t>https://pubmed.ncbi.nlm.nih.gov/42608694/</w:t>
      </w:r>
    </w:p>
    <w:p>
      <w:pPr>
        <w:pStyle w:val="Heading2"/>
      </w:pPr>
      <w:r>
        <w:t>Kosten-Nutzen-Parameter für Magnet®-Zertifizierung in deutschen Krankenhäusern</w:t>
      </w:r>
    </w:p>
    <w:p>
      <w:r>
        <w:rPr>
          <w:i/>
          <w:color w:val="666666"/>
          <w:sz w:val="18"/>
        </w:rPr>
        <w:t>Gurisch C et al.  ·  BMC Health Serv Res  ·  12.08.2026  ·  PMID 42608687</w:t>
      </w:r>
    </w:p>
    <w:p>
      <w:r>
        <w:t>Analyse relevanter Parameter für eine Kosten-Nutzen-Analyse der Magnet®-Designation (Organisationsintervention zur Verbesserung der Pflegefachkräftearbeitsbedingungen) im deutschen Kontext.</w:t>
      </w:r>
    </w:p>
    <w:p>
      <w:r>
        <w:rPr>
          <w:b/>
        </w:rPr>
        <w:t xml:space="preserve">Ergebnis: </w:t>
      </w:r>
      <w:r>
        <w:t>Potenzielle Kosten: ANCC-Gebühren, Benchmarking, Fortbildungen, Ressourcen und Datenverwaltung. Kostenersparnisse durch: Verbesserung pflegefachkraftsensibler Indikatoren, Personalindikatoren, Krankenhausleistung. Für Deutschland zusätzlich relevant: Kosten der Akademisierung von Pflegekräften und Datenmanagement. Erhebliche Datenlücken bremsen aktuelle Kosten-Nutzen-Analyse.</w:t>
      </w:r>
    </w:p>
    <w:p>
      <w:r>
        <w:rPr>
          <w:b/>
          <w:sz w:val="19"/>
        </w:rPr>
        <w:t xml:space="preserve">Übertragbarkeit: </w:t>
      </w:r>
      <w:r>
        <w:rPr>
          <w:sz w:val="19"/>
        </w:rPr>
        <w:t>Deutschland, deutsches Krankenhaussystem; deutsche Stakeholder-Interviews</w:t>
      </w:r>
    </w:p>
    <w:p>
      <w:r>
        <w:rPr>
          <w:color w:val="5A7D3A"/>
          <w:sz w:val="18"/>
        </w:rPr>
        <w:t>https://pubmed.ncbi.nlm.nih.gov/42608687/</w:t>
      </w:r>
    </w:p>
    <w:p>
      <w:pPr>
        <w:pStyle w:val="Heading2"/>
      </w:pPr>
      <w:r>
        <w:t>Erfahrungen von Nutzern mit Kriseninterventionen und Peer-Support in der Psychiatrie: qualitative Studie</w:t>
      </w:r>
    </w:p>
    <w:p>
      <w:r>
        <w:rPr>
          <w:i/>
          <w:color w:val="666666"/>
          <w:sz w:val="18"/>
        </w:rPr>
        <w:t>Oeltjen LK et al.  ·  BMC Health Serv Res  ·  11.08.2026  ·  PMID 42608682</w:t>
      </w:r>
    </w:p>
    <w:p>
      <w:r>
        <w:t>Qualitative Studie über Erfahrungen von Menschen mit schweren psychischen Erkrankungen während psychiatrischer Kriseninterventionen mit oder ohne Peer-Unterstützung.</w:t>
      </w:r>
    </w:p>
    <w:p>
      <w:r>
        <w:rPr>
          <w:b/>
        </w:rPr>
        <w:t xml:space="preserve">Ergebnis: </w:t>
      </w:r>
      <w:r>
        <w:t>25 Interviews. Als hilfreich erlebt: empathisches Zuhören, ruhige Kommunikation, transparente Erklärungen, Partizipation in Entscheidungen. Als belastend: konfrontative Kommunikation, unzureichende Information. Peer-Support: überwiegend positiv wahrgenommen wegen Authentizität und Hoffnungsgebung. Erfahrungen mit Polizei ambivalent. Strukturfaktoren (Kontinuität, Warteumgebung) prägten Erlebnis.</w:t>
      </w:r>
    </w:p>
    <w:p>
      <w:r>
        <w:rPr>
          <w:b/>
          <w:sz w:val="19"/>
        </w:rPr>
        <w:t xml:space="preserve">Übertragbarkeit: </w:t>
      </w:r>
      <w:r>
        <w:rPr>
          <w:sz w:val="19"/>
        </w:rPr>
        <w:t>Deutschland (Bremen), deutsches Sektor-Setting der Psychiatrie; qualitativ hochrelevant</w:t>
      </w:r>
    </w:p>
    <w:p>
      <w:r>
        <w:rPr>
          <w:color w:val="5A7D3A"/>
          <w:sz w:val="18"/>
        </w:rPr>
        <w:t>https://pubmed.ncbi.nlm.nih.gov/42608682/</w:t>
      </w:r>
    </w:p>
    <w:p>
      <w:pPr>
        <w:pStyle w:val="Heading2"/>
      </w:pPr>
      <w:r>
        <w:t>Vorhersagefaktoren von Überzeugungen zu Antipsychotika bei Psychosestörungen: longitudinale Beobachtungsstudie</w:t>
      </w:r>
    </w:p>
    <w:p>
      <w:r>
        <w:rPr>
          <w:i/>
          <w:color w:val="666666"/>
          <w:sz w:val="18"/>
        </w:rPr>
        <w:t>Skaare-Fatland K et al.  ·  Patient Prefer Adherence  ·  12.08.2026  ·  PMID 42605315</w:t>
      </w:r>
    </w:p>
    <w:p>
      <w:r>
        <w:t>Longitudinale Studie über Faktoren, die Notwendigkeits- und Besorgnis-Überzeugungen bezüglich antipsychotischer Medikamente bei psychotischen Störungen vorhersagen (12-Monats-Follow-up).</w:t>
      </w:r>
    </w:p>
    <w:p>
      <w:r>
        <w:rPr>
          <w:b/>
        </w:rPr>
        <w:t xml:space="preserve">Ergebnis: </w:t>
      </w:r>
      <w:r>
        <w:t>Baseline (N=310): Höhere Medikations-Unterstützung assoziiert mit höheren Notwendigkeits-Scores (β=0,18; 95% KI 0,04–0,33) und niedriger Besorgnis (β=-0,29; 95% KI -0,42 bis -0,16). Nach 12 Monaten: Notwendigkeits-Scores fielen (β=-0,35; 95% KI -0,60 bis -0,11), Besorgnis stiegen (β=0,25; 95% KI 0,05–0,45). Höhere Symptombelastung und Nebenwirkungen mit höherer Besorgnis assoziiert.</w:t>
      </w:r>
    </w:p>
    <w:p>
      <w:r>
        <w:rPr>
          <w:b/>
          <w:sz w:val="19"/>
        </w:rPr>
        <w:t xml:space="preserve">Übertragbarkeit: </w:t>
      </w:r>
      <w:r>
        <w:rPr>
          <w:sz w:val="19"/>
        </w:rPr>
        <w:t>Skandinavien (Norwegen), steuerfinanziert; Prozesse und Patientenperspektive relevant</w:t>
      </w:r>
    </w:p>
    <w:p>
      <w:r>
        <w:rPr>
          <w:color w:val="5A7D3A"/>
          <w:sz w:val="18"/>
        </w:rPr>
        <w:t>https://pubmed.ncbi.nlm.nih.gov/42605315/</w:t>
      </w:r>
    </w:p>
    <w:p>
      <w:pPr>
        <w:pStyle w:val="Heading1"/>
      </w:pPr>
      <w:r>
        <w:t>Aufgenommen am 18.08.2026</w:t>
      </w:r>
    </w:p>
    <w:p>
      <w:pPr>
        <w:pStyle w:val="Heading2"/>
      </w:pPr>
      <w:r>
        <w:t>Genomische Testung in der Nephrologie: Mainstreaming als effektives Versorgungsmodell</w:t>
      </w:r>
    </w:p>
    <w:p>
      <w:r>
        <w:rPr>
          <w:i/>
          <w:color w:val="666666"/>
          <w:sz w:val="18"/>
        </w:rPr>
        <w:t>Jayasinghe K et al.  ·  Clin J Am Soc Nephrol  ·  17.08.2026  ·  PMID 42606900</w:t>
      </w:r>
    </w:p>
    <w:p>
      <w:r>
        <w:t>Beobachtungsstudie an vier Zentren zur Evaluierung eines "hub and spoke"-Modells für genomische Testung bei Nierenkrankheiten mit Schulung niedergelassener Nephrologen.</w:t>
      </w:r>
    </w:p>
    <w:p>
      <w:r>
        <w:rPr>
          <w:b/>
        </w:rPr>
        <w:t xml:space="preserve">Ergebnis: </w:t>
      </w:r>
      <w:r>
        <w:t>1.028 genomische Tests wurden durchgeführt (diagnostische Ausbeute 34%); ähnlich erfolgreich in Zentren (32%) und bei lokalen Nephrologen (38%). Der Anteil der Tests in Mainstream-Nephrologie-Settings stieg von 23% auf 74%, während die Absolutzahlen in Spezialkliniken stabil blieben.</w:t>
      </w:r>
    </w:p>
    <w:p>
      <w:r>
        <w:rPr>
          <w:b/>
          <w:sz w:val="19"/>
        </w:rPr>
        <w:t xml:space="preserve">Übertragbarkeit: </w:t>
      </w:r>
      <w:r>
        <w:rPr>
          <w:sz w:val="19"/>
        </w:rPr>
        <w:t>Australische Daten, aber Implementierungsrahmen systemunabhängig auf deutsches Versorgungssystem übertragbar</w:t>
      </w:r>
    </w:p>
    <w:p>
      <w:r>
        <w:rPr>
          <w:color w:val="5A7D3A"/>
          <w:sz w:val="18"/>
        </w:rPr>
        <w:t>https://pubmed.ncbi.nlm.nih.gov/42606900/</w:t>
      </w:r>
    </w:p>
    <w:p>
      <w:pPr>
        <w:pStyle w:val="Heading2"/>
      </w:pPr>
      <w:r>
        <w:t>Sicherheit von Antikonvulsiva unter direkten oralen Antikoagulanzien bei Epilepsie</w:t>
      </w:r>
    </w:p>
    <w:p>
      <w:r>
        <w:rPr>
          <w:i/>
          <w:color w:val="666666"/>
          <w:sz w:val="18"/>
        </w:rPr>
        <w:t>Schubert KM et al.  ·  JAMA Neurol  ·  17.08.2026  ·  PMID 42606848</w:t>
      </w:r>
    </w:p>
    <w:p>
      <w:r>
        <w:t>Retrospektive Kohortenstudie mit TriNetX-Daten zu Thromboembolie-, Blutungs- und Mortalitätsrisiken verschiedener Antikonvulsiva bei Epilepsiepatienten unter DOAC-Therapie.</w:t>
      </w:r>
    </w:p>
    <w:p>
      <w:r>
        <w:rPr>
          <w:b/>
        </w:rPr>
        <w:t xml:space="preserve">Ergebnis: </w:t>
      </w:r>
      <w:r>
        <w:t>Levetiracetam war mit erhöhtem thromboembolischem Risiko assoziiert (HR 1,98; 95% CI 1,37–2,87) und höherer Mortalität (HR 1,60; 95% CI 1,23–2,08). Starke Enzym-induzierende ASMs zeigten erhöhtes thromboembolisches Risiko (HR 1,55), aber niedrigere Blutungsrate (HR 0,62).</w:t>
      </w:r>
    </w:p>
    <w:p>
      <w:r>
        <w:rPr>
          <w:b/>
          <w:sz w:val="19"/>
        </w:rPr>
        <w:t xml:space="preserve">Übertragbarkeit: </w:t>
      </w:r>
      <w:r>
        <w:rPr>
          <w:sz w:val="19"/>
        </w:rPr>
        <w:t>Internationale TriNetX-Daten, Arzneisicherheit-Fragestellung systemunabhängig relevant</w:t>
      </w:r>
    </w:p>
    <w:p>
      <w:r>
        <w:rPr>
          <w:color w:val="5A7D3A"/>
          <w:sz w:val="18"/>
        </w:rPr>
        <w:t>https://pubmed.ncbi.nlm.nih.gov/42606848/</w:t>
      </w:r>
    </w:p>
    <w:p>
      <w:pPr>
        <w:pStyle w:val="Heading1"/>
      </w:pPr>
      <w:r>
        <w:t>Aufgenommen am 17.08.2026</w:t>
      </w:r>
    </w:p>
    <w:p>
      <w:pPr>
        <w:pStyle w:val="Heading2"/>
      </w:pPr>
      <w:r>
        <w:t>Expansion von Telehealth-Regelungen in US-Medicaid-Programmen 2018–2023: Legal-Mapping-Studie</w:t>
      </w:r>
    </w:p>
    <w:p>
      <w:r>
        <w:rPr>
          <w:i/>
          <w:color w:val="666666"/>
          <w:sz w:val="18"/>
        </w:rPr>
        <w:t>Leung LB et al.  ·  Milbank Q  ·  16.08.2026  ·  PMID 42604452</w:t>
      </w:r>
    </w:p>
    <w:p>
      <w:r>
        <w:t>50-Staaten-Analyse zur Adoption von Telehealth-Richtlinien in Medicaid-Programmen und deren mögliche Einflussfaktoren.</w:t>
      </w:r>
    </w:p>
    <w:p>
      <w:r>
        <w:rPr>
          <w:b/>
        </w:rPr>
        <w:t xml:space="preserve">Ergebnis: </w:t>
      </w:r>
      <w:r>
        <w:t>Durchschnittlich 2,7 Telehealth-Richtlinien je Bundesstaat (SD 1,4); Audiotelefonie in 43 Staaten eingeführt; schnellste Adoption 2020–2021; Adoption unabhängig von Ländlichkeit, Fachkräftemangel, Medicaid-Expansion oder Internetverfügbarkeit (alle p ≥ 0,07).</w:t>
      </w:r>
    </w:p>
    <w:p>
      <w:r>
        <w:rPr>
          <w:b/>
          <w:sz w:val="19"/>
        </w:rPr>
        <w:t xml:space="preserve">Übertragbarkeit: </w:t>
      </w:r>
      <w:r>
        <w:rPr>
          <w:sz w:val="19"/>
        </w:rPr>
        <w:t>Nur bedingt: US-Medicaid-System, Fragestellung aber systemunabhängig</w:t>
      </w:r>
    </w:p>
    <w:p>
      <w:r>
        <w:rPr>
          <w:color w:val="5A7D3A"/>
          <w:sz w:val="18"/>
        </w:rPr>
        <w:t>https://pubmed.ncbi.nlm.nih.gov/42604452/</w:t>
      </w:r>
    </w:p>
    <w:p>
      <w:pPr>
        <w:pStyle w:val="Heading2"/>
      </w:pPr>
      <w:r>
        <w:t>Reale Effektivität und Sicherheit von Lebrikizumab bei atopischer Dermatitis: TREATgermany-Registerdaten</w:t>
      </w:r>
    </w:p>
    <w:p>
      <w:r>
        <w:rPr>
          <w:i/>
          <w:color w:val="666666"/>
          <w:sz w:val="18"/>
        </w:rPr>
        <w:t>Kind B et al.  ·  Acta Derm Venereol  ·  13.08.2026  ·  PMID 42593155</w:t>
      </w:r>
    </w:p>
    <w:p>
      <w:r>
        <w:t>Prospektive Evaluierung von Lebrikizumab (IL-13-Inhibitor) bei atopischer Dermatitis in deutschen Dermatologie-Praxen mit Effectiveness-Daten zur Routineversorgung.</w:t>
      </w:r>
    </w:p>
    <w:p>
      <w:r>
        <w:rPr>
          <w:b/>
        </w:rPr>
        <w:t xml:space="preserve">Ergebnis: </w:t>
      </w:r>
      <w:r>
        <w:t>80 Patienten mit Follow-up; EASI-Score sank von Baseline 14,8 auf 5,6 (Monat 3) und 3,0 (Monat 6); PP-NRS von 6,6 auf 3,8 und 3,4; DLQI von 11,9 auf 4,9 und 4,8; Nebenwirkungen bei 26,6 % (Konjunktivitis 20,3 %); EASI-75 in Kohorte mit EASI≥16 bei 60 % (M3) und 70 % (M6).</w:t>
      </w:r>
    </w:p>
    <w:p>
      <w:r>
        <w:rPr>
          <w:b/>
          <w:sz w:val="19"/>
        </w:rPr>
        <w:t xml:space="preserve">Übertragbarkeit: </w:t>
      </w:r>
      <w:r>
        <w:rPr>
          <w:sz w:val="19"/>
        </w:rPr>
        <w:t>Deutsche Routinedaten (TREATgermany-Registry)</w:t>
      </w:r>
    </w:p>
    <w:p>
      <w:r>
        <w:rPr>
          <w:color w:val="5A7D3A"/>
          <w:sz w:val="18"/>
        </w:rPr>
        <w:t>https://pubmed.ncbi.nlm.nih.gov/42593155/</w:t>
      </w:r>
    </w:p>
    <w:p>
      <w:pPr>
        <w:pStyle w:val="Heading2"/>
      </w:pPr>
      <w:r>
        <w:t>Mortalität von Hirntumor-Patienten in zertifizierten Onkologiezentren versus Nicht-Zentren: Deutschland</w:t>
      </w:r>
    </w:p>
    <w:p>
      <w:r>
        <w:rPr>
          <w:i/>
          <w:color w:val="666666"/>
          <w:sz w:val="18"/>
        </w:rPr>
        <w:t>Seliger C et al.  ·  Cancer Treat Res Commun  ·  11.08.2026  ·  PMID 42580197</w:t>
      </w:r>
    </w:p>
    <w:p>
      <w:r>
        <w:t>Kohortenstudie mit 62.735 GKV-Patienten und 5.196 Patienten aus klinischen Krebsregistern zu Überleben nach Behandlung in zertifizierten vs. nicht-zertifizierten Krankenhäusern.</w:t>
      </w:r>
    </w:p>
    <w:p>
      <w:r>
        <w:rPr>
          <w:b/>
        </w:rPr>
        <w:t xml:space="preserve">Ergebnis: </w:t>
      </w:r>
      <w:r>
        <w:t>91,9 % der SHI-Patienten nicht in neuro-onkologischen Zentren behandelt; adjustierte Cox-Regression zeigte verbessertes Gesamtüberleben in zertifizierten Zentren (HR SHI 0,93, 95%-KI 0,86–1,00; HR KKR 0,84, 95%-KI 0,76–0,93); ältere Patienten und höhere WHO-Grade profilierten besonders.</w:t>
      </w:r>
    </w:p>
    <w:p>
      <w:r>
        <w:rPr>
          <w:b/>
          <w:sz w:val="19"/>
        </w:rPr>
        <w:t xml:space="preserve">Übertragbarkeit: </w:t>
      </w:r>
      <w:r>
        <w:rPr>
          <w:sz w:val="19"/>
        </w:rPr>
        <w:t>Deutsche Routinedaten, gesetzlich Versicherte + Krebsregister</w:t>
      </w:r>
    </w:p>
    <w:p>
      <w:r>
        <w:rPr>
          <w:color w:val="5A7D3A"/>
          <w:sz w:val="18"/>
        </w:rPr>
        <w:t>https://pubmed.ncbi.nlm.nih.gov/42580197/</w:t>
      </w:r>
    </w:p>
    <w:p>
      <w:pPr>
        <w:pStyle w:val="Heading1"/>
      </w:pPr>
      <w:r>
        <w:t>Aufgenommen am 16.08.2026</w:t>
      </w:r>
    </w:p>
    <w:p>
      <w:pPr>
        <w:pStyle w:val="Heading2"/>
      </w:pPr>
      <w:r>
        <w:t>Arbeitsbedingungen und psychische Gesundheit bei Ärztinnen und Ärzten sowie Pflegekräften in der EU: Querschnittsstudie</w:t>
      </w:r>
    </w:p>
    <w:p>
      <w:r>
        <w:rPr>
          <w:i/>
          <w:color w:val="666666"/>
          <w:sz w:val="18"/>
        </w:rPr>
        <w:t>Mediavilla R et al.  ·  Lancet Reg Health Eur  ·  08.08.2026  ·  PMID 42604020</w:t>
      </w:r>
    </w:p>
    <w:p>
      <w:r>
        <w:t>Die Studie untersuchte Zusammenhänge zwischen Arbeitsbedingungen und psychischer Gesundheit bei 90.171 Gesundheitsberuflern aus 28 EU-Staaten, Island und Norwegen im Zeitraum Oktober 2024 bis April 2025.</w:t>
      </w:r>
    </w:p>
    <w:p>
      <w:r>
        <w:rPr>
          <w:b/>
        </w:rPr>
        <w:t xml:space="preserve">Ergebnis: </w:t>
      </w:r>
      <w:r>
        <w:t>30% zeigten depressive Symptome, 23% Angstsymptome, 13% suizidale Gedanken. Physische Gewalt betraf 10% der Ärzte und 18% der Pflegekräfte. Ungünstige Arbeitsbedingungen korreliertten mit schlechterer psychischer Gesundheit (adjustierte Prävalenzratios 0,98-1,94), während Jobressourcen positive Effekte zeigten (PR 1,06-0,56).</w:t>
      </w:r>
    </w:p>
    <w:p>
      <w:r>
        <w:rPr>
          <w:b/>
          <w:sz w:val="19"/>
        </w:rPr>
        <w:t xml:space="preserve">Übertragbarkeit: </w:t>
      </w:r>
      <w:r>
        <w:rPr>
          <w:sz w:val="19"/>
        </w:rPr>
        <w:t>Europäische Daten, systemisch vergleichbar mit Deutschland</w:t>
      </w:r>
    </w:p>
    <w:p>
      <w:r>
        <w:rPr>
          <w:color w:val="5A7D3A"/>
          <w:sz w:val="18"/>
        </w:rPr>
        <w:t>https://pubmed.ncbi.nlm.nih.gov/42604020/</w:t>
      </w:r>
    </w:p>
    <w:p>
      <w:pPr>
        <w:pStyle w:val="Heading2"/>
      </w:pPr>
      <w:r>
        <w:t>Tage zu Hause nach Herzinsuffizienzspitalisierung in Singapur: Trends und Equity 2011-2019</w:t>
      </w:r>
    </w:p>
    <w:p>
      <w:r>
        <w:rPr>
          <w:i/>
          <w:color w:val="666666"/>
          <w:sz w:val="18"/>
        </w:rPr>
        <w:t>Liu S et al.  ·  Circ Popul Health Outcomes  ·  14.08.2026  ·  PMID 42596879</w:t>
      </w:r>
    </w:p>
    <w:p>
      <w:r>
        <w:t>Die Studie untersuchte zeitliche Trends in Days Alive and Out of Hospital (DAOH) nach erster Hospitalisierung wegen Herzinsuffizienz mit reduzierter Auswurffraktion und prüfte Unterschiede zwischen Altersgruppen, Geschlecht und Ethnizität.</w:t>
      </w:r>
    </w:p>
    <w:p>
      <w:r>
        <w:rPr>
          <w:b/>
        </w:rPr>
        <w:t xml:space="preserve">Ergebnis: </w:t>
      </w:r>
      <w:r>
        <w:t>Von 10.147 Patienten (Medianalter 68,9 Jahre; 31,5% weiblich) verbesserte sich die 1-Jahres-DAOH von 291,7 auf 301,0 Tage (1,16 Tage pro Jahr; p&lt;0,001), während 30-Tage-DAOH stabil blieb (p=0,554). Die Rückgangsraten bei herzinsuffizienzbedingten Readmissionen waren bei Männern steiler als bei Frauen. 1-Jahres-DAOH-Gewinne waren bei Patienten malaiischer Abstammung größer als bei chinesischen Patienten.</w:t>
      </w:r>
    </w:p>
    <w:p>
      <w:r>
        <w:rPr>
          <w:color w:val="5A7D3A"/>
          <w:sz w:val="18"/>
        </w:rPr>
        <w:t>https://pubmed.ncbi.nlm.nih.gov/42596879/</w:t>
      </w:r>
    </w:p>
    <w:p>
      <w:pPr>
        <w:pStyle w:val="Heading2"/>
      </w:pPr>
      <w:r>
        <w:t>Chirurgische Therapie bei Pankreaskarzinom im Alter ≥80 Jahren: Nutzen-Risiko-Analyse</w:t>
      </w:r>
    </w:p>
    <w:p>
      <w:r>
        <w:rPr>
          <w:i/>
          <w:color w:val="666666"/>
          <w:sz w:val="18"/>
        </w:rPr>
        <w:t>von Fritsch L et al.  ·  Cancers (Basel)  ·  28.07.2026  ·  PMID 42588642</w:t>
      </w:r>
    </w:p>
    <w:p>
      <w:r>
        <w:t>Vergleichende Analyse von 3016 Pankreaskarzinom-Patienten (≤65 Jahre: n=944; 66-79 Jahre: n=1535; ≥80 Jahre: n=537) aus deutschen Krebsregistern 2015-2023 bezüglich Behandlungsmuster und Überleben.</w:t>
      </w:r>
    </w:p>
    <w:p>
      <w:r>
        <w:rPr>
          <w:b/>
        </w:rPr>
        <w:t xml:space="preserve">Ergebnis: </w:t>
      </w:r>
      <w:r>
        <w:t>Anteil Patienten ≥80 Jahre stieg von 15% (2015) auf 32% (2023). 24% der operierten Oktogenare erhielten adjuvante Chemotherapie. Overall Survival und disease-free Survival waren schlechter als in jüngeren Kohorten. Oktogenare mit alleiniger Operation oder Chemotherapie hatten vergleichbare Überlebensraten wie palliativ behandelte Patienten.</w:t>
      </w:r>
    </w:p>
    <w:p>
      <w:r>
        <w:rPr>
          <w:b/>
          <w:sz w:val="19"/>
        </w:rPr>
        <w:t xml:space="preserve">Übertragbarkeit: </w:t>
      </w:r>
      <w:r>
        <w:rPr>
          <w:sz w:val="19"/>
        </w:rPr>
        <w:t>Deutsche Krebsregisterdaten, gesetzlich Versicherte</w:t>
      </w:r>
    </w:p>
    <w:p>
      <w:r>
        <w:rPr>
          <w:color w:val="5A7D3A"/>
          <w:sz w:val="18"/>
        </w:rPr>
        <w:t>https://pubmed.ncbi.nlm.nih.gov/42588642/</w:t>
      </w:r>
    </w:p>
    <w:p>
      <w:pPr>
        <w:pStyle w:val="Heading2"/>
      </w:pPr>
      <w:r>
        <w:t>Erlebte integrierte Versorgung für Kinder mit Sonderbedarf in Deutschland: PART-CHILD-Kohortenstudie</w:t>
      </w:r>
    </w:p>
    <w:p>
      <w:r>
        <w:rPr>
          <w:i/>
          <w:color w:val="666666"/>
          <w:sz w:val="18"/>
        </w:rPr>
        <w:t>Bohnert K et al.  ·  BMC Health Serv Res  ·  08.08.2026  ·  PMID 42576220</w:t>
      </w:r>
    </w:p>
    <w:p>
      <w:r>
        <w:t>Querschnittsanalyse von 459 Betreuungspersonen von Kindern mit Sonderbedarf zu ihrer Erfahrung mit integrierten Versorgungsangeboten und Zusammenhänge mit soziodemografischen, gesundheits- und netzwerkbezogenen Faktoren.</w:t>
      </w:r>
    </w:p>
    <w:p>
      <w:r>
        <w:rPr>
          <w:b/>
        </w:rPr>
        <w:t xml:space="preserve">Ergebnis: </w:t>
      </w:r>
      <w:r>
        <w:t>Durchschnittliche Bewertung Teamqualität/Kommunikation 4,1±1,1 (Skala bis 9), Aufmerksamkeit für Familienbelastung 2,3±1,1. Höhere unmet needs assoziiert mit niedrigerer Teamqualität (≥5 unmet needs: β=-0,83; 95%-KI -1,28 bis -0,38). Größere Versorgungsnetzwerke (6-10 Anbieter) positiv mit Familienaufmerksamkeit (β=0,38; 95%-KI 0,07-0,70).</w:t>
      </w:r>
    </w:p>
    <w:p>
      <w:r>
        <w:rPr>
          <w:b/>
          <w:sz w:val="19"/>
        </w:rPr>
        <w:t xml:space="preserve">Übertragbarkeit: </w:t>
      </w:r>
      <w:r>
        <w:rPr>
          <w:sz w:val="19"/>
        </w:rPr>
        <w:t>Deutsche Daten, gesetzlich versicherte Bevölkerung</w:t>
      </w:r>
    </w:p>
    <w:p>
      <w:r>
        <w:rPr>
          <w:color w:val="5A7D3A"/>
          <w:sz w:val="18"/>
        </w:rPr>
        <w:t>https://pubmed.ncbi.nlm.nih.gov/42576220/</w:t>
      </w:r>
    </w:p>
    <w:p>
      <w:pPr>
        <w:pStyle w:val="Heading1"/>
      </w:pPr>
      <w:r>
        <w:t>Aufgenommen am 15.08.2026</w:t>
      </w:r>
    </w:p>
    <w:p>
      <w:pPr>
        <w:pStyle w:val="Heading2"/>
      </w:pPr>
      <w:r>
        <w:t>Elektrische Kardioversion bei Vorhofflimmern: nationale Trends in Dänemark 2010-2022</w:t>
      </w:r>
    </w:p>
    <w:p>
      <w:r>
        <w:rPr>
          <w:i/>
          <w:color w:val="666666"/>
          <w:sz w:val="18"/>
        </w:rPr>
        <w:t>Frost L et al.  ·  Open Heart  ·  14.08.2026  ·  PMID 42601168</w:t>
      </w:r>
    </w:p>
    <w:p>
      <w:r>
        <w:t>Die Studie untersuchte zeitliche Trends in der Nutzung von elektrischer Kardioversion bei Patienten mit Vorhofflimmern in Dänemark über 12 Jahre.</w:t>
      </w:r>
    </w:p>
    <w:p>
      <w:r>
        <w:rPr>
          <w:b/>
        </w:rPr>
        <w:t xml:space="preserve">Ergebnis: </w:t>
      </w:r>
      <w:r>
        <w:t>Die Gesamtzahl der Kardioversionen pro Jahr stieg von 2204 (2010) auf 8300 (2022) um das Vierfache; die altersadjustierte und geschlechterstandardisierte Rate sank jedoch von 449,5 auf 316,6 pro 1000 Personenjahre im ersten Jahr nach Diagnose, was auf eine gezieltere Einsatzweise hindeutet.</w:t>
      </w:r>
    </w:p>
    <w:p>
      <w:r>
        <w:rPr>
          <w:color w:val="5A7D3A"/>
          <w:sz w:val="18"/>
        </w:rPr>
        <w:t>https://pubmed.ncbi.nlm.nih.gov/42601168/</w:t>
      </w:r>
    </w:p>
    <w:p>
      <w:pPr>
        <w:pStyle w:val="Heading2"/>
      </w:pPr>
      <w:r>
        <w:t>Machbarkeit von S-Patch versus 24-Stunden-Holter bei älteren Erwachsenen mit Stürzen: randomisierte Crossover-Pilotstudie</w:t>
      </w:r>
    </w:p>
    <w:p>
      <w:r>
        <w:rPr>
          <w:i/>
          <w:color w:val="666666"/>
          <w:sz w:val="18"/>
        </w:rPr>
        <w:t>Rosario B et al.  ·  JMIR Rehabil Assist Technol  ·  14.08.2026  ·  PMID 42600137</w:t>
      </w:r>
    </w:p>
    <w:p>
      <w:r>
        <w:t>Die Studie verglich Machbarkeit, Verträglichkeit und Adhärenz eines neuen tragbaren EKG-Geräts (S-Patch) mit Standard-Holter-Monitoring bei älteren Patienten mit Sturzrisiko.</w:t>
      </w:r>
    </w:p>
    <w:p>
      <w:r>
        <w:rPr>
          <w:b/>
        </w:rPr>
        <w:t xml:space="preserve">Ergebnis: </w:t>
      </w:r>
      <w:r>
        <w:t>Bei 70 Patienten (45,7% mit kognitiver Beeinträchtigung) zeigte S-Patch längere durchschnittliche Tragedauer (&gt;60 Stunden, signifikant länger wenn zuerst angewendet: 68,8 vs. 62,9 Stunden; p=0,04) mit vergleichbaren Arrhythmie-Erkennungsraten und guter Verträglichkeit auch bei kognitiv beeinträchtigten Patienten.</w:t>
      </w:r>
    </w:p>
    <w:p>
      <w:r>
        <w:rPr>
          <w:color w:val="5A7D3A"/>
          <w:sz w:val="18"/>
        </w:rPr>
        <w:t>https://pubmed.ncbi.nlm.nih.gov/42600137/</w:t>
      </w:r>
    </w:p>
    <w:p>
      <w:pPr>
        <w:pStyle w:val="Heading2"/>
      </w:pPr>
      <w:r>
        <w:t>Entwicklung konsensbasierter Sicherheits- und Qualitäsindikatoren für sicheren Opioid-Einsatz in Krankenhäusern mittels modifizierter Delphi-Methode</w:t>
      </w:r>
    </w:p>
    <w:p>
      <w:r>
        <w:rPr>
          <w:i/>
          <w:color w:val="666666"/>
          <w:sz w:val="18"/>
        </w:rPr>
        <w:t>Mutashar A et al.  ·  Int J Qual Health Care  ·  14.08.2026  ·  PMID 42599219</w:t>
      </w:r>
    </w:p>
    <w:p>
      <w:r>
        <w:t>Die Studie entwickelte einen Katalog von Indikatoren zur Überwachung der Sicherheit und Qualität des Opioid-Einsatzes in australischen Krankenhäusern durch ein multidisziplinäres Expertengremium.</w:t>
      </w:r>
    </w:p>
    <w:p>
      <w:r>
        <w:rPr>
          <w:b/>
        </w:rPr>
        <w:t xml:space="preserve">Ergebnis: </w:t>
      </w:r>
      <w:r>
        <w:t>Von 34 bewerteten Indikatoren erreichten 17 Konsens für Wichtigkeit und Durchführbarkeit (Antwortquoten: Round 1 91%, Treffen 50%, Round 2 77%), was ein praktikables Werkzeug zur Verbesserung der Opioid-Medikamentensicherheit ermöglicht.</w:t>
      </w:r>
    </w:p>
    <w:p>
      <w:r>
        <w:rPr>
          <w:color w:val="5A7D3A"/>
          <w:sz w:val="18"/>
        </w:rPr>
        <w:t>https://pubmed.ncbi.nlm.nih.gov/42599219/</w:t>
      </w:r>
    </w:p>
    <w:p>
      <w:pPr>
        <w:pStyle w:val="Heading2"/>
      </w:pPr>
      <w:r>
        <w:t>Inzidenz, Ätiologien und Überlebensoutcomes von pädiatrischen außerklinischen Herzstillständen in Singapur</w:t>
      </w:r>
    </w:p>
    <w:p>
      <w:r>
        <w:rPr>
          <w:i/>
          <w:color w:val="666666"/>
          <w:sz w:val="18"/>
        </w:rPr>
        <w:t>Chee DS et al.  ·  Resusc Plus  ·  22.07.2026  ·  PMID 42598112</w:t>
      </w:r>
    </w:p>
    <w:p>
      <w:r>
        <w:t>Die Studie beschrieb Inzidenz, Ursachen und Überlebensraten von Herzstillständen bei Kindern in Singapur von 2010-2021 mittels der PAROS-Registry.</w:t>
      </w:r>
    </w:p>
    <w:p>
      <w:r>
        <w:rPr>
          <w:b/>
        </w:rPr>
        <w:t xml:space="preserve">Ergebnis: </w:t>
      </w:r>
      <w:r>
        <w:t>Von 414 Patienten betrug die Gesamtinzidenz 4,62 pro 100.000 Personenjahre (höchste Rate bei Säuglingen &lt;1 Jahr: 33,5 pro 100.000), Bystander-CPR-Rate 64,5%, häufigste Ursachen Atemwegsobstruktion (21%), Ertrinken (20,2%) und Trauma (18,5%); 30-Tage-Überlebensrate 11,1%, gutes neurologisches Ergebnis (CPC 1-2) 8,0% mit Verbesserung 2019-2021 (aOR 4,34; 95% CI 1,09-17,22; p=0,037).</w:t>
      </w:r>
    </w:p>
    <w:p>
      <w:r>
        <w:rPr>
          <w:color w:val="5A7D3A"/>
          <w:sz w:val="18"/>
        </w:rPr>
        <w:t>https://pubmed.ncbi.nlm.nih.gov/42598112/</w:t>
      </w:r>
    </w:p>
    <w:p>
      <w:pPr>
        <w:pStyle w:val="Heading2"/>
      </w:pPr>
      <w:r>
        <w:t>Rolle von Life's Essential 8 in der Assoziation von Nachtschichtarbeit mit kardiovaskulären Erkrankungen: prospektive UK-Biobank-Kohorte</w:t>
      </w:r>
    </w:p>
    <w:p>
      <w:r>
        <w:rPr>
          <w:i/>
          <w:color w:val="666666"/>
          <w:sz w:val="18"/>
        </w:rPr>
        <w:t>Huang Y et al.  ·  J Glob Health  ·  14.08.2026  ·  PMID 42596889</w:t>
      </w:r>
    </w:p>
    <w:p>
      <w:r>
        <w:t>Die Studie untersuchte die Assoziation zwischen Nachtschichtarbeit und kardiovaskulären Erkrankungen sowie die vermittelnde Rolle des Life's Essential 8-Lebensstilscores bei 131.844 Erwerbstätigen.</w:t>
      </w:r>
    </w:p>
    <w:p>
      <w:r>
        <w:rPr>
          <w:b/>
        </w:rPr>
        <w:t xml:space="preserve">Ergebnis: </w:t>
      </w:r>
      <w:r>
        <w:t>Über einen Median-Follow-up von 13,78 Jahren entwickelten 29,7% kardiovaskuläre Erkrankungen und 4,2% starben; Patienten mit permanenten Nachtschichten hatten erhöhtes Risiko für kardiovaskuläre Erkrankungen (HR=1,24; 95% CI 1,18-1,31), Gesamtmortalität (HR=1,23; 95% CI 1,07-1,41) und Myokardinfarkt (HR=1,29; 95% CI 1,09-1,51); Life's Essential 8 vermittelte 39,2% der kardiovaskulären Assoziation und 33,1% der Mortalität.</w:t>
      </w:r>
    </w:p>
    <w:p>
      <w:r>
        <w:rPr>
          <w:color w:val="5A7D3A"/>
          <w:sz w:val="18"/>
        </w:rPr>
        <w:t>https://pubmed.ncbi.nlm.nih.gov/42596889/</w:t>
      </w:r>
    </w:p>
    <w:p>
      <w:pPr>
        <w:pStyle w:val="Heading2"/>
      </w:pPr>
      <w:r>
        <w:t>Implementierung eines umfassenden Sichelzellzentrums führt zu verbessertem Zugang und reduzierter Notfallversorgung</w:t>
      </w:r>
    </w:p>
    <w:p>
      <w:r>
        <w:rPr>
          <w:i/>
          <w:color w:val="666666"/>
          <w:sz w:val="18"/>
        </w:rPr>
        <w:t>Kanter J et al.  ·  BMC Health Serv Res  ·  24.07.2026  ·  PMID 42596005</w:t>
      </w:r>
    </w:p>
    <w:p>
      <w:r>
        <w:t>Die Studie evaluierte die Auswirkungen der Implementierung eines multidisziplinären erwachsenen Sichelzellzentrums auf Ambulanznutzung und Notfallverlagerung in Alabama.</w:t>
      </w:r>
    </w:p>
    <w:p>
      <w:r>
        <w:rPr>
          <w:b/>
        </w:rPr>
        <w:t xml:space="preserve">Ergebnis: </w:t>
      </w:r>
      <w:r>
        <w:t>Die ambulante Klinikpopulation wuchs um mehr als das Dreifache auf 810 Patienten (2024), Infusions-Therapiebesuche stiegen um das Fünfzehnfache; durchschnittliche acute-care-Besuche pro Person/Jahr sanken signifikant von 2,11 auf 1,26 (p&lt;0,001), während routinemäßige ambulante Besuche von 2,65 auf 5,32 stiegen.</w:t>
      </w:r>
    </w:p>
    <w:p>
      <w:r>
        <w:rPr>
          <w:color w:val="5A7D3A"/>
          <w:sz w:val="18"/>
        </w:rPr>
        <w:t>https://pubmed.ncbi.nlm.nih.gov/42596005/</w:t>
      </w:r>
    </w:p>
    <w:p>
      <w:pPr>
        <w:pStyle w:val="Heading1"/>
      </w:pPr>
      <w:r>
        <w:t>Aufgenommen am 14.08.2026</w:t>
      </w:r>
    </w:p>
    <w:p>
      <w:pPr>
        <w:pStyle w:val="Heading2"/>
      </w:pPr>
      <w:r>
        <w:t>Dokumentationslücke bei eingeschränkter Gelenkbeweglichkeit in Pflegeheimen</w:t>
      </w:r>
    </w:p>
    <w:p>
      <w:r>
        <w:rPr>
          <w:i/>
          <w:color w:val="666666"/>
          <w:sz w:val="18"/>
        </w:rPr>
        <w:t>Austen S et al.  ·  J Am Med Dir Assoc  ·  13.08.2026  ·  PMID 42594509</w:t>
      </w:r>
    </w:p>
    <w:p>
      <w:r>
        <w:t>Die Studie untersuchte die Dokumentation von Gelenkbewegungseinschränkungen und schmerzenden Gelenken bei Pflegeheimbewohnern im Vergleich zur standardisierten klinischen Untersuchung.</w:t>
      </w:r>
    </w:p>
    <w:p>
      <w:r>
        <w:rPr>
          <w:b/>
        </w:rPr>
        <w:t xml:space="preserve">Ergebnis: </w:t>
      </w:r>
      <w:r>
        <w:t>Bei 69% der Bewohner wurde eine eingeschränkte Gelenkbeweglichkeit festgestellt, aber nur in 4% der Fälle dokumentiert. Die Hüftbeweglichkeit war in 51% der Fälle limitiert, wurde aber in keinem Fall dokumentiert. Bewohner mit nicht dokumentierten Bewegungseinschränkungen zeigten signifikant höhere funktionelle Abhängigkeit beim Umlagern (p &lt; 0,001).</w:t>
      </w:r>
    </w:p>
    <w:p>
      <w:r>
        <w:rPr>
          <w:color w:val="5A7D3A"/>
          <w:sz w:val="18"/>
        </w:rPr>
        <w:t>https://pubmed.ncbi.nlm.nih.gov/42594509/</w:t>
      </w:r>
    </w:p>
    <w:p>
      <w:pPr>
        <w:pStyle w:val="Heading2"/>
      </w:pPr>
      <w:r>
        <w:t>Emotionale Belastung durch Alarme bei Diabetes-Technologien</w:t>
      </w:r>
    </w:p>
    <w:p>
      <w:r>
        <w:rPr>
          <w:i/>
          <w:color w:val="666666"/>
          <w:sz w:val="18"/>
        </w:rPr>
        <w:t>Everett E et al.  ·  JMIR Diabetes  ·  13.08.2026  ·  PMID 42594259</w:t>
      </w:r>
    </w:p>
    <w:p>
      <w:r>
        <w:t>Die Studie verglich die Alarmhäufigkeit, emotionale Belastung und Verhaltensreaktionen auf Alarme zwischen Nutzern von kontinuierlichen Glukosemessgeräten, sensorunterstützten Pumpen und automatisierten Insulinabgabesystemen.</w:t>
      </w:r>
    </w:p>
    <w:p>
      <w:r>
        <w:rPr>
          <w:b/>
        </w:rPr>
        <w:t xml:space="preserve">Ergebnis: </w:t>
      </w:r>
      <w:r>
        <w:t>Von 838 Befragten berichteten Nutzer von automatisierten Systemen die höchste Alarmfrequenz (49% mehrmals täglich vs. 35% bzw. 32% in anderen Gruppen, p &lt; 0,001). Nach Adjustment zeigte sich ein erhöhtes Risiko für häufige Alarme (OR 1,98, 95% KI 1,48–2,65) und Überkorrektionen bei niedriger Glukose (OR 1,61, 95% KI 1,20–2,15) bei automatisierten Systemen.</w:t>
      </w:r>
    </w:p>
    <w:p>
      <w:r>
        <w:rPr>
          <w:color w:val="5A7D3A"/>
          <w:sz w:val="18"/>
        </w:rPr>
        <w:t>https://pubmed.ncbi.nlm.nih.gov/42594259/</w:t>
      </w:r>
    </w:p>
    <w:p>
      <w:pPr>
        <w:pStyle w:val="Heading2"/>
      </w:pPr>
      <w:r>
        <w:t>Chronic Kidney Disease Care Model zur Verbesserung von Patientenergebnissen</w:t>
      </w:r>
    </w:p>
    <w:p>
      <w:r>
        <w:rPr>
          <w:i/>
          <w:color w:val="666666"/>
          <w:sz w:val="18"/>
        </w:rPr>
        <w:t>Briggs AH et al.  ·  Pharmacoecon Open  ·  13.08.2026  ·  PMID 42593670</w:t>
      </w:r>
    </w:p>
    <w:p>
      <w:r>
        <w:t>Die Studie beschreibt ein Entscheidungsmodell zur Quantifizierung von Managementstrategien bei chronischer Nierenerkrankung und deren Kosteneffektivität in den USA.</w:t>
      </w:r>
    </w:p>
    <w:p>
      <w:r>
        <w:rPr>
          <w:b/>
        </w:rPr>
        <w:t xml:space="preserve">Ergebnis: </w:t>
      </w:r>
      <w:r>
        <w:t>Unter Standardbehandlung werden 15% der Patienten von Ursachen unabhängig von Nierenerkrankung sterben (nach durchschnittlich 12 Jahren). Mit optimierter Behandlung erhöht sich dieser Anteil auf 20% (nach 14 Jahren). Leitliniengerechte Behandlung ohne Verzögerung führt zu 0,68 QALYs Lebenszeitgewinn bei Kosten von 47.800 USD pro Patient.</w:t>
      </w:r>
    </w:p>
    <w:p>
      <w:r>
        <w:rPr>
          <w:color w:val="5A7D3A"/>
          <w:sz w:val="18"/>
        </w:rPr>
        <w:t>https://pubmed.ncbi.nlm.nih.gov/42593670/</w:t>
      </w:r>
    </w:p>
    <w:p>
      <w:pPr>
        <w:pStyle w:val="Heading2"/>
      </w:pPr>
      <w:r>
        <w:t>Algorithmen zur Identifikation klinisch beabsichtigter Medikamentenabsetzungen</w:t>
      </w:r>
    </w:p>
    <w:p>
      <w:r>
        <w:rPr>
          <w:i/>
          <w:color w:val="666666"/>
          <w:sz w:val="18"/>
        </w:rPr>
        <w:t>Goodrich GK et al.  ·  Med Care  ·  13.08.2026  ·  PMID 42593400</w:t>
      </w:r>
    </w:p>
    <w:p>
      <w:r>
        <w:t>Die Studie entwickelte algorithmische Verfahren zur Identifikation absichtlicher Medikamentenabsetzungen mittels Textsuche und klinischen Daten für fünf Arzneimittelgruppen.</w:t>
      </w:r>
    </w:p>
    <w:p>
      <w:r>
        <w:rPr>
          <w:b/>
        </w:rPr>
        <w:t xml:space="preserve">Ergebnis: </w:t>
      </w:r>
      <w:r>
        <w:t>Für die Validierungsstichproben betrugen Sensitivität und Spezifität für den vollständigen Algorithmus: orale Antidiabetika 80% und 85% (n=467), Statine 75% und 95% (n=282), Antihypertensiva 82% und 75% (n=599), Blasen-Antimuscarinergika 77% und 80% (n=80), Antikoagulanzien 74% und 78% (n=160).</w:t>
      </w:r>
    </w:p>
    <w:p>
      <w:r>
        <w:rPr>
          <w:color w:val="5A7D3A"/>
          <w:sz w:val="18"/>
        </w:rPr>
        <w:t>https://pubmed.ncbi.nlm.nih.gov/42593400/</w:t>
      </w:r>
    </w:p>
    <w:p>
      <w:pPr>
        <w:pStyle w:val="Heading2"/>
      </w:pPr>
      <w:r>
        <w:t>Mechanisch beatmete Kinder in pädiatrischen vs. allgemeinen Intensivstationen in Japan</w:t>
      </w:r>
    </w:p>
    <w:p>
      <w:r>
        <w:rPr>
          <w:i/>
          <w:color w:val="666666"/>
          <w:sz w:val="18"/>
        </w:rPr>
        <w:t>Sakurai Y et al.  ·  Front Pediatr  ·  29.07.2026  ·  PMID 42591500</w:t>
      </w:r>
    </w:p>
    <w:p>
      <w:r>
        <w:t>Die Studie verglich klinische Ergebnisse mechanisch beatmeter Kinder in spezialisierten pädiatrischen Intensivstationen (PICU) versus allgemeinen Intensivstationen (GICU).</w:t>
      </w:r>
    </w:p>
    <w:p>
      <w:r>
        <w:rPr>
          <w:b/>
        </w:rPr>
        <w:t xml:space="preserve">Ergebnis: </w:t>
      </w:r>
      <w:r>
        <w:t>Von 48.106 Patienten wurden 36% auf PICUs behandelt. Nach Propensity-Score-Analyse zeigte PICU-Versorgung signifikant niedrigere Krankenhaussterblichkeit (2,73% vs. 3,42%; OR 0,79, 95% KI 0,69–0,91; p = 0,001), aber längere Gesamtaufenthalte (22,74 vs. 22,13 Tage; p &lt; 0,001).</w:t>
      </w:r>
    </w:p>
    <w:p>
      <w:r>
        <w:rPr>
          <w:color w:val="5A7D3A"/>
          <w:sz w:val="18"/>
        </w:rPr>
        <w:t>https://pubmed.ncbi.nlm.nih.gov/42591500/</w:t>
      </w:r>
    </w:p>
    <w:p>
      <w:pPr>
        <w:pStyle w:val="Heading1"/>
      </w:pPr>
      <w:r>
        <w:t>Aufgenommen am 13.08.2026</w:t>
      </w:r>
    </w:p>
    <w:p>
      <w:pPr>
        <w:pStyle w:val="Heading2"/>
      </w:pPr>
      <w:r>
        <w:t>Door-to-Balloon-Zeit, Komplikationen und Verweildauer bei STEMI</w:t>
      </w:r>
    </w:p>
    <w:p>
      <w:r>
        <w:rPr>
          <w:i/>
          <w:color w:val="666666"/>
          <w:sz w:val="18"/>
        </w:rPr>
        <w:t>Eid AbuRuz M et al.  ·  J Clin Med  ·  26.07.2026  ·  PMID 42589943</w:t>
      </w:r>
    </w:p>
    <w:p>
      <w:r>
        <w:t>Diese prospektive Beobachtungsstudie untersuchte, ob die Door-to-Balloon-Zeit (D2B) bei ST-Hebungs-Myokardinfarkt (STEMI) postoperative Komplikationen und Krankenhausverweildauer vorhersagt.</w:t>
      </w:r>
    </w:p>
    <w:p>
      <w:r>
        <w:rPr>
          <w:b/>
        </w:rPr>
        <w:t xml:space="preserve">Ergebnis: </w:t>
      </w:r>
      <w:r>
        <w:t>Eine verzögerte D2B-Zeit (≥2 h) war mit 2,22-fach erhöhtem Komplikationsrisiko assoziiert; jede zusätzliche Stunde Verzögerung führte zu 0,294 Tagen mehr Krankenhausaufenthalt. Ein Median D2B von 108 Minuten wurde beobachtet (IQR 65–395).</w:t>
      </w:r>
    </w:p>
    <w:p>
      <w:r>
        <w:rPr>
          <w:color w:val="5A7D3A"/>
          <w:sz w:val="18"/>
        </w:rPr>
        <w:t>https://pubmed.ncbi.nlm.nih.gov/42589943/</w:t>
      </w:r>
    </w:p>
    <w:p>
      <w:pPr>
        <w:pStyle w:val="Heading2"/>
      </w:pPr>
      <w:r>
        <w:t>Simulation der Effekte von Mindestfallzahl-Schwellenwerten auf die geografische Erreichbarkeit neurochirurgischer Kliniken in Deutschland</w:t>
      </w:r>
    </w:p>
    <w:p>
      <w:r>
        <w:rPr>
          <w:i/>
          <w:color w:val="666666"/>
          <w:sz w:val="18"/>
        </w:rPr>
        <w:t>Mayer S et al.  ·  Healthcare (Basel)  ·  06.08.2026  ·  PMID 42588405</w:t>
      </w:r>
    </w:p>
    <w:p>
      <w:r>
        <w:t>Diese Simulationsstudie untersuchte die Auswirkungen unterschiedlicher Mindestfallzahl-Schwellenwerte auf die geografische Erreichbarkeit neurochirurgischer Versorgung in Deutschland.</w:t>
      </w:r>
    </w:p>
    <w:p>
      <w:r>
        <w:rPr>
          <w:b/>
        </w:rPr>
        <w:t xml:space="preserve">Ergebnis: </w:t>
      </w:r>
      <w:r>
        <w:t>Basale Erreichbarkeit innerhalb 40 Minuten Fahrtzeit (A2N40) betrug 66,6 % der Fläche und 84,7 % der Bevölkerung. Eine Erhöhung um einen Perzentilpunkt der Fallzahl-Schwelle reduzierte A2N40 um durchschnittlich 0,70 Prozentpunkte, was etwa 305.000 zusätzliche Menschen betrifft.</w:t>
      </w:r>
    </w:p>
    <w:p>
      <w:r>
        <w:rPr>
          <w:color w:val="5A7D3A"/>
          <w:sz w:val="18"/>
        </w:rPr>
        <w:t>https://pubmed.ncbi.nlm.nih.gov/42588405/</w:t>
      </w:r>
    </w:p>
    <w:p>
      <w:pPr>
        <w:pStyle w:val="Heading2"/>
      </w:pPr>
      <w:r>
        <w:t>Evaluation eines Stärkenbasierten Resilienz-Programms auf Widerstandskraft, wahrgenommenen Stress und depressive Symptome bei Schülern in Thailand</w:t>
      </w:r>
    </w:p>
    <w:p>
      <w:r>
        <w:rPr>
          <w:i/>
          <w:color w:val="666666"/>
          <w:sz w:val="18"/>
        </w:rPr>
        <w:t>Na Nakorn S et al.  ·  Healthcare (Basel)  ·  01.08.2026  ·  PMID 42588304</w:t>
      </w:r>
    </w:p>
    <w:p>
      <w:r>
        <w:t>Diese quasi-experimentelle Single-Group-Studie evaluierte ein sechswöchiges Resilienz-Programm bei 26 sekundarschul-Schülern mit Messungen zu Baseline, direkt nach Intervention und nach einem Monat.</w:t>
      </w:r>
    </w:p>
    <w:p>
      <w:r>
        <w:rPr>
          <w:b/>
        </w:rPr>
        <w:t xml:space="preserve">Ergebnis: </w:t>
      </w:r>
      <w:r>
        <w:t>Resilienz stieg von M=64,00 (Baseline) auf M=76,46 (direkt post) und M=78,19 (ein Monat später; p&amp;lt;0,001, η²=0,752). Wahrgenommener Stress sank von M=20,62 auf M=13,04 und M=9,62 (p&amp;lt;0,001, η²=0,808). Depressive Symptome sanken von M=7,27 auf M=5,81 und M=4,88 (p&amp;lt;0,001, η²=0,371).</w:t>
      </w:r>
    </w:p>
    <w:p>
      <w:r>
        <w:rPr>
          <w:color w:val="5A7D3A"/>
          <w:sz w:val="18"/>
        </w:rPr>
        <w:t>https://pubmed.ncbi.nlm.nih.gov/42588304/</w:t>
      </w:r>
    </w:p>
    <w:p>
      <w:pPr>
        <w:pStyle w:val="Heading2"/>
      </w:pPr>
      <w:r>
        <w:t>Kürzere Verweildauer nach risikoarmem Kaiserschnitt</w:t>
      </w:r>
    </w:p>
    <w:p>
      <w:r>
        <w:rPr>
          <w:i/>
          <w:color w:val="666666"/>
          <w:sz w:val="18"/>
        </w:rPr>
        <w:t>Su WG et al.  ·  BMJ Open Qual  ·  12.08.2026  ·  PMID 42586586</w:t>
      </w:r>
    </w:p>
    <w:p>
      <w:r>
        <w:t>Qualitätsverbesserungsprojekt zur Entlassung am dritten Tag nach risikoarmem Kaiserschnitt.</w:t>
      </w:r>
    </w:p>
    <w:p>
      <w:r>
        <w:rPr>
          <w:b/>
        </w:rPr>
        <w:t xml:space="preserve">Ergebnis: </w:t>
      </w:r>
      <w:r>
        <w:t>Die Entlassungsrate am dritten Tag stieg von 80,0 % (n = 352) auf 84,5 % (n = 241), nach dem gebündelten Maßnahmenpaket von 83,3 % auf 92,5 %; geschätzte Einsparung 70.884 SGD. Standardisierte Abläufe verkürzen die Liegezeit ohne Qualitätsverlust.</w:t>
      </w:r>
    </w:p>
    <w:p>
      <w:r>
        <w:rPr>
          <w:color w:val="5A7D3A"/>
          <w:sz w:val="18"/>
        </w:rPr>
        <w:t>https://pubmed.ncbi.nlm.nih.gov/42586586/</w:t>
      </w:r>
    </w:p>
    <w:p>
      <w:pPr>
        <w:pStyle w:val="Heading2"/>
      </w:pPr>
      <w:r>
        <w:t>Entwicklung und Validierung des N-DROP-Scores zur Vorhersage der 30-Tage-Sterblichkeit bei Pflegeheim-assoziierten Pneumonien</w:t>
      </w:r>
    </w:p>
    <w:p>
      <w:r>
        <w:rPr>
          <w:i/>
          <w:color w:val="666666"/>
          <w:sz w:val="18"/>
        </w:rPr>
        <w:t>Taniguchi J et al.  ·  J Infect Chemother  ·  12.08.2026  ·  PMID 42586261</w:t>
      </w:r>
    </w:p>
    <w:p>
      <w:r>
        <w:t>Diese Studie entwickelte mittels LASSO-Regression ein verbessertes Modell zur Vorhersage der in-Hospital-Sterblichkeit bei Pflegeheim-assoziierten Pneumonien (NHCAP) basierend auf Faktoren jenseits des klassischen A-DROP-Scores.</w:t>
      </w:r>
    </w:p>
    <w:p>
      <w:r>
        <w:rPr>
          <w:b/>
        </w:rPr>
        <w:t xml:space="preserve">Ergebnis: </w:t>
      </w:r>
      <w:r>
        <w:t>Die 30-Tage-Sterblichkeit in 116.185 Patienten betrug 11,7 %. Der N-DROP-Score zeigte verbesserte Diskriminationsfähigkeit (C-Statistik 0,746; 95 % KI 0,734–0,757) gegenüber A-DROP (0,708; 95 % KI 0,695–0,720; p&amp;lt;0,001).</w:t>
      </w:r>
    </w:p>
    <w:p>
      <w:r>
        <w:rPr>
          <w:color w:val="5A7D3A"/>
          <w:sz w:val="18"/>
        </w:rPr>
        <w:t>https://pubmed.ncbi.nlm.nih.gov/42586261/</w:t>
      </w:r>
    </w:p>
    <w:p>
      <w:pPr>
        <w:pStyle w:val="Heading2"/>
      </w:pPr>
      <w:r>
        <w:t>Wertbasierte Vergütung in der Primärversorgung und Low-Value Care</w:t>
      </w:r>
    </w:p>
    <w:p>
      <w:r>
        <w:rPr>
          <w:i/>
          <w:color w:val="666666"/>
          <w:sz w:val="18"/>
        </w:rPr>
        <w:t>Izguttinov A et al.  ·  Health Serv Res  ·  Aug. 2026  ·  PMID 42584215</w:t>
      </w:r>
    </w:p>
    <w:p>
      <w:r>
        <w:t>Untersuchung, ob die Einführung wertbasierter Vergütung in Hausarztpraxen unnötige Leistungen reduziert.</w:t>
      </w:r>
    </w:p>
    <w:p>
      <w:r>
        <w:rPr>
          <w:b/>
        </w:rPr>
        <w:t xml:space="preserve">Ergebnis: </w:t>
      </w:r>
      <w:r>
        <w:t>Über 33,6 Mio. Versichertenmonate (1,34 Mio. Versicherte, 7.903 Praxen) blieben die Unterschiede ohne statistische Signifikanz: Bildgebung bei Fersensporn 31,2 % gegenüber 28,9 %, bei Kopfschmerz 14,8 % gegenüber 14,5 %, bei Rückenschmerz je 13,8 %. Vergütungsanreize allein senken Low-Value Care offenbar nicht.</w:t>
      </w:r>
    </w:p>
    <w:p>
      <w:r>
        <w:rPr>
          <w:color w:val="5A7D3A"/>
          <w:sz w:val="18"/>
        </w:rPr>
        <w:t>https://pubmed.ncbi.nlm.nih.gov/42584215/</w:t>
      </w:r>
    </w:p>
    <w:p>
      <w:pPr>
        <w:pStyle w:val="Heading2"/>
      </w:pPr>
      <w:r>
        <w:t>Inanspruchnahme und Kosten bei Long COVID (England und Wales)</w:t>
      </w:r>
    </w:p>
    <w:p>
      <w:r>
        <w:rPr>
          <w:i/>
          <w:color w:val="666666"/>
          <w:sz w:val="18"/>
        </w:rPr>
        <w:t>Dashtban A et al.  ·  J R Soc Med  ·  12.08.2026  ·  PMID 42584205</w:t>
      </w:r>
    </w:p>
    <w:p>
      <w:r>
        <w:t>Vergleich von Versorgungskosten und Arztkontakten zwischen Long-COVID-Betroffenen und Kontrollpersonen.</w:t>
      </w:r>
    </w:p>
    <w:p>
      <w:r>
        <w:rPr>
          <w:b/>
        </w:rPr>
        <w:t xml:space="preserve">Ergebnis: </w:t>
      </w:r>
      <w:r>
        <w:t>Die mittleren Jahreskosten lagen in Wales bei 6.681,60 £ gegenüber 2.039,90 £ (3,27-fach), in England bei 3.378,30 £ gegenüber 1.355,80 £ (2,49-fach); Wales verzeichnete einen um 25 % stärkeren relativen Kostenanstieg (Verhältnis 1,25; 95%-KI 1,09–1,42). Die Versorgungslast fällt regional deutlich unterschiedlich aus.</w:t>
      </w:r>
    </w:p>
    <w:p>
      <w:r>
        <w:rPr>
          <w:color w:val="5A7D3A"/>
          <w:sz w:val="18"/>
        </w:rPr>
        <w:t>https://pubmed.ncbi.nlm.nih.gov/42584205/</w:t>
      </w:r>
    </w:p>
    <w:p>
      <w:pPr>
        <w:pStyle w:val="Heading2"/>
      </w:pPr>
      <w:r>
        <w:t>Eigenbesitz an Zusatzleistungen und Testhäufigkeit in Urologiepraxen</w:t>
      </w:r>
    </w:p>
    <w:p>
      <w:r>
        <w:rPr>
          <w:i/>
          <w:color w:val="666666"/>
          <w:sz w:val="18"/>
        </w:rPr>
        <w:t>Srivastava A et al.  ·  Med Care  ·  12.08.2026  ·  PMID 42583905</w:t>
      </w:r>
    </w:p>
    <w:p>
      <w:r>
        <w:t>Analyse, ob unternehmerische Beteiligung von Urologiepraxen an Zusatzleistungen die Zahl angeordneter Tests erhöht.</w:t>
      </w:r>
    </w:p>
    <w:p>
      <w:r>
        <w:rPr>
          <w:b/>
        </w:rPr>
        <w:t xml:space="preserve">Ergebnis: </w:t>
      </w:r>
      <w:r>
        <w:t>20,6 % der Praxen (706 von 3.430) besaßen eigene Zusatzleistungen; pro 10 Punkte auf dem Unternehmerindex stiegen bei 49.285 Männern die Chancen für Urinuntersuchungen auf das 1,13-Fache (95%-KI 1,09–1,18; p &lt; 0,001) und für nicht indikationsbezogene Tests auf das 1,21-Fache (95%-KI 1,15–1,27; p &lt; 0,001). Finanzielle Eigeninteressen schlagen messbar auf die Leistungsmenge durch.</w:t>
      </w:r>
    </w:p>
    <w:p>
      <w:r>
        <w:rPr>
          <w:color w:val="5A7D3A"/>
          <w:sz w:val="18"/>
        </w:rPr>
        <w:t>https://pubmed.ncbi.nlm.nih.gov/42583905/</w:t>
      </w:r>
    </w:p>
    <w:p>
      <w:pPr>
        <w:pStyle w:val="Heading2"/>
      </w:pPr>
      <w:r>
        <w:t>Soziale Bedarfe und Versorgungszugang nach Kostenträger</w:t>
      </w:r>
    </w:p>
    <w:p>
      <w:r>
        <w:rPr>
          <w:i/>
          <w:color w:val="666666"/>
          <w:sz w:val="18"/>
        </w:rPr>
        <w:t>Wang VH et al.  ·  Med Care  ·  10.08.2026  ·  PMID 42583901</w:t>
      </w:r>
    </w:p>
    <w:p>
      <w:r>
        <w:t>Querschnittsanalyse, wie häufig gesundheitsbezogene soziale Bedarfe je nach Versicherungsart auftreten und den Zugang zur Versorgung beeinflussen.</w:t>
      </w:r>
    </w:p>
    <w:p>
      <w:r>
        <w:rPr>
          <w:b/>
        </w:rPr>
        <w:t xml:space="preserve">Ergebnis: </w:t>
      </w:r>
      <w:r>
        <w:t>Unter 126.490 Befragten war Ernährungsunsicherheit bei Medicaid-Versicherten mit 49,20 % weit häufiger als bei privat (11,89 %) oder über Medicare (5,20 %) Versicherten; Wohnungsunsicherheit lag bei 54,61 %, 25,18 % und 14,99 %. Ernährungsunsicherheit ging in allen Gruppen mit häufiger unterlassener Versorgung einher.</w:t>
      </w:r>
    </w:p>
    <w:p>
      <w:r>
        <w:rPr>
          <w:color w:val="5A7D3A"/>
          <w:sz w:val="18"/>
        </w:rPr>
        <w:t>https://pubmed.ncbi.nlm.nih.gov/42583901/</w:t>
      </w:r>
    </w:p>
    <w:p>
      <w:pPr>
        <w:pStyle w:val="Heading2"/>
      </w:pPr>
      <w:r>
        <w:t>Leitlinientreue in der Nachsorge nach akuter Nierenschädigung</w:t>
      </w:r>
    </w:p>
    <w:p>
      <w:r>
        <w:rPr>
          <w:i/>
          <w:color w:val="666666"/>
          <w:sz w:val="18"/>
        </w:rPr>
        <w:t>Mok PLH et al.  ·  BMC Med  ·  12.08.2026  ·  PMID 42581362</w:t>
      </w:r>
    </w:p>
    <w:p>
      <w:r>
        <w:t>Routinedatenanalyse zur Frage, wie konsequent die empfohlene Nachsorge nach akuter Nierenschädigung umgesetzt wird.</w:t>
      </w:r>
    </w:p>
    <w:p>
      <w:r>
        <w:rPr>
          <w:b/>
        </w:rPr>
        <w:t xml:space="preserve">Ergebnis: </w:t>
      </w:r>
      <w:r>
        <w:t>Bei 209.222 Patientinnen und Patienten (279.187 Episoden) wurde die Nierenschädigung nur in 19,5 % kodiert (95%-KI 18,5–20,5); 72,6 % hatten Hausarztkontakt, aber nur 34,2 % eine Kreatininkontrolle nach 90 Tagen und 4,2 % eine Albumin-Kreatinin-Bestimmung. Die empfohlene Nachsorge findet weitgehend nicht statt.</w:t>
      </w:r>
    </w:p>
    <w:p>
      <w:r>
        <w:rPr>
          <w:color w:val="5A7D3A"/>
          <w:sz w:val="18"/>
        </w:rPr>
        <w:t>https://pubmed.ncbi.nlm.nih.gov/42581362/</w:t>
      </w:r>
    </w:p>
    <w:p>
      <w:pPr>
        <w:pStyle w:val="Heading1"/>
      </w:pPr>
      <w:r>
        <w:t>Aufgenommen am 10.08.2026</w:t>
      </w:r>
    </w:p>
    <w:p>
      <w:pPr>
        <w:pStyle w:val="Heading2"/>
      </w:pPr>
      <w:r>
        <w:t>ConcePTION-Algorithmus: Schwangerschaften in Routinedaten erkennen</w:t>
      </w:r>
    </w:p>
    <w:p>
      <w:r>
        <w:rPr>
          <w:i/>
          <w:color w:val="666666"/>
          <w:sz w:val="18"/>
        </w:rPr>
        <w:t>Limoncella G et al.  ·  Pharmacoepidemiol Drug Saf  ·  Aug. 2026  ·  PMID 42571911</w:t>
      </w:r>
    </w:p>
    <w:p>
      <w:r>
        <w:t>Entwicklung und Anwendung eines Algorithmus, der Schwangerschaften in bevölkerungsbezogenen Gesundheitsdatenbanken identifiziert.</w:t>
      </w:r>
    </w:p>
    <w:p>
      <w:r>
        <w:rPr>
          <w:b/>
        </w:rPr>
        <w:t xml:space="preserve">Ergebnis: </w:t>
      </w:r>
      <w:r>
        <w:t>Über 10 europäische Datenbanken wurden rund 2,7 Mio. Schwangerschaften erkannt; 50–83 % endeten in Lebendgeburten, 4–10 % in Fehlgeburten. Das Gestationsalter war für 6–89 % der Datensätze schätzbar (RMSE 17–50 Tage). Das verbessert die Nutzung von Routinedaten für die Arzneimittelsicherheit in der Schwangerschaft.</w:t>
      </w:r>
    </w:p>
    <w:p>
      <w:r>
        <w:rPr>
          <w:color w:val="5A7D3A"/>
          <w:sz w:val="18"/>
        </w:rPr>
        <w:t>https://pubmed.ncbi.nlm.nih.gov/42571911/</w:t>
      </w:r>
    </w:p>
    <w:p>
      <w:pPr>
        <w:pStyle w:val="Heading2"/>
      </w:pPr>
      <w:r>
        <w:t>Wartezeit von Diagnose bis Operation beim Zervixkarzinom</w:t>
      </w:r>
    </w:p>
    <w:p>
      <w:r>
        <w:rPr>
          <w:i/>
          <w:color w:val="666666"/>
          <w:sz w:val="18"/>
        </w:rPr>
        <w:t>Jalink M et al.  ·  Cancer Epidemiol  ·  04.08.2026  ·  PMID 42551070</w:t>
      </w:r>
    </w:p>
    <w:p>
      <w:r>
        <w:t>Kohortenstudie zum Zusammenhang zwischen dem Intervall Diagnose–Operation und dem Gesamtüberleben.</w:t>
      </w:r>
    </w:p>
    <w:p>
      <w:r>
        <w:rPr>
          <w:b/>
        </w:rPr>
        <w:t xml:space="preserve">Ergebnis: </w:t>
      </w:r>
      <w:r>
        <w:t>Bei 1.501 Patientinnen (mediane Wartezeit 80 Tage) war ein sehr kurzes Intervall (2–6 Wochen) mit erhöhtem Sterberisiko verbunden (HR 2,33; 95%-KI 1,14–4,77) gegenüber 10–14 Wochen; das Muster war U-förmig. Sowohl sehr kurze als auch sehr lange Wartezeiten erscheinen ungünstig.</w:t>
      </w:r>
    </w:p>
    <w:p>
      <w:r>
        <w:rPr>
          <w:color w:val="5A7D3A"/>
          <w:sz w:val="18"/>
        </w:rPr>
        <w:t>https://pubmed.ncbi.nlm.nih.gov/42551070/</w:t>
      </w:r>
    </w:p>
    <w:p>
      <w:pPr>
        <w:pStyle w:val="Heading1"/>
      </w:pPr>
      <w:r>
        <w:t>Aufgenommen am 09.08.2026</w:t>
      </w:r>
    </w:p>
    <w:p>
      <w:pPr>
        <w:pStyle w:val="Heading2"/>
      </w:pPr>
      <w:r>
        <w:t>Aufhörversuche beim Shisha-Rauchen junger Erwachsener in Deutschland</w:t>
      </w:r>
    </w:p>
    <w:p>
      <w:r>
        <w:rPr>
          <w:i/>
          <w:color w:val="666666"/>
          <w:sz w:val="18"/>
        </w:rPr>
        <w:t>Fedler C et al.  ·  Tob Use Insights  ·  07.08.2026  ·  PMID 42571166</w:t>
      </w:r>
    </w:p>
    <w:p>
      <w:r>
        <w:t>Befragung zu Aufhörverhalten und dessen Prädiktoren bei jungen Shisha-Rauchenden in Deutschland.</w:t>
      </w:r>
    </w:p>
    <w:p>
      <w:r>
        <w:rPr>
          <w:b/>
        </w:rPr>
        <w:t xml:space="preserve">Ergebnis: </w:t>
      </w:r>
      <w:r>
        <w:t>Nur 14,6 % (95%-KI 11,9–17,8) hatten je einen Aufhörversuch unternommen; die wahrgenommene Abhängigkeit war der einzige signifikante Prädiktor. Präventions- und Entwöhnungsangebote erreichen die Gruppe bislang kaum.</w:t>
      </w:r>
    </w:p>
    <w:p>
      <w:r>
        <w:rPr>
          <w:color w:val="5A7D3A"/>
          <w:sz w:val="18"/>
        </w:rPr>
        <w:t>https://pubmed.ncbi.nlm.nih.gov/42571166/</w:t>
      </w:r>
    </w:p>
    <w:p>
      <w:pPr>
        <w:pStyle w:val="Heading2"/>
      </w:pPr>
      <w:r>
        <w:t>Determinanten der Teilnahme am Mammographie-Screening (Ankara, Türkei)</w:t>
      </w:r>
    </w:p>
    <w:p>
      <w:r>
        <w:rPr>
          <w:i/>
          <w:color w:val="666666"/>
          <w:sz w:val="18"/>
        </w:rPr>
        <w:t>Topcu FB et al.  ·  BMC Health Serv Res  ·  07.08.2026  ·  PMID 42571012</w:t>
      </w:r>
    </w:p>
    <w:p>
      <w:r>
        <w:t>Querschnittstudie zu Faktoren, die die Inanspruchnahme der Brustkrebs-Früherkennung bei Frauen beeinflussen.</w:t>
      </w:r>
    </w:p>
    <w:p>
      <w:r>
        <w:rPr>
          <w:b/>
        </w:rPr>
        <w:t xml:space="preserve">Ergebnis: </w:t>
      </w:r>
      <w:r>
        <w:t>Frauen, die Screening-Programme kannten, nahmen 8,5-mal häufiger teil; nach früherer anderer Krebsfrüherkennung 5,5-mal häufiger; eine chronische Erkrankung verdoppelte die Chance. Bekanntheit und Aufklärung sind die zentralen Hebel.</w:t>
      </w:r>
    </w:p>
    <w:p>
      <w:r>
        <w:rPr>
          <w:color w:val="5A7D3A"/>
          <w:sz w:val="18"/>
        </w:rPr>
        <w:t>https://pubmed.ncbi.nlm.nih.gov/42571012/</w:t>
      </w:r>
    </w:p>
    <w:p>
      <w:pPr>
        <w:pStyle w:val="Heading2"/>
      </w:pPr>
      <w:r>
        <w:t>Therapieunterbrechende Systemfehler der Heim-Peritonealdialyse (HomeChoice-Cycler)</w:t>
      </w:r>
    </w:p>
    <w:p>
      <w:r>
        <w:rPr>
          <w:i/>
          <w:color w:val="666666"/>
          <w:sz w:val="18"/>
        </w:rPr>
        <w:t>Albert A et al.  ·  BMC Health Serv Res  ·  08.08.2026  ·  PMID 42571003</w:t>
      </w:r>
    </w:p>
    <w:p>
      <w:r>
        <w:t>Analyse technischer Fehler bei der Heimdialyse und ihrer Häufigkeit im Versorgungsalltag.</w:t>
      </w:r>
    </w:p>
    <w:p>
      <w:r>
        <w:rPr>
          <w:b/>
        </w:rPr>
        <w:t xml:space="preserve">Ergebnis: </w:t>
      </w:r>
      <w:r>
        <w:t>49 verschiedene Fehlertypen in 138 Vorfällen; Druckkammer-Fehler machten 21,7 % aus; Fehler traten in unter 0,25 % der Behandlungssitzungen auf. Die Heimtechnik ist überwiegend zuverlässig; einzelne Fehlerquellen sind gezielt adressierbar.</w:t>
      </w:r>
    </w:p>
    <w:p>
      <w:r>
        <w:rPr>
          <w:color w:val="5A7D3A"/>
          <w:sz w:val="18"/>
        </w:rPr>
        <w:t>https://pubmed.ncbi.nlm.nih.gov/42571003/</w:t>
      </w:r>
    </w:p>
    <w:p>
      <w:pPr>
        <w:pStyle w:val="Heading2"/>
      </w:pPr>
      <w:r>
        <w:t>Lebensqualität nach risikoreduzierender Hysterektomie</w:t>
      </w:r>
    </w:p>
    <w:p>
      <w:r>
        <w:rPr>
          <w:i/>
          <w:color w:val="666666"/>
          <w:sz w:val="18"/>
        </w:rPr>
        <w:t>Oxley S et al.  ·  Gynecol Oncol  ·  08.08.2026  ·  PMID 42570385</w:t>
      </w:r>
    </w:p>
    <w:p>
      <w:r>
        <w:t>Untersuchung der gesundheitsbezogenen Lebensqualität (Nutzwerte) nach vorbeugender Gebärmutterentfernung.</w:t>
      </w:r>
    </w:p>
    <w:p>
      <w:r>
        <w:rPr>
          <w:b/>
        </w:rPr>
        <w:t xml:space="preserve">Ergebnis: </w:t>
      </w:r>
      <w:r>
        <w:t>Mittlere Nutzwerte lagen je nach Eingriff und Zeitpunkt zwischen 0,670 und 0,942, mit signifikanten Gruppenunterschieden (p &lt; 0,001). Art und Zeitpunkt des Eingriffs beeinflussen die Lebensqualität deutlich.</w:t>
      </w:r>
    </w:p>
    <w:p>
      <w:r>
        <w:rPr>
          <w:color w:val="5A7D3A"/>
          <w:sz w:val="18"/>
        </w:rPr>
        <w:t>https://pubmed.ncbi.nlm.nih.gov/42570385/</w:t>
      </w:r>
    </w:p>
    <w:p>
      <w:pPr>
        <w:pStyle w:val="Heading2"/>
      </w:pPr>
      <w:r>
        <w:t>Orale Antikoagulation und neu auftretende Demenz bei Vorhofflimmern</w:t>
      </w:r>
    </w:p>
    <w:p>
      <w:r>
        <w:rPr>
          <w:i/>
          <w:color w:val="666666"/>
          <w:sz w:val="18"/>
        </w:rPr>
        <w:t>Belachew EA et al.  ·  Geroscience  ·  08.08.2026  ·  PMID 42570194</w:t>
      </w:r>
    </w:p>
    <w:p>
      <w:r>
        <w:t>Real-World-Kohortenstudie zum Zusammenhang zwischen Art des Gerinnungshemmers und Demenzrisiko.</w:t>
      </w:r>
    </w:p>
    <w:p>
      <w:r>
        <w:rPr>
          <w:b/>
        </w:rPr>
        <w:t xml:space="preserve">Ergebnis: </w:t>
      </w:r>
      <w:r>
        <w:t>DOAK gingen mit geringerem Demenzrisiko einher (HR 0,63; 95%-KI 0,56–0,70), Warfarin mit höherem Risiko (HR 1,31; 95%-KI 1,16–1,49). Die Wirkstoffwahl könnte für die kognitive Langzeitprognose bedeutsam sein.</w:t>
      </w:r>
    </w:p>
    <w:p>
      <w:r>
        <w:rPr>
          <w:color w:val="5A7D3A"/>
          <w:sz w:val="18"/>
        </w:rPr>
        <w:t>https://pubmed.ncbi.nlm.nih.gov/42570194/</w:t>
      </w:r>
    </w:p>
    <w:p>
      <w:pPr>
        <w:pStyle w:val="Heading2"/>
      </w:pPr>
      <w:r>
        <w:t>Adhärenz zu Bewegungsleitlinien bei US-Krebsüberlebenden</w:t>
      </w:r>
    </w:p>
    <w:p>
      <w:r>
        <w:rPr>
          <w:i/>
          <w:color w:val="666666"/>
          <w:sz w:val="18"/>
        </w:rPr>
        <w:t>Kumar G et al.  ·  J Cancer Surviv  ·  08.08.2026  ·  PMID 42570052</w:t>
      </w:r>
    </w:p>
    <w:p>
      <w:r>
        <w:t>Auswertung landesweiter Surveydaten zur Einhaltung der Empfehlungen für körperliche Aktivität über die Zeit.</w:t>
      </w:r>
    </w:p>
    <w:p>
      <w:r>
        <w:rPr>
          <w:b/>
        </w:rPr>
        <w:t xml:space="preserve">Ergebnis: </w:t>
      </w:r>
      <w:r>
        <w:t>Die Adhärenz stieg von 9,2 % (2010) auf 22,0 % (2015) und fiel bis 2020 wieder auf 8,7 %. Anhaltend niedrige, zuletzt rückläufige Werte weisen auf Versorgungslücken in der Bewegungsförderung hin.</w:t>
      </w:r>
    </w:p>
    <w:p>
      <w:r>
        <w:rPr>
          <w:color w:val="5A7D3A"/>
          <w:sz w:val="18"/>
        </w:rPr>
        <w:t>https://pubmed.ncbi.nlm.nih.gov/42570052/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Versorgungsforschung</dc:title>
  <dc:subject/>
  <dc:creator>Monitor Versorgungsforschung</dc:creator>
  <cp:keywords/>
  <dc:description>generated by python-docx</dc:description>
  <cp:lastModifiedBy/>
  <cp:revision>1</cp:revision>
  <dcterms:created xsi:type="dcterms:W3CDTF">2026-10-19T06:00:00Z</dcterms:created>
  <dcterms:modified xsi:type="dcterms:W3CDTF">2026-10-19T06:00:00Z</dcterms:modified>
  <cp:category/>
</cp:coreProperties>
</file>