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Neueste Studien der Versorgungsforschung</w:t>
      </w:r>
    </w:p>
    <w:p>
      <w:r>
        <w:rPr>
          <w:i/>
          <w:color w:val="666666"/>
          <w:sz w:val="18"/>
        </w:rPr>
        <w:t>Stand: 14.08.2026  |  5 Studien  |  wissen.m-vf.de</w:t>
      </w:r>
    </w:p>
    <w:p>
      <w:pPr>
        <w:pStyle w:val="Heading1"/>
      </w:pPr>
      <w:r>
        <w:t>Aufgenommen am 14.08.2026</w:t>
      </w:r>
    </w:p>
    <w:p>
      <w:pPr>
        <w:pStyle w:val="Heading2"/>
      </w:pPr>
      <w:r>
        <w:t>Dokumentationslücke bei eingeschränkter Gelenkbeweglichkeit in Pflegeheimen</w:t>
      </w:r>
    </w:p>
    <w:p>
      <w:r>
        <w:rPr>
          <w:i/>
          <w:color w:val="666666"/>
          <w:sz w:val="18"/>
        </w:rPr>
        <w:t>J Am Med Dir Assoc 2026  ·  PMID 42594509</w:t>
      </w:r>
    </w:p>
    <w:p>
      <w:r>
        <w:t>Die Studie untersuchte die Dokumentation von Gelenkbewegungseinschränkungen und schmerzenden Gelenken bei Pflegeheimbewohnern im Vergleich zur standardisierten klinischen Untersuchung.</w:t>
      </w:r>
    </w:p>
    <w:p>
      <w:r>
        <w:rPr>
          <w:b/>
        </w:rPr>
        <w:t xml:space="preserve">Ergebnis: </w:t>
      </w:r>
      <w:r>
        <w:t>Bei 69% der Bewohner wurde eine eingeschränkte Gelenkbeweglichkeit festgestellt, aber nur in 4% der Fälle dokumentiert. Die Hüftbeweglichkeit war in 51% der Fälle limitiert, wurde aber in keinem Fall dokumentiert. Bewohner mit nicht dokumentierten Bewegungseinschränkungen zeigten signifikant höhere funktionelle Abhängigkeit beim Umlagern (p &lt; 0,001).</w:t>
      </w:r>
    </w:p>
    <w:p>
      <w:r>
        <w:rPr>
          <w:color w:val="5A7D3A"/>
          <w:sz w:val="18"/>
        </w:rPr>
        <w:t>https://pubmed.ncbi.nlm.nih.gov/42594509/</w:t>
      </w:r>
    </w:p>
    <w:p>
      <w:pPr>
        <w:pStyle w:val="Heading2"/>
      </w:pPr>
      <w:r>
        <w:t>Emotionale Belastung durch Alarme bei Diabetes-Technologien</w:t>
      </w:r>
    </w:p>
    <w:p>
      <w:r>
        <w:rPr>
          <w:i/>
          <w:color w:val="666666"/>
          <w:sz w:val="18"/>
        </w:rPr>
        <w:t>JMIR Diabetes 2026  ·  PMID 42594259</w:t>
      </w:r>
    </w:p>
    <w:p>
      <w:r>
        <w:t>Die Studie verglich die Alarmhäufigkeit, emotionale Belastung und Verhaltensreaktionen auf Alarme zwischen Nutzern von kontinuierlichen Glukosemessgeräten, sensorunterstützten Pumpen und automatisierten Insulinabgabesystemen.</w:t>
      </w:r>
    </w:p>
    <w:p>
      <w:r>
        <w:rPr>
          <w:b/>
        </w:rPr>
        <w:t xml:space="preserve">Ergebnis: </w:t>
      </w:r>
      <w:r>
        <w:t>Von 838 Befragten berichteten Nutzer von automatisierten Systemen die höchste Alarmfrequenz (49% mehrmals täglich vs. 35% bzw. 32% in anderen Gruppen, p &lt; 0,001). Nach Adjustment zeigte sich ein erhöhtes Risiko für häufige Alarme (OR 1,98, 95% KI 1,48–2,65) und Überkorrektionen bei niedriger Glukose (OR 1,61, 95% KI 1,20–2,15) bei automatisierten Systemen.</w:t>
      </w:r>
    </w:p>
    <w:p>
      <w:r>
        <w:rPr>
          <w:color w:val="5A7D3A"/>
          <w:sz w:val="18"/>
        </w:rPr>
        <w:t>https://pubmed.ncbi.nlm.nih.gov/42594259/</w:t>
      </w:r>
    </w:p>
    <w:p>
      <w:pPr>
        <w:pStyle w:val="Heading2"/>
      </w:pPr>
      <w:r>
        <w:t>Chronic Kidney Disease Care Model zur Verbesserung von Patientenergebnissen</w:t>
      </w:r>
    </w:p>
    <w:p>
      <w:r>
        <w:rPr>
          <w:i/>
          <w:color w:val="666666"/>
          <w:sz w:val="18"/>
        </w:rPr>
        <w:t>Pharmacoecon Open 2026  ·  PMID 42593670</w:t>
      </w:r>
    </w:p>
    <w:p>
      <w:r>
        <w:t>Die Studie beschreibt ein Entscheidungsmodell zur Quantifizierung von Managementstrategien bei chronischer Nierenerkrankung und deren Kosteneffektivität in den USA.</w:t>
      </w:r>
    </w:p>
    <w:p>
      <w:r>
        <w:rPr>
          <w:b/>
        </w:rPr>
        <w:t xml:space="preserve">Ergebnis: </w:t>
      </w:r>
      <w:r>
        <w:t>Unter Standardbehandlung werden 15% der Patienten von Ursachen unabhängig von Nierenerkrankung sterben (nach durchschnittlich 12 Jahren). Mit optimierter Behandlung erhöht sich dieser Anteil auf 20% (nach 14 Jahren). Leitliniengerechte Behandlung ohne Verzögerung führt zu 0,68 QALYs Lebenszeitgewinn bei Kosten von 47.800 USD pro Patient.</w:t>
      </w:r>
    </w:p>
    <w:p>
      <w:r>
        <w:rPr>
          <w:color w:val="5A7D3A"/>
          <w:sz w:val="18"/>
        </w:rPr>
        <w:t>https://pubmed.ncbi.nlm.nih.gov/42593670/</w:t>
      </w:r>
    </w:p>
    <w:p>
      <w:pPr>
        <w:pStyle w:val="Heading2"/>
      </w:pPr>
      <w:r>
        <w:t>Algorithmen zur Identifikation klinisch beabsichtigter Medikamentenabsetzungen</w:t>
      </w:r>
    </w:p>
    <w:p>
      <w:r>
        <w:rPr>
          <w:i/>
          <w:color w:val="666666"/>
          <w:sz w:val="18"/>
        </w:rPr>
        <w:t>Med Care 2026  ·  PMID 42593400</w:t>
      </w:r>
    </w:p>
    <w:p>
      <w:r>
        <w:t>Die Studie entwickelte algorithmische Verfahren zur Identifikation absichtlicher Medikamentenabsetzungen mittels Textsuche und klinischen Daten für fünf Arzneimittelgruppen.</w:t>
      </w:r>
    </w:p>
    <w:p>
      <w:r>
        <w:rPr>
          <w:b/>
        </w:rPr>
        <w:t xml:space="preserve">Ergebnis: </w:t>
      </w:r>
      <w:r>
        <w:t>Für die Validierungsstichproben betrugen Sensitivität und Spezifität für den vollständigen Algorithmus: orale Antidiabetika 80% und 85% (n=467), Statine 75% und 95% (n=282), Antihypertensiva 82% und 75% (n=599), Blasen-Antimuscarinergika 77% und 80% (n=80), Antikoagulanzien 74% und 78% (n=160).</w:t>
      </w:r>
    </w:p>
    <w:p>
      <w:r>
        <w:rPr>
          <w:color w:val="5A7D3A"/>
          <w:sz w:val="18"/>
        </w:rPr>
        <w:t>https://pubmed.ncbi.nlm.nih.gov/42593400/</w:t>
      </w:r>
    </w:p>
    <w:p>
      <w:pPr>
        <w:pStyle w:val="Heading2"/>
      </w:pPr>
      <w:r>
        <w:t>Mechanisch beatmete Kinder in pädiatrischen vs. allgemeinen Intensivstationen in Japan</w:t>
      </w:r>
    </w:p>
    <w:p>
      <w:r>
        <w:rPr>
          <w:i/>
          <w:color w:val="666666"/>
          <w:sz w:val="18"/>
        </w:rPr>
        <w:t>Front Pediatr 2026  ·  PMID 42591500</w:t>
      </w:r>
    </w:p>
    <w:p>
      <w:r>
        <w:t>Die Studie verglich klinische Ergebnisse mechanisch beatmeter Kinder in spezialisierten pädiatrischen Intensivstationen (PICU) versus allgemeinen Intensivstationen (GICU).</w:t>
      </w:r>
    </w:p>
    <w:p>
      <w:r>
        <w:rPr>
          <w:b/>
        </w:rPr>
        <w:t xml:space="preserve">Ergebnis: </w:t>
      </w:r>
      <w:r>
        <w:t>Von 48.106 Patienten wurden 36% auf PICUs behandelt. Nach Propensity-Score-Analyse zeigte PICU-Versorgung signifikant niedrigere Krankenhaussterblichkeit (2,73% vs. 3,42%; OR 0,79, 95% KI 0,69–0,91; p = 0,001), aber längere Gesamtaufenthalte (22,74 vs. 22,13 Tage; p &lt; 0,001).</w:t>
      </w:r>
    </w:p>
    <w:p>
      <w:r>
        <w:rPr>
          <w:color w:val="5A7D3A"/>
          <w:sz w:val="18"/>
        </w:rPr>
        <w:t>https://pubmed.ncbi.nlm.nih.gov/42591500/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der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2026-08-14T06:00:00Z</dcterms:created>
  <dcterms:modified xsi:type="dcterms:W3CDTF">2026-08-14T06:00:00Z</dcterms:modified>
  <cp:category/>
</cp:coreProperties>
</file>