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Studienarchiv Versorgungsforschung</w:t>
      </w:r>
    </w:p>
    <w:p>
      <w:r>
        <w:rPr>
          <w:i/>
          <w:color w:val="666666"/>
          <w:sz w:val="18"/>
        </w:rPr>
        <w:t>Stand: 14.08.2026  |  23 Studien  |  wissen.m-vf.de</w:t>
      </w:r>
    </w:p>
    <w:p>
      <w:pPr>
        <w:pStyle w:val="Heading1"/>
      </w:pPr>
      <w:r>
        <w:t>Aufgenommen am 14.08.2026</w:t>
      </w:r>
    </w:p>
    <w:p>
      <w:pPr>
        <w:pStyle w:val="Heading2"/>
      </w:pPr>
      <w:r>
        <w:t>Dokumentationslücke bei eingeschränkter Gelenkbeweglichkeit in Pflegeheimen</w:t>
      </w:r>
    </w:p>
    <w:p>
      <w:r>
        <w:rPr>
          <w:i/>
          <w:color w:val="666666"/>
          <w:sz w:val="18"/>
        </w:rPr>
        <w:t>J Am Med Dir Assoc 2026  ·  PMID 42594509</w:t>
      </w:r>
    </w:p>
    <w:p>
      <w:r>
        <w:t>Die Studie untersuchte die Dokumentation von Gelenkbewegungseinschränkungen und schmerzenden Gelenken bei Pflegeheimbewohnern im Vergleich zur standardisierten klinischen Untersuchung.</w:t>
      </w:r>
    </w:p>
    <w:p>
      <w:r>
        <w:rPr>
          <w:b/>
        </w:rPr>
        <w:t xml:space="preserve">Ergebnis: </w:t>
      </w:r>
      <w:r>
        <w:t>Bei 69% der Bewohner wurde eine eingeschränkte Gelenkbeweglichkeit festgestellt, aber nur in 4% der Fälle dokumentiert. Die Hüftbeweglichkeit war in 51% der Fälle limitiert, wurde aber in keinem Fall dokumentiert. Bewohner mit nicht dokumentierten Bewegungseinschränkungen zeigten signifikant höhere funktionelle Abhängigkeit beim Umlagern (p &lt; 0,001).</w:t>
      </w:r>
    </w:p>
    <w:p>
      <w:r>
        <w:rPr>
          <w:color w:val="5A7D3A"/>
          <w:sz w:val="18"/>
        </w:rPr>
        <w:t>https://pubmed.ncbi.nlm.nih.gov/42594509/</w:t>
      </w:r>
    </w:p>
    <w:p>
      <w:pPr>
        <w:pStyle w:val="Heading2"/>
      </w:pPr>
      <w:r>
        <w:t>Emotionale Belastung durch Alarme bei Diabetes-Technologien</w:t>
      </w:r>
    </w:p>
    <w:p>
      <w:r>
        <w:rPr>
          <w:i/>
          <w:color w:val="666666"/>
          <w:sz w:val="18"/>
        </w:rPr>
        <w:t>JMIR Diabetes 2026  ·  PMID 42594259</w:t>
      </w:r>
    </w:p>
    <w:p>
      <w:r>
        <w:t>Die Studie verglich die Alarmhäufigkeit, emotionale Belastung und Verhaltensreaktionen auf Alarme zwischen Nutzern von kontinuierlichen Glukosemessgeräten, sensorunterstützten Pumpen und automatisierten Insulinabgabesystemen.</w:t>
      </w:r>
    </w:p>
    <w:p>
      <w:r>
        <w:rPr>
          <w:b/>
        </w:rPr>
        <w:t xml:space="preserve">Ergebnis: </w:t>
      </w:r>
      <w:r>
        <w:t>Von 838 Befragten berichteten Nutzer von automatisierten Systemen die höchste Alarmfrequenz (49% mehrmals täglich vs. 35% bzw. 32% in anderen Gruppen, p &lt; 0,001). Nach Adjustment zeigte sich ein erhöhtes Risiko für häufige Alarme (OR 1,98, 95% KI 1,48–2,65) und Überkorrektionen bei niedriger Glukose (OR 1,61, 95% KI 1,20–2,15) bei automatisierten Systemen.</w:t>
      </w:r>
    </w:p>
    <w:p>
      <w:r>
        <w:rPr>
          <w:color w:val="5A7D3A"/>
          <w:sz w:val="18"/>
        </w:rPr>
        <w:t>https://pubmed.ncbi.nlm.nih.gov/42594259/</w:t>
      </w:r>
    </w:p>
    <w:p>
      <w:pPr>
        <w:pStyle w:val="Heading2"/>
      </w:pPr>
      <w:r>
        <w:t>Chronic Kidney Disease Care Model zur Verbesserung von Patientenergebnissen</w:t>
      </w:r>
    </w:p>
    <w:p>
      <w:r>
        <w:rPr>
          <w:i/>
          <w:color w:val="666666"/>
          <w:sz w:val="18"/>
        </w:rPr>
        <w:t>Pharmacoecon Open 2026  ·  PMID 42593670</w:t>
      </w:r>
    </w:p>
    <w:p>
      <w:r>
        <w:t>Die Studie beschreibt ein Entscheidungsmodell zur Quantifizierung von Managementstrategien bei chronischer Nierenerkrankung und deren Kosteneffektivität in den USA.</w:t>
      </w:r>
    </w:p>
    <w:p>
      <w:r>
        <w:rPr>
          <w:b/>
        </w:rPr>
        <w:t xml:space="preserve">Ergebnis: </w:t>
      </w:r>
      <w:r>
        <w:t>Unter Standardbehandlung werden 15% der Patienten von Ursachen unabhängig von Nierenerkrankung sterben (nach durchschnittlich 12 Jahren). Mit optimierter Behandlung erhöht sich dieser Anteil auf 20% (nach 14 Jahren). Leitliniengerechte Behandlung ohne Verzögerung führt zu 0,68 QALYs Lebenszeitgewinn bei Kosten von 47.800 USD pro Patient.</w:t>
      </w:r>
    </w:p>
    <w:p>
      <w:r>
        <w:rPr>
          <w:color w:val="5A7D3A"/>
          <w:sz w:val="18"/>
        </w:rPr>
        <w:t>https://pubmed.ncbi.nlm.nih.gov/42593670/</w:t>
      </w:r>
    </w:p>
    <w:p>
      <w:pPr>
        <w:pStyle w:val="Heading2"/>
      </w:pPr>
      <w:r>
        <w:t>Algorithmen zur Identifikation klinisch beabsichtigter Medikamentenabsetzungen</w:t>
      </w:r>
    </w:p>
    <w:p>
      <w:r>
        <w:rPr>
          <w:i/>
          <w:color w:val="666666"/>
          <w:sz w:val="18"/>
        </w:rPr>
        <w:t>Med Care 2026  ·  PMID 42593400</w:t>
      </w:r>
    </w:p>
    <w:p>
      <w:r>
        <w:t>Die Studie entwickelte algorithmische Verfahren zur Identifikation absichtlicher Medikamentenabsetzungen mittels Textsuche und klinischen Daten für fünf Arzneimittelgruppen.</w:t>
      </w:r>
    </w:p>
    <w:p>
      <w:r>
        <w:rPr>
          <w:b/>
        </w:rPr>
        <w:t xml:space="preserve">Ergebnis: </w:t>
      </w:r>
      <w:r>
        <w:t>Für die Validierungsstichproben betrugen Sensitivität und Spezifität für den vollständigen Algorithmus: orale Antidiabetika 80% und 85% (n=467), Statine 75% und 95% (n=282), Antihypertensiva 82% und 75% (n=599), Blasen-Antimuscarinergika 77% und 80% (n=80), Antikoagulanzien 74% und 78% (n=160).</w:t>
      </w:r>
    </w:p>
    <w:p>
      <w:r>
        <w:rPr>
          <w:color w:val="5A7D3A"/>
          <w:sz w:val="18"/>
        </w:rPr>
        <w:t>https://pubmed.ncbi.nlm.nih.gov/42593400/</w:t>
      </w:r>
    </w:p>
    <w:p>
      <w:pPr>
        <w:pStyle w:val="Heading2"/>
      </w:pPr>
      <w:r>
        <w:t>Mechanisch beatmete Kinder in pädiatrischen vs. allgemeinen Intensivstationen in Japan</w:t>
      </w:r>
    </w:p>
    <w:p>
      <w:r>
        <w:rPr>
          <w:i/>
          <w:color w:val="666666"/>
          <w:sz w:val="18"/>
        </w:rPr>
        <w:t>Front Pediatr 2026  ·  PMID 42591500</w:t>
      </w:r>
    </w:p>
    <w:p>
      <w:r>
        <w:t>Die Studie verglich klinische Ergebnisse mechanisch beatmeter Kinder in spezialisierten pädiatrischen Intensivstationen (PICU) versus allgemeinen Intensivstationen (GICU).</w:t>
      </w:r>
    </w:p>
    <w:p>
      <w:r>
        <w:rPr>
          <w:b/>
        </w:rPr>
        <w:t xml:space="preserve">Ergebnis: </w:t>
      </w:r>
      <w:r>
        <w:t>Von 48.106 Patienten wurden 36% auf PICUs behandelt. Nach Propensity-Score-Analyse zeigte PICU-Versorgung signifikant niedrigere Krankenhaussterblichkeit (2,73% vs. 3,42%; OR 0,79, 95% KI 0,69–0,91; p = 0,001), aber längere Gesamtaufenthalte (22,74 vs. 22,13 Tage; p &lt; 0,001).</w:t>
      </w:r>
    </w:p>
    <w:p>
      <w:r>
        <w:rPr>
          <w:color w:val="5A7D3A"/>
          <w:sz w:val="18"/>
        </w:rPr>
        <w:t>https://pubmed.ncbi.nlm.nih.gov/42591500/</w:t>
      </w:r>
    </w:p>
    <w:p>
      <w:pPr>
        <w:pStyle w:val="Heading1"/>
      </w:pPr>
      <w:r>
        <w:t>Aufgenommen am 13.08.2026</w:t>
      </w:r>
    </w:p>
    <w:p>
      <w:pPr>
        <w:pStyle w:val="Heading2"/>
      </w:pPr>
      <w:r>
        <w:t>Door-to-Balloon-Zeit, Komplikationen und Verweildauer bei STEMI</w:t>
      </w:r>
    </w:p>
    <w:p>
      <w:r>
        <w:rPr>
          <w:i/>
          <w:color w:val="666666"/>
          <w:sz w:val="18"/>
        </w:rPr>
        <w:t>J Clin Med 2026  ·  PMID 42589943</w:t>
      </w:r>
    </w:p>
    <w:p>
      <w:r>
        <w:t>Diese prospektive Beobachtungsstudie untersuchte, ob die Door-to-Balloon-Zeit (D2B) bei ST-Hebungs-Myokardinfarkt (STEMI) postoperative Komplikationen und Krankenhausverweildauer vorhersagt.</w:t>
      </w:r>
    </w:p>
    <w:p>
      <w:r>
        <w:rPr>
          <w:b/>
        </w:rPr>
        <w:t xml:space="preserve">Ergebnis: </w:t>
      </w:r>
      <w:r>
        <w:t>Eine verzögerte D2B-Zeit (≥2 h) war mit 2,22-fach erhöhtem Komplikationsrisiko assoziiert; jede zusätzliche Stunde Verzögerung führte zu 0,294 Tagen mehr Krankenhausaufenthalt. Ein Median D2B von 108 Minuten wurde beobachtet (IQR 65–395).</w:t>
      </w:r>
    </w:p>
    <w:p>
      <w:r>
        <w:rPr>
          <w:color w:val="5A7D3A"/>
          <w:sz w:val="18"/>
        </w:rPr>
        <w:t>https://pubmed.ncbi.nlm.nih.gov/42589943/</w:t>
      </w:r>
    </w:p>
    <w:p>
      <w:pPr>
        <w:pStyle w:val="Heading2"/>
      </w:pPr>
      <w:r>
        <w:t>Simulation der Effekte von Mindestfallzahl-Schwellenwerten auf die geografische Erreichbarkeit neurochirurgischer Kliniken in Deutschland</w:t>
      </w:r>
    </w:p>
    <w:p>
      <w:r>
        <w:rPr>
          <w:i/>
          <w:color w:val="666666"/>
          <w:sz w:val="18"/>
        </w:rPr>
        <w:t>Healthcare (Basel) 2026  ·  PMID 42588405</w:t>
      </w:r>
    </w:p>
    <w:p>
      <w:r>
        <w:t>Diese Simulationsstudie untersuchte die Auswirkungen unterschiedlicher Mindestfallzahl-Schwellenwerte auf die geografische Erreichbarkeit neurochirurgischer Versorgung in Deutschland.</w:t>
      </w:r>
    </w:p>
    <w:p>
      <w:r>
        <w:rPr>
          <w:b/>
        </w:rPr>
        <w:t xml:space="preserve">Ergebnis: </w:t>
      </w:r>
      <w:r>
        <w:t>Basale Erreichbarkeit innerhalb 40 Minuten Fahrtzeit (A2N40) betrug 66,6 % der Fläche und 84,7 % der Bevölkerung. Eine Erhöhung um einen Perzentilpunkt der Fallzahl-Schwelle reduzierte A2N40 um durchschnittlich 0,70 Prozentpunkte, was etwa 305.000 zusätzliche Menschen betrifft.</w:t>
      </w:r>
    </w:p>
    <w:p>
      <w:r>
        <w:rPr>
          <w:color w:val="5A7D3A"/>
          <w:sz w:val="18"/>
        </w:rPr>
        <w:t>https://pubmed.ncbi.nlm.nih.gov/42588405/</w:t>
      </w:r>
    </w:p>
    <w:p>
      <w:pPr>
        <w:pStyle w:val="Heading2"/>
      </w:pPr>
      <w:r>
        <w:t>Evaluation eines Stärkenbasierten Resilienz-Programms auf Widerstandskraft, wahrgenommenen Stress und depressive Symptome bei Schülern in Thailand</w:t>
      </w:r>
    </w:p>
    <w:p>
      <w:r>
        <w:rPr>
          <w:i/>
          <w:color w:val="666666"/>
          <w:sz w:val="18"/>
        </w:rPr>
        <w:t>Healthcare (Basel) 2026  ·  PMID 42588304</w:t>
      </w:r>
    </w:p>
    <w:p>
      <w:r>
        <w:t>Diese quasi-experimentelle Single-Group-Studie evaluierte ein sechswöchiges Resilienz-Programm bei 26 sekundarschul-Schülern mit Messungen zu Baseline, direkt nach Intervention und nach einem Monat.</w:t>
      </w:r>
    </w:p>
    <w:p>
      <w:r>
        <w:rPr>
          <w:b/>
        </w:rPr>
        <w:t xml:space="preserve">Ergebnis: </w:t>
      </w:r>
      <w:r>
        <w:t>Resilienz stieg von M=64,00 (Baseline) auf M=76,46 (direkt post) und M=78,19 (ein Monat später; p&amp;lt;0,001, η²=0,752). Wahrgenommener Stress sank von M=20,62 auf M=13,04 und M=9,62 (p&amp;lt;0,001, η²=0,808). Depressive Symptome sanken von M=7,27 auf M=5,81 und M=4,88 (p&amp;lt;0,001, η²=0,371).</w:t>
      </w:r>
    </w:p>
    <w:p>
      <w:r>
        <w:rPr>
          <w:color w:val="5A7D3A"/>
          <w:sz w:val="18"/>
        </w:rPr>
        <w:t>https://pubmed.ncbi.nlm.nih.gov/42588304/</w:t>
      </w:r>
    </w:p>
    <w:p>
      <w:pPr>
        <w:pStyle w:val="Heading2"/>
      </w:pPr>
      <w:r>
        <w:t>Kürzere Verweildauer nach risikoarmem Kaiserschnitt</w:t>
      </w:r>
    </w:p>
    <w:p>
      <w:r>
        <w:rPr>
          <w:i/>
          <w:color w:val="666666"/>
          <w:sz w:val="18"/>
        </w:rPr>
        <w:t>BMJ Open Quality 2026  ·  PMID 42586586</w:t>
      </w:r>
    </w:p>
    <w:p>
      <w:r>
        <w:t>Qualitätsverbesserungsprojekt zur Entlassung am dritten Tag nach risikoarmem Kaiserschnitt.</w:t>
      </w:r>
    </w:p>
    <w:p>
      <w:r>
        <w:rPr>
          <w:b/>
        </w:rPr>
        <w:t xml:space="preserve">Ergebnis: </w:t>
      </w:r>
      <w:r>
        <w:t>Die Entlassungsrate am dritten Tag stieg von 80,0 % (n = 352) auf 84,5 % (n = 241), nach dem gebündelten Maßnahmenpaket von 83,3 % auf 92,5 %; geschätzte Einsparung 70.884 SGD. Standardisierte Abläufe verkürzen die Liegezeit ohne Qualitätsverlust.</w:t>
      </w:r>
    </w:p>
    <w:p>
      <w:r>
        <w:rPr>
          <w:color w:val="5A7D3A"/>
          <w:sz w:val="18"/>
        </w:rPr>
        <w:t>https://pubmed.ncbi.nlm.nih.gov/42586586/</w:t>
      </w:r>
    </w:p>
    <w:p>
      <w:pPr>
        <w:pStyle w:val="Heading2"/>
      </w:pPr>
      <w:r>
        <w:t>Entwicklung und Validierung des N-DROP-Scores zur Vorhersage der 30-Tage-Sterblichkeit bei Pflegeheim-assoziierten Pneumonien</w:t>
      </w:r>
    </w:p>
    <w:p>
      <w:r>
        <w:rPr>
          <w:i/>
          <w:color w:val="666666"/>
          <w:sz w:val="18"/>
        </w:rPr>
        <w:t>J Infect Chemother 2026  ·  PMID 42586261</w:t>
      </w:r>
    </w:p>
    <w:p>
      <w:r>
        <w:t>Diese Studie entwickelte mittels LASSO-Regression ein verbessertes Modell zur Vorhersage der in-Hospital-Sterblichkeit bei Pflegeheim-assoziierten Pneumonien (NHCAP) basierend auf Faktoren jenseits des klassischen A-DROP-Scores.</w:t>
      </w:r>
    </w:p>
    <w:p>
      <w:r>
        <w:rPr>
          <w:b/>
        </w:rPr>
        <w:t xml:space="preserve">Ergebnis: </w:t>
      </w:r>
      <w:r>
        <w:t>Die 30-Tage-Sterblichkeit in 116.185 Patienten betrug 11,7 %. Der N-DROP-Score zeigte verbesserte Diskriminationsfähigkeit (C-Statistik 0,746; 95 % KI 0,734–0,757) gegenüber A-DROP (0,708; 95 % KI 0,695–0,720; p&amp;lt;0,001).</w:t>
      </w:r>
    </w:p>
    <w:p>
      <w:r>
        <w:rPr>
          <w:color w:val="5A7D3A"/>
          <w:sz w:val="18"/>
        </w:rPr>
        <w:t>https://pubmed.ncbi.nlm.nih.gov/42586261/</w:t>
      </w:r>
    </w:p>
    <w:p>
      <w:pPr>
        <w:pStyle w:val="Heading2"/>
      </w:pPr>
      <w:r>
        <w:t>Wertbasierte Vergütung in der Primärversorgung und Low-Value Care</w:t>
      </w:r>
    </w:p>
    <w:p>
      <w:r>
        <w:rPr>
          <w:i/>
          <w:color w:val="666666"/>
          <w:sz w:val="18"/>
        </w:rPr>
        <w:t>Health Services Research 2026  ·  PMID 42584215</w:t>
      </w:r>
    </w:p>
    <w:p>
      <w:r>
        <w:t>Untersuchung, ob die Einführung wertbasierter Vergütung in Hausarztpraxen unnötige Leistungen reduziert.</w:t>
      </w:r>
    </w:p>
    <w:p>
      <w:r>
        <w:rPr>
          <w:b/>
        </w:rPr>
        <w:t xml:space="preserve">Ergebnis: </w:t>
      </w:r>
      <w:r>
        <w:t>Über 33,6 Mio. Versichertenmonate (1,34 Mio. Versicherte, 7.903 Praxen) blieben die Unterschiede ohne statistische Signifikanz: Bildgebung bei Fersensporn 31,2 % gegenüber 28,9 %, bei Kopfschmerz 14,8 % gegenüber 14,5 %, bei Rückenschmerz je 13,8 %. Vergütungsanreize allein senken Low-Value Care offenbar nicht.</w:t>
      </w:r>
    </w:p>
    <w:p>
      <w:r>
        <w:rPr>
          <w:color w:val="5A7D3A"/>
          <w:sz w:val="18"/>
        </w:rPr>
        <w:t>https://pubmed.ncbi.nlm.nih.gov/42584215/</w:t>
      </w:r>
    </w:p>
    <w:p>
      <w:pPr>
        <w:pStyle w:val="Heading2"/>
      </w:pPr>
      <w:r>
        <w:t>Inanspruchnahme und Kosten bei Long COVID (England und Wales)</w:t>
      </w:r>
    </w:p>
    <w:p>
      <w:r>
        <w:rPr>
          <w:i/>
          <w:color w:val="666666"/>
          <w:sz w:val="18"/>
        </w:rPr>
        <w:t>Journal of the Royal Society of Medicine 2026  ·  PMID 42584205</w:t>
      </w:r>
    </w:p>
    <w:p>
      <w:r>
        <w:t>Vergleich von Versorgungskosten und Arztkontakten zwischen Long-COVID-Betroffenen und Kontrollpersonen.</w:t>
      </w:r>
    </w:p>
    <w:p>
      <w:r>
        <w:rPr>
          <w:b/>
        </w:rPr>
        <w:t xml:space="preserve">Ergebnis: </w:t>
      </w:r>
      <w:r>
        <w:t>Die mittleren Jahreskosten lagen in Wales bei 6.681,60 £ gegenüber 2.039,90 £ (3,27-fach), in England bei 3.378,30 £ gegenüber 1.355,80 £ (2,49-fach); Wales verzeichnete einen um 25 % stärkeren relativen Kostenanstieg (Verhältnis 1,25; 95%-KI 1,09–1,42). Die Versorgungslast fällt regional deutlich unterschiedlich aus.</w:t>
      </w:r>
    </w:p>
    <w:p>
      <w:r>
        <w:rPr>
          <w:color w:val="5A7D3A"/>
          <w:sz w:val="18"/>
        </w:rPr>
        <w:t>https://pubmed.ncbi.nlm.nih.gov/42584205/</w:t>
      </w:r>
    </w:p>
    <w:p>
      <w:pPr>
        <w:pStyle w:val="Heading2"/>
      </w:pPr>
      <w:r>
        <w:t>Eigenbesitz an Zusatzleistungen und Testhäufigkeit in Urologiepraxen</w:t>
      </w:r>
    </w:p>
    <w:p>
      <w:r>
        <w:rPr>
          <w:i/>
          <w:color w:val="666666"/>
          <w:sz w:val="18"/>
        </w:rPr>
        <w:t>Medical Care 2026  ·  PMID 42583905</w:t>
      </w:r>
    </w:p>
    <w:p>
      <w:r>
        <w:t>Analyse, ob unternehmerische Beteiligung von Urologiepraxen an Zusatzleistungen die Zahl angeordneter Tests erhöht.</w:t>
      </w:r>
    </w:p>
    <w:p>
      <w:r>
        <w:rPr>
          <w:b/>
        </w:rPr>
        <w:t xml:space="preserve">Ergebnis: </w:t>
      </w:r>
      <w:r>
        <w:t>20,6 % der Praxen (706 von 3.430) besaßen eigene Zusatzleistungen; pro 10 Punkte auf dem Unternehmerindex stiegen bei 49.285 Männern die Chancen für Urinuntersuchungen auf das 1,13-Fache (95%-KI 1,09–1,18; p &lt; 0,001) und für nicht indikationsbezogene Tests auf das 1,21-Fache (95%-KI 1,15–1,27; p &lt; 0,001). Finanzielle Eigeninteressen schlagen messbar auf die Leistungsmenge durch.</w:t>
      </w:r>
    </w:p>
    <w:p>
      <w:r>
        <w:rPr>
          <w:color w:val="5A7D3A"/>
          <w:sz w:val="18"/>
        </w:rPr>
        <w:t>https://pubmed.ncbi.nlm.nih.gov/42583905/</w:t>
      </w:r>
    </w:p>
    <w:p>
      <w:pPr>
        <w:pStyle w:val="Heading2"/>
      </w:pPr>
      <w:r>
        <w:t>Soziale Bedarfe und Versorgungszugang nach Kostenträger</w:t>
      </w:r>
    </w:p>
    <w:p>
      <w:r>
        <w:rPr>
          <w:i/>
          <w:color w:val="666666"/>
          <w:sz w:val="18"/>
        </w:rPr>
        <w:t>Medical Care 2026  ·  PMID 42583901</w:t>
      </w:r>
    </w:p>
    <w:p>
      <w:r>
        <w:t>Querschnittsanalyse, wie häufig gesundheitsbezogene soziale Bedarfe je nach Versicherungsart auftreten und den Zugang zur Versorgung beeinflussen.</w:t>
      </w:r>
    </w:p>
    <w:p>
      <w:r>
        <w:rPr>
          <w:b/>
        </w:rPr>
        <w:t xml:space="preserve">Ergebnis: </w:t>
      </w:r>
      <w:r>
        <w:t>Unter 126.490 Befragten war Ernährungsunsicherheit bei Medicaid-Versicherten mit 49,20 % weit häufiger als bei privat (11,89 %) oder über Medicare (5,20 %) Versicherten; Wohnungsunsicherheit lag bei 54,61 %, 25,18 % und 14,99 %. Ernährungsunsicherheit ging in allen Gruppen mit häufiger unterlassener Versorgung einher.</w:t>
      </w:r>
    </w:p>
    <w:p>
      <w:r>
        <w:rPr>
          <w:color w:val="5A7D3A"/>
          <w:sz w:val="18"/>
        </w:rPr>
        <w:t>https://pubmed.ncbi.nlm.nih.gov/42583901/</w:t>
      </w:r>
    </w:p>
    <w:p>
      <w:pPr>
        <w:pStyle w:val="Heading2"/>
      </w:pPr>
      <w:r>
        <w:t>Leitlinientreue in der Nachsorge nach akuter Nierenschädigung</w:t>
      </w:r>
    </w:p>
    <w:p>
      <w:r>
        <w:rPr>
          <w:i/>
          <w:color w:val="666666"/>
          <w:sz w:val="18"/>
        </w:rPr>
        <w:t>BMC Medicine 2026  ·  PMID 42581362</w:t>
      </w:r>
    </w:p>
    <w:p>
      <w:r>
        <w:t>Routinedatenanalyse zur Frage, wie konsequent die empfohlene Nachsorge nach akuter Nierenschädigung umgesetzt wird.</w:t>
      </w:r>
    </w:p>
    <w:p>
      <w:r>
        <w:rPr>
          <w:b/>
        </w:rPr>
        <w:t xml:space="preserve">Ergebnis: </w:t>
      </w:r>
      <w:r>
        <w:t>Bei 209.222 Patientinnen und Patienten (279.187 Episoden) wurde die Nierenschädigung nur in 19,5 % kodiert (95%-KI 18,5–20,5); 72,6 % hatten Hausarztkontakt, aber nur 34,2 % eine Kreatininkontrolle nach 90 Tagen und 4,2 % eine Albumin-Kreatinin-Bestimmung. Die empfohlene Nachsorge findet weitgehend nicht statt.</w:t>
      </w:r>
    </w:p>
    <w:p>
      <w:r>
        <w:rPr>
          <w:color w:val="5A7D3A"/>
          <w:sz w:val="18"/>
        </w:rPr>
        <w:t>https://pubmed.ncbi.nlm.nih.gov/42581362/</w:t>
      </w:r>
    </w:p>
    <w:p>
      <w:pPr>
        <w:pStyle w:val="Heading1"/>
      </w:pPr>
      <w:r>
        <w:t>Aufgenommen am 10.08.2026</w:t>
      </w:r>
    </w:p>
    <w:p>
      <w:pPr>
        <w:pStyle w:val="Heading2"/>
      </w:pPr>
      <w:r>
        <w:t>ConcePTION-Algorithmus: Schwangerschaften in Routinedaten erkennen</w:t>
      </w:r>
    </w:p>
    <w:p>
      <w:r>
        <w:rPr>
          <w:i/>
          <w:color w:val="666666"/>
          <w:sz w:val="18"/>
        </w:rPr>
        <w:t>Pharmacoepidemiology and Drug Safety 2026  ·  PMID 42571911</w:t>
      </w:r>
    </w:p>
    <w:p>
      <w:r>
        <w:t>Entwicklung und Anwendung eines Algorithmus, der Schwangerschaften in bevölkerungsbezogenen Gesundheitsdatenbanken identifiziert.</w:t>
      </w:r>
    </w:p>
    <w:p>
      <w:r>
        <w:rPr>
          <w:b/>
        </w:rPr>
        <w:t xml:space="preserve">Ergebnis: </w:t>
      </w:r>
      <w:r>
        <w:t>Über 10 europäische Datenbanken wurden rund 2,7 Mio. Schwangerschaften erkannt; 50–83 % endeten in Lebendgeburten, 4–10 % in Fehlgeburten. Das Gestationsalter war für 6–89 % der Datensätze schätzbar (RMSE 17–50 Tage). Das verbessert die Nutzung von Routinedaten für die Arzneimittelsicherheit in der Schwangerschaft.</w:t>
      </w:r>
    </w:p>
    <w:p>
      <w:r>
        <w:rPr>
          <w:color w:val="5A7D3A"/>
          <w:sz w:val="18"/>
        </w:rPr>
        <w:t>https://pubmed.ncbi.nlm.nih.gov/42571911/</w:t>
      </w:r>
    </w:p>
    <w:p>
      <w:pPr>
        <w:pStyle w:val="Heading2"/>
      </w:pPr>
      <w:r>
        <w:t>Wartezeit von Diagnose bis Operation beim Zervixkarzinom</w:t>
      </w:r>
    </w:p>
    <w:p>
      <w:r>
        <w:rPr>
          <w:i/>
          <w:color w:val="666666"/>
          <w:sz w:val="18"/>
        </w:rPr>
        <w:t>Cancer Epidemiology 2026  ·  PMID 42551070</w:t>
      </w:r>
    </w:p>
    <w:p>
      <w:r>
        <w:t>Kohortenstudie zum Zusammenhang zwischen dem Intervall Diagnose–Operation und dem Gesamtüberleben.</w:t>
      </w:r>
    </w:p>
    <w:p>
      <w:r>
        <w:rPr>
          <w:b/>
        </w:rPr>
        <w:t xml:space="preserve">Ergebnis: </w:t>
      </w:r>
      <w:r>
        <w:t>Bei 1.501 Patientinnen (mediane Wartezeit 80 Tage) war ein sehr kurzes Intervall (2–6 Wochen) mit erhöhtem Sterberisiko verbunden (HR 2,33; 95%-KI 1,14–4,77) gegenüber 10–14 Wochen; das Muster war U-förmig. Sowohl sehr kurze als auch sehr lange Wartezeiten erscheinen ungünstig.</w:t>
      </w:r>
    </w:p>
    <w:p>
      <w:r>
        <w:rPr>
          <w:color w:val="5A7D3A"/>
          <w:sz w:val="18"/>
        </w:rPr>
        <w:t>https://pubmed.ncbi.nlm.nih.gov/42551070/</w:t>
      </w:r>
    </w:p>
    <w:p>
      <w:pPr>
        <w:pStyle w:val="Heading1"/>
      </w:pPr>
      <w:r>
        <w:t>Aufgenommen am 09.08.2026</w:t>
      </w:r>
    </w:p>
    <w:p>
      <w:pPr>
        <w:pStyle w:val="Heading2"/>
      </w:pPr>
      <w:r>
        <w:t>Aufhörversuche beim Shisha-Rauchen junger Erwachsener in Deutschland</w:t>
      </w:r>
    </w:p>
    <w:p>
      <w:r>
        <w:rPr>
          <w:i/>
          <w:color w:val="666666"/>
          <w:sz w:val="18"/>
        </w:rPr>
        <w:t>Tobacco Use Insights 2026  ·  PMID 42571166</w:t>
      </w:r>
    </w:p>
    <w:p>
      <w:r>
        <w:t>Befragung zu Aufhörverhalten und dessen Prädiktoren bei jungen Shisha-Rauchenden in Deutschland.</w:t>
      </w:r>
    </w:p>
    <w:p>
      <w:r>
        <w:rPr>
          <w:b/>
        </w:rPr>
        <w:t xml:space="preserve">Ergebnis: </w:t>
      </w:r>
      <w:r>
        <w:t>Nur 14,6 % (95%-KI 11,9–17,8) hatten je einen Aufhörversuch unternommen; die wahrgenommene Abhängigkeit war der einzige signifikante Prädiktor. Präventions- und Entwöhnungsangebote erreichen die Gruppe bislang kaum.</w:t>
      </w:r>
    </w:p>
    <w:p>
      <w:r>
        <w:rPr>
          <w:color w:val="5A7D3A"/>
          <w:sz w:val="18"/>
        </w:rPr>
        <w:t>https://pubmed.ncbi.nlm.nih.gov/42571166/</w:t>
      </w:r>
    </w:p>
    <w:p>
      <w:pPr>
        <w:pStyle w:val="Heading2"/>
      </w:pPr>
      <w:r>
        <w:t>Determinanten der Teilnahme am Mammographie-Screening (Ankara, Türkei)</w:t>
      </w:r>
    </w:p>
    <w:p>
      <w:r>
        <w:rPr>
          <w:i/>
          <w:color w:val="666666"/>
          <w:sz w:val="18"/>
        </w:rPr>
        <w:t>BMC Health Services Research 2026  ·  PMID 42571012</w:t>
      </w:r>
    </w:p>
    <w:p>
      <w:r>
        <w:t>Querschnittstudie zu Faktoren, die die Inanspruchnahme der Brustkrebs-Früherkennung bei Frauen beeinflussen.</w:t>
      </w:r>
    </w:p>
    <w:p>
      <w:r>
        <w:rPr>
          <w:b/>
        </w:rPr>
        <w:t xml:space="preserve">Ergebnis: </w:t>
      </w:r>
      <w:r>
        <w:t>Frauen, die Screening-Programme kannten, nahmen 8,5-mal häufiger teil; nach früherer anderer Krebsfrüherkennung 5,5-mal häufiger; eine chronische Erkrankung verdoppelte die Chance. Bekanntheit und Aufklärung sind die zentralen Hebel.</w:t>
      </w:r>
    </w:p>
    <w:p>
      <w:r>
        <w:rPr>
          <w:color w:val="5A7D3A"/>
          <w:sz w:val="18"/>
        </w:rPr>
        <w:t>https://pubmed.ncbi.nlm.nih.gov/42571012/</w:t>
      </w:r>
    </w:p>
    <w:p>
      <w:pPr>
        <w:pStyle w:val="Heading2"/>
      </w:pPr>
      <w:r>
        <w:t>Therapieunterbrechende Systemfehler der Heim-Peritonealdialyse (HomeChoice-Cycler)</w:t>
      </w:r>
    </w:p>
    <w:p>
      <w:r>
        <w:rPr>
          <w:i/>
          <w:color w:val="666666"/>
          <w:sz w:val="18"/>
        </w:rPr>
        <w:t>BMC Health Services Research 2026  ·  PMID 42571003</w:t>
      </w:r>
    </w:p>
    <w:p>
      <w:r>
        <w:t>Analyse technischer Fehler bei der Heimdialyse und ihrer Häufigkeit im Versorgungsalltag.</w:t>
      </w:r>
    </w:p>
    <w:p>
      <w:r>
        <w:rPr>
          <w:b/>
        </w:rPr>
        <w:t xml:space="preserve">Ergebnis: </w:t>
      </w:r>
      <w:r>
        <w:t>49 verschiedene Fehlertypen in 138 Vorfällen; Druckkammer-Fehler machten 21,7 % aus; Fehler traten in unter 0,25 % der Behandlungssitzungen auf. Die Heimtechnik ist überwiegend zuverlässig; einzelne Fehlerquellen sind gezielt adressierbar.</w:t>
      </w:r>
    </w:p>
    <w:p>
      <w:r>
        <w:rPr>
          <w:color w:val="5A7D3A"/>
          <w:sz w:val="18"/>
        </w:rPr>
        <w:t>https://pubmed.ncbi.nlm.nih.gov/42571003/</w:t>
      </w:r>
    </w:p>
    <w:p>
      <w:pPr>
        <w:pStyle w:val="Heading2"/>
      </w:pPr>
      <w:r>
        <w:t>Lebensqualität nach risikoreduzierender Hysterektomie</w:t>
      </w:r>
    </w:p>
    <w:p>
      <w:r>
        <w:rPr>
          <w:i/>
          <w:color w:val="666666"/>
          <w:sz w:val="18"/>
        </w:rPr>
        <w:t>Gynecologic Oncology 2026  ·  PMID 42570385</w:t>
      </w:r>
    </w:p>
    <w:p>
      <w:r>
        <w:t>Untersuchung der gesundheitsbezogenen Lebensqualität (Nutzwerte) nach vorbeugender Gebärmutterentfernung.</w:t>
      </w:r>
    </w:p>
    <w:p>
      <w:r>
        <w:rPr>
          <w:b/>
        </w:rPr>
        <w:t xml:space="preserve">Ergebnis: </w:t>
      </w:r>
      <w:r>
        <w:t>Mittlere Nutzwerte lagen je nach Eingriff und Zeitpunkt zwischen 0,670 und 0,942, mit signifikanten Gruppenunterschieden (p &lt; 0,001). Art und Zeitpunkt des Eingriffs beeinflussen die Lebensqualität deutlich.</w:t>
      </w:r>
    </w:p>
    <w:p>
      <w:r>
        <w:rPr>
          <w:color w:val="5A7D3A"/>
          <w:sz w:val="18"/>
        </w:rPr>
        <w:t>https://pubmed.ncbi.nlm.nih.gov/42570385/</w:t>
      </w:r>
    </w:p>
    <w:p>
      <w:pPr>
        <w:pStyle w:val="Heading2"/>
      </w:pPr>
      <w:r>
        <w:t>Orale Antikoagulation und neu auftretende Demenz bei Vorhofflimmern</w:t>
      </w:r>
    </w:p>
    <w:p>
      <w:r>
        <w:rPr>
          <w:i/>
          <w:color w:val="666666"/>
          <w:sz w:val="18"/>
        </w:rPr>
        <w:t>GeroScience 2026  ·  PMID 42570194</w:t>
      </w:r>
    </w:p>
    <w:p>
      <w:r>
        <w:t>Real-World-Kohortenstudie zum Zusammenhang zwischen Art des Gerinnungshemmers und Demenzrisiko.</w:t>
      </w:r>
    </w:p>
    <w:p>
      <w:r>
        <w:rPr>
          <w:b/>
        </w:rPr>
        <w:t xml:space="preserve">Ergebnis: </w:t>
      </w:r>
      <w:r>
        <w:t>DOAK gingen mit geringerem Demenzrisiko einher (HR 0,63; 95%-KI 0,56–0,70), Warfarin mit höherem Risiko (HR 1,31; 95%-KI 1,16–1,49). Die Wirkstoffwahl könnte für die kognitive Langzeitprognose bedeutsam sein.</w:t>
      </w:r>
    </w:p>
    <w:p>
      <w:r>
        <w:rPr>
          <w:color w:val="5A7D3A"/>
          <w:sz w:val="18"/>
        </w:rPr>
        <w:t>https://pubmed.ncbi.nlm.nih.gov/42570194/</w:t>
      </w:r>
    </w:p>
    <w:p>
      <w:pPr>
        <w:pStyle w:val="Heading2"/>
      </w:pPr>
      <w:r>
        <w:t>Adhärenz zu Bewegungsleitlinien bei US-Krebsüberlebenden</w:t>
      </w:r>
    </w:p>
    <w:p>
      <w:r>
        <w:rPr>
          <w:i/>
          <w:color w:val="666666"/>
          <w:sz w:val="18"/>
        </w:rPr>
        <w:t>Journal of Cancer Survivorship 2026  ·  PMID 42570052</w:t>
      </w:r>
    </w:p>
    <w:p>
      <w:r>
        <w:t>Auswertung landesweiter Surveydaten zur Einhaltung der Empfehlungen für körperliche Aktivität über die Zeit.</w:t>
      </w:r>
    </w:p>
    <w:p>
      <w:r>
        <w:rPr>
          <w:b/>
        </w:rPr>
        <w:t xml:space="preserve">Ergebnis: </w:t>
      </w:r>
      <w:r>
        <w:t>Die Adhärenz stieg von 9,2 % (2010) auf 22,0 % (2015) und fiel bis 2020 wieder auf 8,7 %. Anhaltend niedrige, zuletzt rückläufige Werte weisen auf Versorgungslücken in der Bewegungsförderung hin.</w:t>
      </w:r>
    </w:p>
    <w:p>
      <w:r>
        <w:rPr>
          <w:color w:val="5A7D3A"/>
          <w:sz w:val="18"/>
        </w:rPr>
        <w:t>https://pubmed.ncbi.nlm.nih.gov/42570052/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2026-08-14T06:00:00Z</dcterms:created>
  <dcterms:modified xsi:type="dcterms:W3CDTF">2026-08-14T06:00:00Z</dcterms:modified>
  <cp:category/>
</cp:coreProperties>
</file>