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 und auf Deutsch übersetzt.</w:t>
      </w:r>
    </w:p>
    <w:p>
      <w:pPr>
        <w:pStyle w:val="Title"/>
      </w:pPr>
      <w:r>
        <w:t>Studienarchiv Versorgungsforschung</w:t>
      </w:r>
    </w:p>
    <w:p>
      <w:r>
        <w:rPr>
          <w:i/>
          <w:color w:val="666666"/>
          <w:sz w:val="18"/>
        </w:rPr>
        <w:t>Stand: 15.08.2026  |  29 Studien  |  wissen.m-vf.de</w:t>
      </w:r>
    </w:p>
    <w:p>
      <w:pPr>
        <w:pStyle w:val="Heading1"/>
      </w:pPr>
      <w:r>
        <w:t>Aufgenommen am 15.08.2026</w:t>
      </w:r>
    </w:p>
    <w:p>
      <w:pPr>
        <w:pStyle w:val="Heading2"/>
      </w:pPr>
      <w:r>
        <w:t>Elektrische Kardioversion bei Vorhofflimmern: nationale Trends in Dänemark 2010-2022</w:t>
      </w:r>
    </w:p>
    <w:p>
      <w:r>
        <w:rPr>
          <w:i/>
          <w:color w:val="666666"/>
          <w:sz w:val="18"/>
        </w:rPr>
        <w:t>Frost L et al.  ·  Open Heart  ·  14.08.2026  ·  PMID 42601168</w:t>
      </w:r>
    </w:p>
    <w:p>
      <w:r>
        <w:t>Die Studie untersuchte zeitliche Trends in der Nutzung von elektrischer Kardioversion bei Patienten mit Vorhofflimmern in Dänemark über 12 Jahre.</w:t>
      </w:r>
    </w:p>
    <w:p>
      <w:r>
        <w:rPr>
          <w:b/>
        </w:rPr>
        <w:t xml:space="preserve">Ergebnis: </w:t>
      </w:r>
      <w:r>
        <w:t>Die Gesamtzahl der Kardioversionen pro Jahr stieg von 2204 (2010) auf 8300 (2022) um das Vierfache; die altersadjustierte und geschlechterstandardisierte Rate sank jedoch von 449,5 auf 316,6 pro 1000 Personenjahre im ersten Jahr nach Diagnose, was auf eine gezieltere Einsatzweise hindeutet.</w:t>
      </w:r>
    </w:p>
    <w:p>
      <w:r>
        <w:rPr>
          <w:color w:val="5A7D3A"/>
          <w:sz w:val="18"/>
        </w:rPr>
        <w:t>https://pubmed.ncbi.nlm.nih.gov/42601168/</w:t>
      </w:r>
    </w:p>
    <w:p>
      <w:pPr>
        <w:pStyle w:val="Heading2"/>
      </w:pPr>
      <w:r>
        <w:t>Machbarkeit von S-Patch versus 24-Stunden-Holter bei älteren Erwachsenen mit Stürzen: randomisierte Crossover-Pilotstudie</w:t>
      </w:r>
    </w:p>
    <w:p>
      <w:r>
        <w:rPr>
          <w:i/>
          <w:color w:val="666666"/>
          <w:sz w:val="18"/>
        </w:rPr>
        <w:t>Rosario B et al.  ·  JMIR Rehabilitation and Assistive Technology  ·  14.08.2026  ·  PMID 42600137</w:t>
      </w:r>
    </w:p>
    <w:p>
      <w:r>
        <w:t>Die Studie verglich Machbarkeit, Verträglichkeit und Adhärenz eines neuen tragbaren EKG-Geräts (S-Patch) mit Standard-Holter-Monitoring bei älteren Patienten mit Sturzrisiko.</w:t>
      </w:r>
    </w:p>
    <w:p>
      <w:r>
        <w:rPr>
          <w:b/>
        </w:rPr>
        <w:t xml:space="preserve">Ergebnis: </w:t>
      </w:r>
      <w:r>
        <w:t>Bei 70 Patienten (45,7% mit kognitiver Beeinträchtigung) zeigte S-Patch längere durchschnittliche Tragedauer (&gt;60 Stunden, signifikant länger wenn zuerst angewendet: 68,8 vs. 62,9 Stunden; p=0,04) mit vergleichbaren Arrhythmie-Erkennungsraten und guter Verträglichkeit auch bei kognitiv beeinträchtigten Patienten.</w:t>
      </w:r>
    </w:p>
    <w:p>
      <w:r>
        <w:rPr>
          <w:color w:val="5A7D3A"/>
          <w:sz w:val="18"/>
        </w:rPr>
        <w:t>https://pubmed.ncbi.nlm.nih.gov/42600137/</w:t>
      </w:r>
    </w:p>
    <w:p>
      <w:pPr>
        <w:pStyle w:val="Heading2"/>
      </w:pPr>
      <w:r>
        <w:t>Entwicklung konsensbasierter Sicherheits- und Qualitäsindikatoren für sicheren Opioid-Einsatz in Krankenhäusern mittels modifizierter Delphi-Methode</w:t>
      </w:r>
    </w:p>
    <w:p>
      <w:r>
        <w:rPr>
          <w:i/>
          <w:color w:val="666666"/>
          <w:sz w:val="18"/>
        </w:rPr>
        <w:t>Mutashar A et al.  ·  Int J Qual Health Care  ·  14.08.2026  ·  PMID 42599219</w:t>
      </w:r>
    </w:p>
    <w:p>
      <w:r>
        <w:t>Die Studie entwickelte einen Katalog von Indikatoren zur Überwachung der Sicherheit und Qualität des Opioid-Einsatzes in australischen Krankenhäusern durch ein multidisziplinäres Expertengremium.</w:t>
      </w:r>
    </w:p>
    <w:p>
      <w:r>
        <w:rPr>
          <w:b/>
        </w:rPr>
        <w:t xml:space="preserve">Ergebnis: </w:t>
      </w:r>
      <w:r>
        <w:t>Von 34 bewerteten Indikatoren erreichten 17 Konsens für Wichtigkeit und Durchführbarkeit (Antwortquoten: Round 1 91%, Treffen 50%, Round 2 77%), was ein praktikables Werkzeug zur Verbesserung der Opioid-Medikamentensicherheit ermöglicht.</w:t>
      </w:r>
    </w:p>
    <w:p>
      <w:r>
        <w:rPr>
          <w:color w:val="5A7D3A"/>
          <w:sz w:val="18"/>
        </w:rPr>
        <w:t>https://pubmed.ncbi.nlm.nih.gov/42599219/</w:t>
      </w:r>
    </w:p>
    <w:p>
      <w:pPr>
        <w:pStyle w:val="Heading2"/>
      </w:pPr>
      <w:r>
        <w:t>Inzidenz, Ätiologien und Überlebensoutcomes von pädiatrischen außerklinischen Herzstillständen in Singapur</w:t>
      </w:r>
    </w:p>
    <w:p>
      <w:r>
        <w:rPr>
          <w:i/>
          <w:color w:val="666666"/>
          <w:sz w:val="18"/>
        </w:rPr>
        <w:t>Chee DS et al.  ·  Resuscitation Plus  ·  22.07.2026  ·  PMID 42598112</w:t>
      </w:r>
    </w:p>
    <w:p>
      <w:r>
        <w:t>Die Studie beschrieb Inzidenz, Ursachen und Überlebensraten von Herzstillständen bei Kindern in Singapur von 2010-2021 mittels der PAROS-Registry.</w:t>
      </w:r>
    </w:p>
    <w:p>
      <w:r>
        <w:rPr>
          <w:b/>
        </w:rPr>
        <w:t xml:space="preserve">Ergebnis: </w:t>
      </w:r>
      <w:r>
        <w:t>Von 414 Patienten betrug die Gesamtinzidenz 4,62 pro 100.000 Personenjahre (höchste Rate bei Säuglingen &lt;1 Jahr: 33,5 pro 100.000), Bystander-CPR-Rate 64,5%, häufigste Ursachen Atemwegsobstruktion (21%), Ertrinken (20,2%) und Trauma (18,5%); 30-Tage-Überlebensrate 11,1%, gutes neurologisches Ergebnis (CPC 1-2) 8,0% mit Verbesserung 2019-2021 (aOR 4,34; 95% CI 1,09-17,22; p=0,037).</w:t>
      </w:r>
    </w:p>
    <w:p>
      <w:r>
        <w:rPr>
          <w:color w:val="5A7D3A"/>
          <w:sz w:val="18"/>
        </w:rPr>
        <w:t>https://pubmed.ncbi.nlm.nih.gov/42598112/</w:t>
      </w:r>
    </w:p>
    <w:p>
      <w:pPr>
        <w:pStyle w:val="Heading2"/>
      </w:pPr>
      <w:r>
        <w:t>Rolle von Life's Essential 8 in der Assoziation von Nachtschichtarbeit mit kardiovaskulären Erkrankungen: prospektive UK-Biobank-Kohorte</w:t>
      </w:r>
    </w:p>
    <w:p>
      <w:r>
        <w:rPr>
          <w:i/>
          <w:color w:val="666666"/>
          <w:sz w:val="18"/>
        </w:rPr>
        <w:t>Huang Y et al.  ·  J Global Health  ·  14.08.2026  ·  PMID 42596889</w:t>
      </w:r>
    </w:p>
    <w:p>
      <w:r>
        <w:t>Die Studie untersuchte die Assoziation zwischen Nachtschichtarbeit und kardiovaskulären Erkrankungen sowie die vermittelnde Rolle des Life's Essential 8-Lebensstilscores bei 131.844 Erwerbstätigen.</w:t>
      </w:r>
    </w:p>
    <w:p>
      <w:r>
        <w:rPr>
          <w:b/>
        </w:rPr>
        <w:t xml:space="preserve">Ergebnis: </w:t>
      </w:r>
      <w:r>
        <w:t>Über einen Median-Follow-up von 13,78 Jahren entwickelten 29,7% kardiovaskuläre Erkrankungen und 4,2% starben; Patienten mit permanenten Nachtschichten hatten erhöhtes Risiko für kardiovaskuläre Erkrankungen (HR=1,24; 95% CI 1,18-1,31), Gesamtmortalität (HR=1,23; 95% CI 1,07-1,41) und Myokardinfarkt (HR=1,29; 95% CI 1,09-1,51); Life's Essential 8 vermittelte 39,2% der kardiovaskulären Assoziation und 33,1% der Mortalität.</w:t>
      </w:r>
    </w:p>
    <w:p>
      <w:r>
        <w:rPr>
          <w:color w:val="5A7D3A"/>
          <w:sz w:val="18"/>
        </w:rPr>
        <w:t>https://pubmed.ncbi.nlm.nih.gov/42596889/</w:t>
      </w:r>
    </w:p>
    <w:p>
      <w:pPr>
        <w:pStyle w:val="Heading2"/>
      </w:pPr>
      <w:r>
        <w:t>Implementierung eines umfassenden Sichelzellzentrums führt zu verbessertem Zugang und reduzierter Notfallversorgung</w:t>
      </w:r>
    </w:p>
    <w:p>
      <w:r>
        <w:rPr>
          <w:i/>
          <w:color w:val="666666"/>
          <w:sz w:val="18"/>
        </w:rPr>
        <w:t>Kanter J et al.  ·  BMC Health Services Research  ·  24.07.2026  ·  PMID 42596005</w:t>
      </w:r>
    </w:p>
    <w:p>
      <w:r>
        <w:t>Die Studie evaluierte die Auswirkungen der Implementierung eines multidisziplinären erwachsenen Sichelzellzentrums auf Ambulanznutzung und Notfallverlagerung in Alabama.</w:t>
      </w:r>
    </w:p>
    <w:p>
      <w:r>
        <w:rPr>
          <w:b/>
        </w:rPr>
        <w:t xml:space="preserve">Ergebnis: </w:t>
      </w:r>
      <w:r>
        <w:t>Die ambulante Klinikpopulation wuchs um mehr als das Dreifache auf 810 Patienten (2024), Infusions-Therapiebesuche stiegen um das Fünfzehnfache; durchschnittliche acute-care-Besuche pro Person/Jahr sanken signifikant von 2,11 auf 1,26 (p&lt;0,001), während routinemäßige ambulante Besuche von 2,65 auf 5,32 stiegen.</w:t>
      </w:r>
    </w:p>
    <w:p>
      <w:r>
        <w:rPr>
          <w:color w:val="5A7D3A"/>
          <w:sz w:val="18"/>
        </w:rPr>
        <w:t>https://pubmed.ncbi.nlm.nih.gov/42596005/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Austen S et al.  ·  J Am Med Dir Assoc  ·  13.08.2026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Everett E et al.  ·  JMIR Diabetes  ·  13.08.2026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Briggs AH et al.  ·  Pharmacoecon Open  ·  13.08.2026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Goodrich GK et al.  ·  Med Care  ·  13.08.2026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Sakurai Y et al.  ·  Front Pediatr  ·  29.07.2026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p>
      <w:pPr>
        <w:pStyle w:val="Heading1"/>
      </w:pPr>
      <w:r>
        <w:t>Aufgenommen am 13.08.2026</w:t>
      </w:r>
    </w:p>
    <w:p>
      <w:pPr>
        <w:pStyle w:val="Heading2"/>
      </w:pPr>
      <w:r>
        <w:t>Door-to-Balloon-Zeit, Komplikationen und Verweildauer bei STEMI</w:t>
      </w:r>
    </w:p>
    <w:p>
      <w:r>
        <w:rPr>
          <w:i/>
          <w:color w:val="666666"/>
          <w:sz w:val="18"/>
        </w:rPr>
        <w:t>Eid AbuRuz M et al.  ·  J Clin Med  ·  26.07.2026  ·  PMID 42589943</w:t>
      </w:r>
    </w:p>
    <w:p>
      <w:r>
        <w:t>Diese prospektive Beobachtungsstudie untersuchte, ob die Door-to-Balloon-Zeit (D2B) bei ST-Hebungs-Myokardinfarkt (STEMI) postoperative Komplikationen und Krankenhausverweildauer vorhersagt.</w:t>
      </w:r>
    </w:p>
    <w:p>
      <w:r>
        <w:rPr>
          <w:b/>
        </w:rPr>
        <w:t xml:space="preserve">Ergebnis: </w:t>
      </w:r>
      <w:r>
        <w:t>Eine verzögerte D2B-Zeit (≥2 h) war mit 2,22-fach erhöhtem Komplikationsrisiko assoziiert; jede zusätzliche Stunde Verzögerung führte zu 0,294 Tagen mehr Krankenhausaufenthalt. Ein Median D2B von 108 Minuten wurde beobachtet (IQR 65–395).</w:t>
      </w:r>
    </w:p>
    <w:p>
      <w:r>
        <w:rPr>
          <w:color w:val="5A7D3A"/>
          <w:sz w:val="18"/>
        </w:rPr>
        <w:t>https://pubmed.ncbi.nlm.nih.gov/42589943/</w:t>
      </w:r>
    </w:p>
    <w:p>
      <w:pPr>
        <w:pStyle w:val="Heading2"/>
      </w:pPr>
      <w:r>
        <w:t>Simulation der Effekte von Mindestfallzahl-Schwellenwerten auf die geografische Erreichbarkeit neurochirurgischer Kliniken in Deutschland</w:t>
      </w:r>
    </w:p>
    <w:p>
      <w:r>
        <w:rPr>
          <w:i/>
          <w:color w:val="666666"/>
          <w:sz w:val="18"/>
        </w:rPr>
        <w:t>Mayer S et al.  ·  Healthcare (Basel)  ·  06.08.2026  ·  PMID 42588405</w:t>
      </w:r>
    </w:p>
    <w:p>
      <w:r>
        <w:t>Diese Simulationsstudie untersuchte die Auswirkungen unterschiedlicher Mindestfallzahl-Schwellenwerte auf die geografische Erreichbarkeit neurochirurgischer Versorgung in Deutschland.</w:t>
      </w:r>
    </w:p>
    <w:p>
      <w:r>
        <w:rPr>
          <w:b/>
        </w:rPr>
        <w:t xml:space="preserve">Ergebnis: </w:t>
      </w:r>
      <w:r>
        <w:t>Basale Erreichbarkeit innerhalb 40 Minuten Fahrtzeit (A2N40) betrug 66,6 % der Fläche und 84,7 % der Bevölkerung. Eine Erhöhung um einen Perzentilpunkt der Fallzahl-Schwelle reduzierte A2N40 um durchschnittlich 0,70 Prozentpunkte, was etwa 305.000 zusätzliche Menschen betrifft.</w:t>
      </w:r>
    </w:p>
    <w:p>
      <w:r>
        <w:rPr>
          <w:color w:val="5A7D3A"/>
          <w:sz w:val="18"/>
        </w:rPr>
        <w:t>https://pubmed.ncbi.nlm.nih.gov/42588405/</w:t>
      </w:r>
    </w:p>
    <w:p>
      <w:pPr>
        <w:pStyle w:val="Heading2"/>
      </w:pPr>
      <w:r>
        <w:t>Evaluation eines Stärkenbasierten Resilienz-Programms auf Widerstandskraft, wahrgenommenen Stress und depressive Symptome bei Schülern in Thailand</w:t>
      </w:r>
    </w:p>
    <w:p>
      <w:r>
        <w:rPr>
          <w:i/>
          <w:color w:val="666666"/>
          <w:sz w:val="18"/>
        </w:rPr>
        <w:t>Na Nakorn S et al.  ·  Healthcare (Basel)  ·  01.08.2026  ·  PMID 42588304</w:t>
      </w:r>
    </w:p>
    <w:p>
      <w:r>
        <w:t>Diese quasi-experimentelle Single-Group-Studie evaluierte ein sechswöchiges Resilienz-Programm bei 26 sekundarschul-Schülern mit Messungen zu Baseline, direkt nach Intervention und nach einem Monat.</w:t>
      </w:r>
    </w:p>
    <w:p>
      <w:r>
        <w:rPr>
          <w:b/>
        </w:rPr>
        <w:t xml:space="preserve">Ergebnis: </w:t>
      </w:r>
      <w:r>
        <w:t>Resilienz stieg von M=64,00 (Baseline) auf M=76,46 (direkt post) und M=78,19 (ein Monat später; p&amp;lt;0,001, η²=0,752). Wahrgenommener Stress sank von M=20,62 auf M=13,04 und M=9,62 (p&amp;lt;0,001, η²=0,808). Depressive Symptome sanken von M=7,27 auf M=5,81 und M=4,88 (p&amp;lt;0,001, η²=0,371).</w:t>
      </w:r>
    </w:p>
    <w:p>
      <w:r>
        <w:rPr>
          <w:color w:val="5A7D3A"/>
          <w:sz w:val="18"/>
        </w:rPr>
        <w:t>https://pubmed.ncbi.nlm.nih.gov/42588304/</w:t>
      </w:r>
    </w:p>
    <w:p>
      <w:pPr>
        <w:pStyle w:val="Heading2"/>
      </w:pPr>
      <w:r>
        <w:t>Kürzere Verweildauer nach risikoarmem Kaiserschnitt</w:t>
      </w:r>
    </w:p>
    <w:p>
      <w:r>
        <w:rPr>
          <w:i/>
          <w:color w:val="666666"/>
          <w:sz w:val="18"/>
        </w:rPr>
        <w:t>Su WG et al.  ·  BMJ Open Quality  ·  12.08.2026  ·  PMID 42586586</w:t>
      </w:r>
    </w:p>
    <w:p>
      <w:r>
        <w:t>Qualitätsverbesserungsprojekt zur Entlassung am dritten Tag nach risikoarmem Kaiserschnitt.</w:t>
      </w:r>
    </w:p>
    <w:p>
      <w:r>
        <w:rPr>
          <w:b/>
        </w:rPr>
        <w:t xml:space="preserve">Ergebnis: </w:t>
      </w:r>
      <w:r>
        <w:t>Die Entlassungsrate am dritten Tag stieg von 80,0 % (n = 352) auf 84,5 % (n = 241), nach dem gebündelten Maßnahmenpaket von 83,3 % auf 92,5 %; geschätzte Einsparung 70.884 SGD. Standardisierte Abläufe verkürzen die Liegezeit ohne Qualitätsverlust.</w:t>
      </w:r>
    </w:p>
    <w:p>
      <w:r>
        <w:rPr>
          <w:color w:val="5A7D3A"/>
          <w:sz w:val="18"/>
        </w:rPr>
        <w:t>https://pubmed.ncbi.nlm.nih.gov/42586586/</w:t>
      </w:r>
    </w:p>
    <w:p>
      <w:pPr>
        <w:pStyle w:val="Heading2"/>
      </w:pPr>
      <w:r>
        <w:t>Entwicklung und Validierung des N-DROP-Scores zur Vorhersage der 30-Tage-Sterblichkeit bei Pflegeheim-assoziierten Pneumonien</w:t>
      </w:r>
    </w:p>
    <w:p>
      <w:r>
        <w:rPr>
          <w:i/>
          <w:color w:val="666666"/>
          <w:sz w:val="18"/>
        </w:rPr>
        <w:t>Taniguchi J et al.  ·  J Infect Chemother  ·  12.08.2026  ·  PMID 42586261</w:t>
      </w:r>
    </w:p>
    <w:p>
      <w:r>
        <w:t>Diese Studie entwickelte mittels LASSO-Regression ein verbessertes Modell zur Vorhersage der in-Hospital-Sterblichkeit bei Pflegeheim-assoziierten Pneumonien (NHCAP) basierend auf Faktoren jenseits des klassischen A-DROP-Scores.</w:t>
      </w:r>
    </w:p>
    <w:p>
      <w:r>
        <w:rPr>
          <w:b/>
        </w:rPr>
        <w:t xml:space="preserve">Ergebnis: </w:t>
      </w:r>
      <w:r>
        <w:t>Die 30-Tage-Sterblichkeit in 116.185 Patienten betrug 11,7 %. Der N-DROP-Score zeigte verbesserte Diskriminationsfähigkeit (C-Statistik 0,746; 95 % KI 0,734–0,757) gegenüber A-DROP (0,708; 95 % KI 0,695–0,720; p&amp;lt;0,001).</w:t>
      </w:r>
    </w:p>
    <w:p>
      <w:r>
        <w:rPr>
          <w:color w:val="5A7D3A"/>
          <w:sz w:val="18"/>
        </w:rPr>
        <w:t>https://pubmed.ncbi.nlm.nih.gov/42586261/</w:t>
      </w:r>
    </w:p>
    <w:p>
      <w:pPr>
        <w:pStyle w:val="Heading2"/>
      </w:pPr>
      <w:r>
        <w:t>Wertbasierte Vergütung in der Primärversorgung und Low-Value Care</w:t>
      </w:r>
    </w:p>
    <w:p>
      <w:r>
        <w:rPr>
          <w:i/>
          <w:color w:val="666666"/>
          <w:sz w:val="18"/>
        </w:rPr>
        <w:t>Izguttinov A et al.  ·  Health Services Research  ·  Aug. 2026  ·  PMID 42584215</w:t>
      </w:r>
    </w:p>
    <w:p>
      <w:r>
        <w:t>Untersuchung, ob die Einführung wertbasierter Vergütung in Hausarztpraxen unnötige Leistungen reduziert.</w:t>
      </w:r>
    </w:p>
    <w:p>
      <w:r>
        <w:rPr>
          <w:b/>
        </w:rPr>
        <w:t xml:space="preserve">Ergebnis: </w:t>
      </w:r>
      <w:r>
        <w:t>Über 33,6 Mio. Versichertenmonate (1,34 Mio. Versicherte, 7.903 Praxen) blieben die Unterschiede ohne statistische Signifikanz: Bildgebung bei Fersensporn 31,2 % gegenüber 28,9 %, bei Kopfschmerz 14,8 % gegenüber 14,5 %, bei Rückenschmerz je 13,8 %. Vergütungsanreize allein senken Low-Value Care offenbar nicht.</w:t>
      </w:r>
    </w:p>
    <w:p>
      <w:r>
        <w:rPr>
          <w:color w:val="5A7D3A"/>
          <w:sz w:val="18"/>
        </w:rPr>
        <w:t>https://pubmed.ncbi.nlm.nih.gov/42584215/</w:t>
      </w:r>
    </w:p>
    <w:p>
      <w:pPr>
        <w:pStyle w:val="Heading2"/>
      </w:pPr>
      <w:r>
        <w:t>Inanspruchnahme und Kosten bei Long COVID (England und Wales)</w:t>
      </w:r>
    </w:p>
    <w:p>
      <w:r>
        <w:rPr>
          <w:i/>
          <w:color w:val="666666"/>
          <w:sz w:val="18"/>
        </w:rPr>
        <w:t>Dashtban A et al.  ·  Journal of the Royal Society of Medicine  ·  12.08.2026  ·  PMID 42584205</w:t>
      </w:r>
    </w:p>
    <w:p>
      <w:r>
        <w:t>Vergleich von Versorgungskosten und Arztkontakten zwischen Long-COVID-Betroffenen und Kontrollpersonen.</w:t>
      </w:r>
    </w:p>
    <w:p>
      <w:r>
        <w:rPr>
          <w:b/>
        </w:rPr>
        <w:t xml:space="preserve">Ergebnis: </w:t>
      </w:r>
      <w:r>
        <w:t>Die mittleren Jahreskosten lagen in Wales bei 6.681,60 £ gegenüber 2.039,90 £ (3,27-fach), in England bei 3.378,30 £ gegenüber 1.355,80 £ (2,49-fach); Wales verzeichnete einen um 25 % stärkeren relativen Kostenanstieg (Verhältnis 1,25; 95%-KI 1,09–1,42). Die Versorgungslast fällt regional deutlich unterschiedlich aus.</w:t>
      </w:r>
    </w:p>
    <w:p>
      <w:r>
        <w:rPr>
          <w:color w:val="5A7D3A"/>
          <w:sz w:val="18"/>
        </w:rPr>
        <w:t>https://pubmed.ncbi.nlm.nih.gov/42584205/</w:t>
      </w:r>
    </w:p>
    <w:p>
      <w:pPr>
        <w:pStyle w:val="Heading2"/>
      </w:pPr>
      <w:r>
        <w:t>Eigenbesitz an Zusatzleistungen und Testhäufigkeit in Urologiepraxen</w:t>
      </w:r>
    </w:p>
    <w:p>
      <w:r>
        <w:rPr>
          <w:i/>
          <w:color w:val="666666"/>
          <w:sz w:val="18"/>
        </w:rPr>
        <w:t>Srivastava A et al.  ·  Medical Care  ·  12.08.2026  ·  PMID 42583905</w:t>
      </w:r>
    </w:p>
    <w:p>
      <w:r>
        <w:t>Analyse, ob unternehmerische Beteiligung von Urologiepraxen an Zusatzleistungen die Zahl angeordneter Tests erhöht.</w:t>
      </w:r>
    </w:p>
    <w:p>
      <w:r>
        <w:rPr>
          <w:b/>
        </w:rPr>
        <w:t xml:space="preserve">Ergebnis: </w:t>
      </w:r>
      <w:r>
        <w:t>20,6 % der Praxen (706 von 3.430) besaßen eigene Zusatzleistungen; pro 10 Punkte auf dem Unternehmerindex stiegen bei 49.285 Männern die Chancen für Urinuntersuchungen auf das 1,13-Fache (95%-KI 1,09–1,18; p &lt; 0,001) und für nicht indikationsbezogene Tests auf das 1,21-Fache (95%-KI 1,15–1,27; p &lt; 0,001). Finanzielle Eigeninteressen schlagen messbar auf die Leistungsmenge durch.</w:t>
      </w:r>
    </w:p>
    <w:p>
      <w:r>
        <w:rPr>
          <w:color w:val="5A7D3A"/>
          <w:sz w:val="18"/>
        </w:rPr>
        <w:t>https://pubmed.ncbi.nlm.nih.gov/42583905/</w:t>
      </w:r>
    </w:p>
    <w:p>
      <w:pPr>
        <w:pStyle w:val="Heading2"/>
      </w:pPr>
      <w:r>
        <w:t>Soziale Bedarfe und Versorgungszugang nach Kostenträger</w:t>
      </w:r>
    </w:p>
    <w:p>
      <w:r>
        <w:rPr>
          <w:i/>
          <w:color w:val="666666"/>
          <w:sz w:val="18"/>
        </w:rPr>
        <w:t>Wang VH et al.  ·  Medical Care  ·  10.08.2026  ·  PMID 42583901</w:t>
      </w:r>
    </w:p>
    <w:p>
      <w:r>
        <w:t>Querschnittsanalyse, wie häufig gesundheitsbezogene soziale Bedarfe je nach Versicherungsart auftreten und den Zugang zur Versorgung beeinflussen.</w:t>
      </w:r>
    </w:p>
    <w:p>
      <w:r>
        <w:rPr>
          <w:b/>
        </w:rPr>
        <w:t xml:space="preserve">Ergebnis: </w:t>
      </w:r>
      <w:r>
        <w:t>Unter 126.490 Befragten war Ernährungsunsicherheit bei Medicaid-Versicherten mit 49,20 % weit häufiger als bei privat (11,89 %) oder über Medicare (5,20 %) Versicherten; Wohnungsunsicherheit lag bei 54,61 %, 25,18 % und 14,99 %. Ernährungsunsicherheit ging in allen Gruppen mit häufiger unterlassener Versorgung einher.</w:t>
      </w:r>
    </w:p>
    <w:p>
      <w:r>
        <w:rPr>
          <w:color w:val="5A7D3A"/>
          <w:sz w:val="18"/>
        </w:rPr>
        <w:t>https://pubmed.ncbi.nlm.nih.gov/42583901/</w:t>
      </w:r>
    </w:p>
    <w:p>
      <w:pPr>
        <w:pStyle w:val="Heading2"/>
      </w:pPr>
      <w:r>
        <w:t>Leitlinientreue in der Nachsorge nach akuter Nierenschädigung</w:t>
      </w:r>
    </w:p>
    <w:p>
      <w:r>
        <w:rPr>
          <w:i/>
          <w:color w:val="666666"/>
          <w:sz w:val="18"/>
        </w:rPr>
        <w:t>Mok PLH et al.  ·  BMC Medicine  ·  12.08.2026  ·  PMID 42581362</w:t>
      </w:r>
    </w:p>
    <w:p>
      <w:r>
        <w:t>Routinedatenanalyse zur Frage, wie konsequent die empfohlene Nachsorge nach akuter Nierenschädigung umgesetzt wird.</w:t>
      </w:r>
    </w:p>
    <w:p>
      <w:r>
        <w:rPr>
          <w:b/>
        </w:rPr>
        <w:t xml:space="preserve">Ergebnis: </w:t>
      </w:r>
      <w:r>
        <w:t>Bei 209.222 Patientinnen und Patienten (279.187 Episoden) wurde die Nierenschädigung nur in 19,5 % kodiert (95%-KI 18,5–20,5); 72,6 % hatten Hausarztkontakt, aber nur 34,2 % eine Kreatininkontrolle nach 90 Tagen und 4,2 % eine Albumin-Kreatinin-Bestimmung. Die empfohlene Nachsorge findet weitgehend nicht statt.</w:t>
      </w:r>
    </w:p>
    <w:p>
      <w:r>
        <w:rPr>
          <w:color w:val="5A7D3A"/>
          <w:sz w:val="18"/>
        </w:rPr>
        <w:t>https://pubmed.ncbi.nlm.nih.gov/42581362/</w:t>
      </w:r>
    </w:p>
    <w:p>
      <w:pPr>
        <w:pStyle w:val="Heading1"/>
      </w:pPr>
      <w:r>
        <w:t>Aufgenommen am 10.08.2026</w:t>
      </w:r>
    </w:p>
    <w:p>
      <w:pPr>
        <w:pStyle w:val="Heading2"/>
      </w:pPr>
      <w:r>
        <w:t>ConcePTION-Algorithmus: Schwangerschaften in Routinedaten erkennen</w:t>
      </w:r>
    </w:p>
    <w:p>
      <w:r>
        <w:rPr>
          <w:i/>
          <w:color w:val="666666"/>
          <w:sz w:val="18"/>
        </w:rPr>
        <w:t>Limoncella G et al.  ·  Pharmacoepidemiology and Drug Safety  ·  Aug. 2026  ·  PMID 42571911</w:t>
      </w:r>
    </w:p>
    <w:p>
      <w:r>
        <w:t>Entwicklung und Anwendung eines Algorithmus, der Schwangerschaften in bevölkerungsbezogenen Gesundheitsdatenbanken identifiziert.</w:t>
      </w:r>
    </w:p>
    <w:p>
      <w:r>
        <w:rPr>
          <w:b/>
        </w:rPr>
        <w:t xml:space="preserve">Ergebnis: </w:t>
      </w:r>
      <w:r>
        <w:t>Über 10 europäische Datenbanken wurden rund 2,7 Mio. Schwangerschaften erkannt; 50–83 % endeten in Lebendgeburten, 4–10 % in Fehlgeburten. Das Gestationsalter war für 6–89 % der Datensätze schätzbar (RMSE 17–50 Tage). Das verbessert die Nutzung von Routinedaten für die Arzneimittelsicherheit in der Schwangerschaft.</w:t>
      </w:r>
    </w:p>
    <w:p>
      <w:r>
        <w:rPr>
          <w:color w:val="5A7D3A"/>
          <w:sz w:val="18"/>
        </w:rPr>
        <w:t>https://pubmed.ncbi.nlm.nih.gov/42571911/</w:t>
      </w:r>
    </w:p>
    <w:p>
      <w:pPr>
        <w:pStyle w:val="Heading2"/>
      </w:pPr>
      <w:r>
        <w:t>Wartezeit von Diagnose bis Operation beim Zervixkarzinom</w:t>
      </w:r>
    </w:p>
    <w:p>
      <w:r>
        <w:rPr>
          <w:i/>
          <w:color w:val="666666"/>
          <w:sz w:val="18"/>
        </w:rPr>
        <w:t>Jalink M et al.  ·  Cancer Epidemiology  ·  04.08.2026  ·  PMID 42551070</w:t>
      </w:r>
    </w:p>
    <w:p>
      <w:r>
        <w:t>Kohortenstudie zum Zusammenhang zwischen dem Intervall Diagnose–Operation und dem Gesamtüberleben.</w:t>
      </w:r>
    </w:p>
    <w:p>
      <w:r>
        <w:rPr>
          <w:b/>
        </w:rPr>
        <w:t xml:space="preserve">Ergebnis: </w:t>
      </w:r>
      <w:r>
        <w:t>Bei 1.501 Patientinnen (mediane Wartezeit 80 Tage) war ein sehr kurzes Intervall (2–6 Wochen) mit erhöhtem Sterberisiko verbunden (HR 2,33; 95%-KI 1,14–4,77) gegenüber 10–14 Wochen; das Muster war U-förmig. Sowohl sehr kurze als auch sehr lange Wartezeiten erscheinen ungünstig.</w:t>
      </w:r>
    </w:p>
    <w:p>
      <w:r>
        <w:rPr>
          <w:color w:val="5A7D3A"/>
          <w:sz w:val="18"/>
        </w:rPr>
        <w:t>https://pubmed.ncbi.nlm.nih.gov/42551070/</w:t>
      </w:r>
    </w:p>
    <w:p>
      <w:pPr>
        <w:pStyle w:val="Heading1"/>
      </w:pPr>
      <w:r>
        <w:t>Aufgenommen am 09.08.2026</w:t>
      </w:r>
    </w:p>
    <w:p>
      <w:pPr>
        <w:pStyle w:val="Heading2"/>
      </w:pPr>
      <w:r>
        <w:t>Aufhörversuche beim Shisha-Rauchen junger Erwachsener in Deutschland</w:t>
      </w:r>
    </w:p>
    <w:p>
      <w:r>
        <w:rPr>
          <w:i/>
          <w:color w:val="666666"/>
          <w:sz w:val="18"/>
        </w:rPr>
        <w:t>Fedler C et al.  ·  Tobacco Use Insights  ·  07.08.2026  ·  PMID 42571166</w:t>
      </w:r>
    </w:p>
    <w:p>
      <w:r>
        <w:t>Befragung zu Aufhörverhalten und dessen Prädiktoren bei jungen Shisha-Rauchenden in Deutschland.</w:t>
      </w:r>
    </w:p>
    <w:p>
      <w:r>
        <w:rPr>
          <w:b/>
        </w:rPr>
        <w:t xml:space="preserve">Ergebnis: </w:t>
      </w:r>
      <w:r>
        <w:t>Nur 14,6 % (95%-KI 11,9–17,8) hatten je einen Aufhörversuch unternommen; die wahrgenommene Abhängigkeit war der einzige signifikante Prädiktor. Präventions- und Entwöhnungsangebote erreichen die Gruppe bislang kaum.</w:t>
      </w:r>
    </w:p>
    <w:p>
      <w:r>
        <w:rPr>
          <w:color w:val="5A7D3A"/>
          <w:sz w:val="18"/>
        </w:rPr>
        <w:t>https://pubmed.ncbi.nlm.nih.gov/42571166/</w:t>
      </w:r>
    </w:p>
    <w:p>
      <w:pPr>
        <w:pStyle w:val="Heading2"/>
      </w:pPr>
      <w:r>
        <w:t>Determinanten der Teilnahme am Mammographie-Screening (Ankara, Türkei)</w:t>
      </w:r>
    </w:p>
    <w:p>
      <w:r>
        <w:rPr>
          <w:i/>
          <w:color w:val="666666"/>
          <w:sz w:val="18"/>
        </w:rPr>
        <w:t>Topcu FB et al.  ·  BMC Health Services Research  ·  07.08.2026  ·  PMID 42571012</w:t>
      </w:r>
    </w:p>
    <w:p>
      <w:r>
        <w:t>Querschnittstudie zu Faktoren, die die Inanspruchnahme der Brustkrebs-Früherkennung bei Frauen beeinflussen.</w:t>
      </w:r>
    </w:p>
    <w:p>
      <w:r>
        <w:rPr>
          <w:b/>
        </w:rPr>
        <w:t xml:space="preserve">Ergebnis: </w:t>
      </w:r>
      <w:r>
        <w:t>Frauen, die Screening-Programme kannten, nahmen 8,5-mal häufiger teil; nach früherer anderer Krebsfrüherkennung 5,5-mal häufiger; eine chronische Erkrankung verdoppelte die Chance. Bekanntheit und Aufklärung sind die zentralen Hebel.</w:t>
      </w:r>
    </w:p>
    <w:p>
      <w:r>
        <w:rPr>
          <w:color w:val="5A7D3A"/>
          <w:sz w:val="18"/>
        </w:rPr>
        <w:t>https://pubmed.ncbi.nlm.nih.gov/42571012/</w:t>
      </w:r>
    </w:p>
    <w:p>
      <w:pPr>
        <w:pStyle w:val="Heading2"/>
      </w:pPr>
      <w:r>
        <w:t>Therapieunterbrechende Systemfehler der Heim-Peritonealdialyse (HomeChoice-Cycler)</w:t>
      </w:r>
    </w:p>
    <w:p>
      <w:r>
        <w:rPr>
          <w:i/>
          <w:color w:val="666666"/>
          <w:sz w:val="18"/>
        </w:rPr>
        <w:t>Albert A et al.  ·  BMC Health Services Research  ·  08.08.2026  ·  PMID 42571003</w:t>
      </w:r>
    </w:p>
    <w:p>
      <w:r>
        <w:t>Analyse technischer Fehler bei der Heimdialyse und ihrer Häufigkeit im Versorgungsalltag.</w:t>
      </w:r>
    </w:p>
    <w:p>
      <w:r>
        <w:rPr>
          <w:b/>
        </w:rPr>
        <w:t xml:space="preserve">Ergebnis: </w:t>
      </w:r>
      <w:r>
        <w:t>49 verschiedene Fehlertypen in 138 Vorfällen; Druckkammer-Fehler machten 21,7 % aus; Fehler traten in unter 0,25 % der Behandlungssitzungen auf. Die Heimtechnik ist überwiegend zuverlässig; einzelne Fehlerquellen sind gezielt adressierbar.</w:t>
      </w:r>
    </w:p>
    <w:p>
      <w:r>
        <w:rPr>
          <w:color w:val="5A7D3A"/>
          <w:sz w:val="18"/>
        </w:rPr>
        <w:t>https://pubmed.ncbi.nlm.nih.gov/42571003/</w:t>
      </w:r>
    </w:p>
    <w:p>
      <w:pPr>
        <w:pStyle w:val="Heading2"/>
      </w:pPr>
      <w:r>
        <w:t>Lebensqualität nach risikoreduzierender Hysterektomie</w:t>
      </w:r>
    </w:p>
    <w:p>
      <w:r>
        <w:rPr>
          <w:i/>
          <w:color w:val="666666"/>
          <w:sz w:val="18"/>
        </w:rPr>
        <w:t>Oxley S et al.  ·  Gynecologic Oncology  ·  08.08.2026  ·  PMID 42570385</w:t>
      </w:r>
    </w:p>
    <w:p>
      <w:r>
        <w:t>Untersuchung der gesundheitsbezogenen Lebensqualität (Nutzwerte) nach vorbeugender Gebärmutterentfernung.</w:t>
      </w:r>
    </w:p>
    <w:p>
      <w:r>
        <w:rPr>
          <w:b/>
        </w:rPr>
        <w:t xml:space="preserve">Ergebnis: </w:t>
      </w:r>
      <w:r>
        <w:t>Mittlere Nutzwerte lagen je nach Eingriff und Zeitpunkt zwischen 0,670 und 0,942, mit signifikanten Gruppenunterschieden (p &lt; 0,001). Art und Zeitpunkt des Eingriffs beeinflussen die Lebensqualität deutlich.</w:t>
      </w:r>
    </w:p>
    <w:p>
      <w:r>
        <w:rPr>
          <w:color w:val="5A7D3A"/>
          <w:sz w:val="18"/>
        </w:rPr>
        <w:t>https://pubmed.ncbi.nlm.nih.gov/42570385/</w:t>
      </w:r>
    </w:p>
    <w:p>
      <w:pPr>
        <w:pStyle w:val="Heading2"/>
      </w:pPr>
      <w:r>
        <w:t>Orale Antikoagulation und neu auftretende Demenz bei Vorhofflimmern</w:t>
      </w:r>
    </w:p>
    <w:p>
      <w:r>
        <w:rPr>
          <w:i/>
          <w:color w:val="666666"/>
          <w:sz w:val="18"/>
        </w:rPr>
        <w:t>Belachew EA et al.  ·  GeroScience  ·  08.08.2026  ·  PMID 42570194</w:t>
      </w:r>
    </w:p>
    <w:p>
      <w:r>
        <w:t>Real-World-Kohortenstudie zum Zusammenhang zwischen Art des Gerinnungshemmers und Demenzrisiko.</w:t>
      </w:r>
    </w:p>
    <w:p>
      <w:r>
        <w:rPr>
          <w:b/>
        </w:rPr>
        <w:t xml:space="preserve">Ergebnis: </w:t>
      </w:r>
      <w:r>
        <w:t>DOAK gingen mit geringerem Demenzrisiko einher (HR 0,63; 95%-KI 0,56–0,70), Warfarin mit höherem Risiko (HR 1,31; 95%-KI 1,16–1,49). Die Wirkstoffwahl könnte für die kognitive Langzeitprognose bedeutsam sein.</w:t>
      </w:r>
    </w:p>
    <w:p>
      <w:r>
        <w:rPr>
          <w:color w:val="5A7D3A"/>
          <w:sz w:val="18"/>
        </w:rPr>
        <w:t>https://pubmed.ncbi.nlm.nih.gov/42570194/</w:t>
      </w:r>
    </w:p>
    <w:p>
      <w:pPr>
        <w:pStyle w:val="Heading2"/>
      </w:pPr>
      <w:r>
        <w:t>Adhärenz zu Bewegungsleitlinien bei US-Krebsüberlebenden</w:t>
      </w:r>
    </w:p>
    <w:p>
      <w:r>
        <w:rPr>
          <w:i/>
          <w:color w:val="666666"/>
          <w:sz w:val="18"/>
        </w:rPr>
        <w:t>Kumar G et al.  ·  Journal of Cancer Survivorship  ·  08.08.2026  ·  PMID 42570052</w:t>
      </w:r>
    </w:p>
    <w:p>
      <w:r>
        <w:t>Auswertung landesweiter Surveydaten zur Einhaltung der Empfehlungen für körperliche Aktivität über die Zeit.</w:t>
      </w:r>
    </w:p>
    <w:p>
      <w:r>
        <w:rPr>
          <w:b/>
        </w:rPr>
        <w:t xml:space="preserve">Ergebnis: </w:t>
      </w:r>
      <w:r>
        <w:t>Die Adhärenz stieg von 9,2 % (2010) auf 22,0 % (2015) und fiel bis 2020 wieder auf 8,7 %. Anhaltend niedrige, zuletzt rückläufige Werte weisen auf Versorgungslücken in der Bewegungsförderung hin.</w:t>
      </w:r>
    </w:p>
    <w:p>
      <w:r>
        <w:rPr>
          <w:color w:val="5A7D3A"/>
          <w:sz w:val="18"/>
        </w:rPr>
        <w:t>https://pubmed.ncbi.nlm.nih.gov/42570052/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2026-08-15T06:00:00Z</dcterms:created>
  <dcterms:modified xsi:type="dcterms:W3CDTF">2026-08-15T06:00:00Z</dcterms:modified>
  <cp:category/>
</cp:coreProperties>
</file>