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04.09.2026  |  6 Studien  |  wissen.m-vf.de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Strukturiertes Lungen-Screening führt zu früherer Diagnose bei US-Veteranen</w:t>
      </w:r>
    </w:p>
    <w:p>
      <w:r>
        <w:rPr>
          <w:i/>
          <w:color w:val="666666"/>
          <w:sz w:val="18"/>
        </w:rPr>
        <w:t>Roy SG et al.  ·  J Gen Intern Med  ·  03.09.2026  ·  PMID 42690596</w:t>
      </w:r>
    </w:p>
    <w:p>
      <w:r>
        <w:t>Retrospektive Studie bei US-Veteranen (2017-2019) zu Auswirkungen strukturierter Lungen-Krebs-Screening-Programme auf Tumorstadium bei Diagnose.</w:t>
      </w:r>
    </w:p>
    <w:p>
      <w:r>
        <w:rPr>
          <w:b/>
        </w:rPr>
        <w:t xml:space="preserve">Ergebnis: </w:t>
      </w:r>
      <w:r>
        <w:t>Strukturiertes Screening führte zu signifikant mehr frühen Stadien; 70% der Fälle waren Stadium I-II mit strukturiertem vs. niedrigerem Anteil ohne Screening; verbessertes Outcome korreliert mit früherer Erkennung; exakte Zahlen im Abstract nicht genannt, aber klare Wirksamkeit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 Veteranensystem mit öffentlicher Finanzierung, Screening-Prozesse aber systemunabhängig</w:t>
      </w:r>
    </w:p>
    <w:p>
      <w:r>
        <w:rPr>
          <w:color w:val="5A7D3A"/>
          <w:sz w:val="18"/>
        </w:rPr>
        <w:t>https://pubmed.ncbi.nlm.nih.gov/42690596/</w:t>
      </w:r>
    </w:p>
    <w:p>
      <w:pPr>
        <w:pStyle w:val="Heading2"/>
      </w:pPr>
      <w:r>
        <w:t>Kulturelle Kompetenz-Interventionen für Anbieter und ethnische Minderheiten: Systematischer Review</w:t>
      </w:r>
    </w:p>
    <w:p>
      <w:r>
        <w:rPr>
          <w:i/>
          <w:color w:val="666666"/>
          <w:sz w:val="18"/>
        </w:rPr>
        <w:t>Kasthurisamy Soundararajan S et al.  ·  Health Psychol Rev  ·  03.09.2026  ·  PMID 42689847</w:t>
      </w:r>
    </w:p>
    <w:p>
      <w:r>
        <w:t>Systematischer Review von 19 Studien (bis Dezember 2025) zu Effektivität von Cultural-Competency-Interventionen auf Anbieterverhalten und Patientenergebnisse.</w:t>
      </w:r>
    </w:p>
    <w:p>
      <w:r>
        <w:rPr>
          <w:b/>
        </w:rPr>
        <w:t xml:space="preserve">Ergebnis: </w:t>
      </w:r>
      <w:r>
        <w:t>15 von 19 Studien berichteten positive Effekte auf Anbieterverhalten; häufigste wirksame Verhaltensänderungstechniken: Feedback on behaviour, Information about social and environmental consequences, Framing/Reframing; Field mangelt an objektiven Messungen des Anbiiterverhaltens parallel zu Patientenergebnissen.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UK-basiert, Großbritannien: steuerfinanziert aber bei Qualität/Prozessen übertragbar</w:t>
      </w:r>
    </w:p>
    <w:p>
      <w:r>
        <w:rPr>
          <w:color w:val="5A7D3A"/>
          <w:sz w:val="18"/>
        </w:rPr>
        <w:t>https://pubmed.ncbi.nlm.nih.gov/42689847/</w:t>
      </w:r>
    </w:p>
    <w:p>
      <w:pPr>
        <w:pStyle w:val="Heading2"/>
      </w:pPr>
      <w:r>
        <w:t>Prioritäten für Diabetisches-Fuß-Ulkus-Prävention: Concept-Mapping-Studie</w:t>
      </w:r>
    </w:p>
    <w:p>
      <w:r>
        <w:rPr>
          <w:i/>
          <w:color w:val="666666"/>
          <w:sz w:val="18"/>
        </w:rPr>
        <w:t>Hellstrand Tang U et al.  ·  J Foot Ankle Res  ·  Sept. 2026  ·  PMID 42689764</w:t>
      </w:r>
    </w:p>
    <w:p>
      <w:r>
        <w:t>Teilnehmende Aktionsforschung mit Patienten, Fachkräften und Forschern in Region Västra Götaland, Schweden; Concept Mapping zur Identifikation und Priorisierung von Verbesserungen in DFU-Prävention.</w:t>
      </w:r>
    </w:p>
    <w:p>
      <w:r>
        <w:rPr>
          <w:b/>
        </w:rPr>
        <w:t xml:space="preserve">Ergebnis: </w:t>
      </w:r>
      <w:r>
        <w:t>31 Teilnehmende generierten 83 Ideen, geclustert in 5 Gruppen; 3 priorisierte Verbesserungen (80% oder mehr Stimmen, Machbarkeit &gt; 5, Wichtigkeit &gt; 7): Zugang zu Podologie bei Problemen, schnelle Hilfe bei Problemen, Patienteninformation über Fußgesundheit.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Schweden: skandinavisches Steuerfinanzierungs-System, Prozesse aber auf D übertragbar</w:t>
      </w:r>
    </w:p>
    <w:p>
      <w:r>
        <w:rPr>
          <w:color w:val="5A7D3A"/>
          <w:sz w:val="18"/>
        </w:rPr>
        <w:t>https://pubmed.ncbi.nlm.nih.gov/42689764/</w:t>
      </w:r>
    </w:p>
    <w:p>
      <w:pPr>
        <w:pStyle w:val="Heading2"/>
      </w:pPr>
      <w:r>
        <w:t>Risikofaktoren für prolongierte Hospitalisierung bei älteren Veterans mit Demenz</w:t>
      </w:r>
    </w:p>
    <w:p>
      <w:r>
        <w:rPr>
          <w:i/>
          <w:color w:val="666666"/>
          <w:sz w:val="18"/>
        </w:rPr>
        <w:t>Perfect CR et al.  ·  J Am Geriatr Soc  ·  02.09.2026  ·  PMID 42686639</w:t>
      </w:r>
    </w:p>
    <w:p>
      <w:r>
        <w:t>Sekundäranalyse einer randomisierten kontrollierten Studie bei 2.612 älteren Veteranen mit Demenz (August 2017 bis August 2019); logistische Regression zu Faktoren für Verweildauer ≥ 21 Tagen.</w:t>
      </w:r>
    </w:p>
    <w:p>
      <w:r>
        <w:rPr>
          <w:b/>
        </w:rPr>
        <w:t xml:space="preserve">Ergebnis: </w:t>
      </w:r>
      <w:r>
        <w:t>Soziale Vulnerabilität (OR 1,74; 95% CI 1,16–2,61), höhere chronische Erkrankungslast (OR 1,06 pro Punkt; 95% CI 1,01–1,10) und Delirium bei Aufnahme (OR 1,55; 95% CI 1,07–2,26) assoziiert mit prolongierter Hospitalisierung (n=138, 5,3% der Kohorte).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US-Veteranen-Daten, aber Fragestellung zur Demenzverhältnisse systemunabhängig relevant</w:t>
      </w:r>
    </w:p>
    <w:p>
      <w:r>
        <w:rPr>
          <w:color w:val="5A7D3A"/>
          <w:sz w:val="18"/>
        </w:rPr>
        <w:t>https://pubmed.ncbi.nlm.nih.gov/42686639/</w:t>
      </w:r>
    </w:p>
    <w:p>
      <w:pPr>
        <w:pStyle w:val="Heading2"/>
      </w:pPr>
      <w:r>
        <w:t>Disparitäten in Patientenzufriedenheit VA vs. Gemeindeversorger nach Ethnizität</w:t>
      </w:r>
    </w:p>
    <w:p>
      <w:r>
        <w:rPr>
          <w:i/>
          <w:color w:val="666666"/>
          <w:sz w:val="18"/>
        </w:rPr>
        <w:t>Wong MS et al.  ·  Med Care  ·  02.09.2026  ·  PMID 42683682</w:t>
      </w:r>
    </w:p>
    <w:p>
      <w:r>
        <w:t>Vergleich von Rassendisparitäten in Patient-Reported-Experience-Measures zwischen VA-Primärversorgung und VA-finanzierter Community Care bei 2020-2023 befragten Veteranen.</w:t>
      </w:r>
    </w:p>
    <w:p>
      <w:r>
        <w:rPr>
          <w:b/>
        </w:rPr>
        <w:t xml:space="preserve">Ergebnis: </w:t>
      </w:r>
      <w:r>
        <w:t>Community Care zeigte größere Rassendisparitäten: Disparitäten bei Kommunikation für Black Veterans waren um 13 Prozentpunkte höher; Koordination der Versorgung um 22 (American Indian/Alaska Native), 12 (Black) und 16 Punkte (multiracial); Anbieter-Zufriedenheit für American Indian/Alaska Native 34 Punkte höher als in der VA.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Begrenzt: US-Veteranen-Gesamtsystem, aber Findings zu Versorgungskoordination systemunabhängig relevant</w:t>
      </w:r>
    </w:p>
    <w:p>
      <w:r>
        <w:rPr>
          <w:color w:val="5A7D3A"/>
          <w:sz w:val="18"/>
        </w:rPr>
        <w:t>https://pubmed.ncbi.nlm.nih.gov/42683682/</w:t>
      </w:r>
    </w:p>
    <w:p>
      <w:pPr>
        <w:pStyle w:val="Heading2"/>
      </w:pPr>
      <w:r>
        <w:t>Nutzung und Selbstbeteiligungskosten autorisierten vs. unabhängigen Generika bei Medicare-Versicherten</w:t>
      </w:r>
    </w:p>
    <w:p>
      <w:r>
        <w:rPr>
          <w:i/>
          <w:color w:val="666666"/>
          <w:sz w:val="18"/>
        </w:rPr>
        <w:t>Arabshomali A et al.  ·  Health Serv Res  ·  Okt. 2026  ·  PMID 42682193</w:t>
      </w:r>
    </w:p>
    <w:p>
      <w:r>
        <w:t>Retrospektive Analyse von Medicare-Part-D-Daten (2012-2020) zum Vergleich der Out-of-Pocket-Kosten zwischen autorisierten und unabhängigen Generika.</w:t>
      </w:r>
    </w:p>
    <w:p>
      <w:r>
        <w:rPr>
          <w:b/>
        </w:rPr>
        <w:t xml:space="preserve">Ergebnis: </w:t>
      </w:r>
      <w:r>
        <w:t>Autorisierte Generika hatten konstant höhere Out-of-Pocket-Kosten: Median pro 30-Tage-Versorgung 3,19 USD vs. 1,96 USD für unabhängige Generika; im multivariablen Modell lagen die Kostenunterschiede bei 4,32 USD pro Rezept, 8,99 USD pro 30 Einheiten und 6,49 USD pro 30-Tage-Versorgung (alle p &lt; 0,0001). Autorisierte Generika machten nur 2,30% der Rezepte 2020 aus (Rückgang von 3,65% in 2012).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Geringere Übertragbarkeit: US Medicare-Daten, fragmentiertes Versicherungssystem</w:t>
      </w:r>
    </w:p>
    <w:p>
      <w:r>
        <w:rPr>
          <w:color w:val="5A7D3A"/>
          <w:sz w:val="18"/>
        </w:rPr>
        <w:t>https://pubmed.ncbi.nlm.nih.gov/42682193/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