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16.10.2026  |  6 Studien  |  wissen.m-vf.de</w:t>
      </w:r>
    </w:p>
    <w:p>
      <w:pPr>
        <w:pStyle w:val="Heading1"/>
      </w:pPr>
      <w:r>
        <w:t>Aufgenommen am 16.10.2026</w:t>
      </w:r>
    </w:p>
    <w:p>
      <w:pPr>
        <w:pStyle w:val="Heading2"/>
      </w:pPr>
      <w:r>
        <w:t>Medizinische Kunstfehlerfälle in Katalonien: 22 Jahre Trends</w:t>
      </w:r>
    </w:p>
    <w:p>
      <w:r>
        <w:rPr>
          <w:i/>
          <w:color w:val="666666"/>
          <w:sz w:val="18"/>
        </w:rPr>
        <w:t>Arimany-Manso J et al.  ·  Health Policy  ·  13.10.2026  ·  PMID 42879821</w:t>
      </w:r>
    </w:p>
    <w:p>
      <w:r>
        <w:t>Retrospektive Analyse von 22 Jahren Kunstfehlermeldungen im katalanischen Versicherungssystem mit Fokus auf Trends und Unterschiede zwischen Fachbereichen.</w:t>
      </w:r>
    </w:p>
    <w:p>
      <w:r>
        <w:rPr>
          <w:b/>
        </w:rPr>
        <w:t xml:space="preserve">Ergebnis: </w:t>
      </w:r>
      <w:r>
        <w:t>Bei 22 % Bevölkerungswachstum sanken Kunstfehlerfälle um 9,5 %, adjustierte Raten sogar um 26,1 % (p &lt; 0,0005). Chirurgische Fälle fielen um 34,0 %, Notfallmedizin um 20,5 %; mittlere Latenz zwischen Ereignis und Anspruch: 23,9 Monate. Dies widerspricht der Wahrnehmung steigender 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Katalonisches Versicherungsmodell, vergleichbar mit deutschen Strukturen und Sozialversicherungen</w:t>
      </w:r>
    </w:p>
    <w:p>
      <w:r>
        <w:rPr>
          <w:color w:val="5A7D3A"/>
          <w:sz w:val="18"/>
        </w:rPr>
        <w:t>https://pubmed.ncbi.nlm.nih.gov/42879821/</w:t>
      </w:r>
    </w:p>
    <w:p>
      <w:pPr>
        <w:pStyle w:val="Heading2"/>
      </w:pPr>
      <w:r>
        <w:t>Langzeiteffekte von Community-Screening auf kardiovaskuläres Risiko und Verhalten</w:t>
      </w:r>
    </w:p>
    <w:p>
      <w:r>
        <w:rPr>
          <w:i/>
          <w:color w:val="666666"/>
          <w:sz w:val="18"/>
        </w:rPr>
        <w:t>Gani LU et al.  ·  Singapore Med J  ·  15.10.2026  ·  PMID 42879299</w:t>
      </w:r>
    </w:p>
    <w:p>
      <w:r>
        <w:t>Achtjährige Beobachtungsstudie (2011–2019): 28.565 Teilnehmer an ECHO-Screening; Auswertung der Auswirkungen auf Risikofaktoren, Arztbesuche und Gesundheitsverhalten.</w:t>
      </w:r>
    </w:p>
    <w:p>
      <w:r>
        <w:rPr>
          <w:b/>
        </w:rPr>
        <w:t xml:space="preserve">Ergebnis: </w:t>
      </w:r>
      <w:r>
        <w:t>12.762 Personen beim Screening teilgenommen, 5.977 (46,8 %) hatten abnorme Befunde; 56 % besuchten Hausarzt innerhalb eines Jahres. Bewohner von kostengünstigen Wohnungen zeigten höhere Besuchsraten (74 % vs. 52,5 %, p &lt; 0,001). Wiederholte ECHO-Teilnahme war mit verbesserten kardiomet. Indikatoren assoziiert trotz bescheidener Verhaltensänderungen.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Singapur, vergleichbare Mehrschichtstruktur; Befunde zu niederschwelligem Screening in Gemeinden übertragbar</w:t>
      </w:r>
    </w:p>
    <w:p>
      <w:r>
        <w:rPr>
          <w:color w:val="5A7D3A"/>
          <w:sz w:val="18"/>
        </w:rPr>
        <w:t>https://pubmed.ncbi.nlm.nih.gov/42879299/</w:t>
      </w:r>
    </w:p>
    <w:p>
      <w:pPr>
        <w:pStyle w:val="Heading2"/>
      </w:pPr>
      <w:r>
        <w:t>Telehealth bei Morbus Parkinson: Urbane vs. ländliche Disparitäten</w:t>
      </w:r>
    </w:p>
    <w:p>
      <w:r>
        <w:rPr>
          <w:i/>
          <w:color w:val="666666"/>
          <w:sz w:val="18"/>
        </w:rPr>
        <w:t>Gros P et al.  ·  Can J Neurol Sci  ·  15.10.2026  ·  PMID 42878209</w:t>
      </w:r>
    </w:p>
    <w:p>
      <w:r>
        <w:t>Populationsgestützte Querschnittsstudie von 24.736 Patienten mit Parkinson in Ontario (März 2020–August 2023) zur Telehealth-Nutzung in Stadt vs. Land.</w:t>
      </w:r>
    </w:p>
    <w:p>
      <w:r>
        <w:rPr>
          <w:b/>
        </w:rPr>
        <w:t xml:space="preserve">Ergebnis: </w:t>
      </w:r>
      <w:r>
        <w:t>Ländliche Patienten hatten signifikant niedrigere Telehealth-Raten zu Neurologen (aRR 0,93; 95%-KI 0,90–0,96), Hausärzten (aRR 0,73; 95%-KI 0,70–0,77) und Geriatrie/Psychiatrie (aRR 0,67; 95%-KI 0,65–0,77). Telehealth fiel über 3,5 Jahre bei Neurologen auf aRR 0,23, bei Hausärzten auf aRR 0,39.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steuerfinanziert; Befunde zu Zugangsungleichheit sind systemunabhängig relevant</w:t>
      </w:r>
    </w:p>
    <w:p>
      <w:r>
        <w:rPr>
          <w:color w:val="5A7D3A"/>
          <w:sz w:val="18"/>
        </w:rPr>
        <w:t>https://pubmed.ncbi.nlm.nih.gov/42878209/</w:t>
      </w:r>
    </w:p>
    <w:p>
      <w:pPr>
        <w:pStyle w:val="Heading2"/>
      </w:pPr>
      <w:r>
        <w:t>SMS-Erinnerungen zur Zervixkrebsvorsorge: Effektivität bei Massenimplementierung</w:t>
      </w:r>
    </w:p>
    <w:p>
      <w:r>
        <w:rPr>
          <w:i/>
          <w:color w:val="666666"/>
          <w:sz w:val="18"/>
        </w:rPr>
        <w:t>Nichol B et al.  ·  Lancet Prim Care  ·  Sept. 2026  ·  PMID 42877070</w:t>
      </w:r>
    </w:p>
    <w:p>
      <w:r>
        <w:t>Rückwirkende Analyse der flächendeckenden Einführung von GP-unterstützten SMS-Erinnerungen für Zervixkrebsscreenings in London (Juni 2021–März 2024).</w:t>
      </w:r>
    </w:p>
    <w:p>
      <w:r>
        <w:rPr>
          <w:b/>
        </w:rPr>
        <w:t xml:space="preserve">Ergebnis: </w:t>
      </w:r>
      <w:r>
        <w:t>Von 3.127.759 Personen erhielten 2.112.003 (67,5 %) SMS-Erinnerungen. Teilnahmequote mit SMS: 51,7 % vs. ohne SMS: 25,0 %; Odds Ratio 3,36 (95%-KI 3,31–3,40, p &lt; 0,0001). SMS-Versand stieg Teilnahme um 1,7 Prozentpunkte.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Primärversorgung, gut übertragbar auf deutsche Screeningprogramme in der Hausarztpraxis</w:t>
      </w:r>
    </w:p>
    <w:p>
      <w:r>
        <w:rPr>
          <w:color w:val="5A7D3A"/>
          <w:sz w:val="18"/>
        </w:rPr>
        <w:t>https://pubmed.ncbi.nlm.nih.gov/42877070/</w:t>
      </w:r>
    </w:p>
    <w:p>
      <w:pPr>
        <w:pStyle w:val="Heading2"/>
      </w:pPr>
      <w:r>
        <w:t>Generationensolidarität in der Pandemie: Geschlechter- und Altersstereotype in deutschen Medien</w:t>
      </w:r>
    </w:p>
    <w:p>
      <w:r>
        <w:rPr>
          <w:i/>
          <w:color w:val="666666"/>
          <w:sz w:val="18"/>
        </w:rPr>
        <w:t>Boser EK et al.  ·  Int J Equity Health  ·  12.10.2026  ·  PMID 42875791</w:t>
      </w:r>
    </w:p>
    <w:p>
      <w:r>
        <w:t>Qualitative Inhaltsanalyse von 351 Artikeln aus zwei großen deutschen Wochenzeitungen (März 2020–Juni 2022) zur Verschränkung von Generationen-, Geschlechter- und Altersdebatten während COVID-19.</w:t>
      </w:r>
    </w:p>
    <w:p>
      <w:r>
        <w:rPr>
          <w:b/>
        </w:rPr>
        <w:t xml:space="preserve">Ergebnis: </w:t>
      </w:r>
      <w:r>
        <w:t>Mediendebatten zeigten Verwobenheit von Altersrassismus und Geschlechternormen. Zwei paradigmatische Fälle offenbarten persistente geschlechts- und altersspezifische Annahmen über Moralakteure und Solidaritätserwartungen. Festgestellte gendered age divide widerlegt simplistische Solidaritätsnarrative und bekräftigt Notwendigkeit intersektionaler Perspektiven.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Medienanalyse, direkt auf deutsches Versorgungssystem und Gesundheitspolitik anwendbar</w:t>
      </w:r>
    </w:p>
    <w:p>
      <w:r>
        <w:rPr>
          <w:color w:val="5A7D3A"/>
          <w:sz w:val="18"/>
        </w:rPr>
        <w:t>https://pubmed.ncbi.nlm.nih.gov/42875791/</w:t>
      </w:r>
    </w:p>
    <w:p>
      <w:pPr>
        <w:pStyle w:val="Heading2"/>
      </w:pPr>
      <w:r>
        <w:t>Kosteneffektivität von Rehabilitations-Follow-up zuhause statt in Einrichtungen</w:t>
      </w:r>
    </w:p>
    <w:p>
      <w:r>
        <w:rPr>
          <w:i/>
          <w:color w:val="666666"/>
          <w:sz w:val="18"/>
        </w:rPr>
        <w:t>Gamble CJ et al.  ·  Eur J Health Econ  ·  15.10.2026  ·  PMID 42875712</w:t>
      </w:r>
    </w:p>
    <w:p>
      <w:r>
        <w:t>Prospektive Kohortenstudie mit historischer Kontrolle: Vergleich von Heimrehabilitation nach verkürztem stationärem Aufenthalt versus konventioneller rein stationärer Rehabilitation (350 Patienten, 8 niederländische Zentren).</w:t>
      </w:r>
    </w:p>
    <w:p>
      <w:r>
        <w:rPr>
          <w:b/>
        </w:rPr>
        <w:t xml:space="preserve">Ergebnis: </w:t>
      </w:r>
      <w:r>
        <w:t>Incremental Effect: 0,44 Barthel-Index-Punkte (95%-KI −0,44 bis 1,31); Kosten: −€722,63 (95%-KI −€2.693,68 bis €1.248,43). Adjustierte Kosten betrugen −€654,72 pro Patient (95%-KI −€1.035,66 bis −€267,48). Better@Home erzielte vergleichbare ADL-Unabhängigkeit bei niedrigeren 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Sozialversicherungssystem mit ähnlicher Versorgungsstruktur wie Deutschland</w:t>
      </w:r>
    </w:p>
    <w:p>
      <w:r>
        <w:rPr>
          <w:color w:val="5A7D3A"/>
          <w:sz w:val="18"/>
        </w:rPr>
        <w:t>https://pubmed.ncbi.nlm.nih.gov/42875712/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2026-10-16T06:00:00Z</dcterms:created>
  <dcterms:modified xsi:type="dcterms:W3CDTF">2026-10-16T06:00:00Z</dcterms:modified>
  <cp:category/>
</cp:coreProperties>
</file>