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26.10.2026  |  6 Studien  |  wissen.m-vf.de</w:t>
      </w:r>
    </w:p>
    <w:p>
      <w:pPr>
        <w:pStyle w:val="Heading1"/>
      </w:pPr>
      <w:r>
        <w:t>Aufgenommen am 26.10.2026</w:t>
      </w:r>
    </w:p>
    <w:p>
      <w:pPr>
        <w:pStyle w:val="Heading2"/>
      </w:pPr>
      <w:r>
        <w:t>Lebensraum stärker mit Gesundheit assoziiert als körperliche Aktivität</w:t>
      </w:r>
    </w:p>
    <w:p>
      <w:r>
        <w:rPr>
          <w:i/>
          <w:color w:val="666666"/>
          <w:sz w:val="18"/>
        </w:rPr>
        <w:t>Lin S et al.  ·  Prev Med Rep  ·  10.10.2026  ·  PMID 42927076</w:t>
      </w:r>
    </w:p>
    <w:p>
      <w:r>
        <w:t>Querschnittsstudie mit 1.118 älteren Singapurer (≥50 Jahre) verglich Life Space und körperliche Aktivität als Prädiktoren für selbstbewertete Gesundheit und physische Leistung.</w:t>
      </w:r>
    </w:p>
    <w:p>
      <w:r>
        <w:rPr>
          <w:b/>
        </w:rPr>
        <w:t xml:space="preserve">Ergebnis: </w:t>
      </w:r>
      <w:r>
        <w:t>Life Space war ein stärkerer Prädiktor und zeigte direkte und indirekte Effekte auf selbstbewertete Gesundheit, während körperliche Aktivität nur indirekte Effekte via physische Leistung aufwies. Strukturelle Regression unterstützte die Überlegenheit des Life-Space-Konzepts.</w:t>
      </w:r>
    </w:p>
    <w:p>
      <w:r>
        <w:rPr>
          <w:b/>
          <w:sz w:val="19"/>
        </w:rPr>
        <w:t xml:space="preserve">Übertragbarkeit: </w:t>
      </w:r>
      <w:r>
        <w:rPr>
          <w:sz w:val="19"/>
        </w:rPr>
        <w:t>Singapur, vergleichbare Alterspopulation; Fragestellung systemunabhängig für Prävention von Funktionsverlust bei älteren Menschen.</w:t>
      </w:r>
    </w:p>
    <w:p>
      <w:r>
        <w:rPr>
          <w:color w:val="5A7D3A"/>
          <w:sz w:val="18"/>
        </w:rPr>
        <w:t>https://pubmed.ncbi.nlm.nih.gov/42927076/</w:t>
      </w:r>
    </w:p>
    <w:p>
      <w:pPr>
        <w:pStyle w:val="Heading2"/>
      </w:pPr>
      <w:r>
        <w:t>Notfall-Kolonkarzinom-Resektion: Direct-ICU-Transfer senkt Mortalität nicht</w:t>
      </w:r>
    </w:p>
    <w:p>
      <w:r>
        <w:rPr>
          <w:i/>
          <w:color w:val="666666"/>
          <w:sz w:val="18"/>
        </w:rPr>
        <w:t>Blake HA et al.  ·  BJA Open  ·  15.10.2026  ·  PMID 42926795</w:t>
      </w:r>
    </w:p>
    <w:p>
      <w:r>
        <w:t>Englische Populationsstudie (10.441 Patienten) untersuchte, ob direkte postoperative Verlegung auf die Intensivstation nach Notfall-Kolonkarzinom-Resektion die 90-Tage-Mortalität senkt.</w:t>
      </w:r>
    </w:p>
    <w:p>
      <w:r>
        <w:rPr>
          <w:b/>
        </w:rPr>
        <w:t xml:space="preserve">Ergebnis: </w:t>
      </w:r>
      <w:r>
        <w:t>Unangepasst war die Mortalität höher bei Direct-Transfer (10,9% vs. 3,7%, OR 3,16; 95% CI 2,65–3,77), aber nach Risikoadjustierung zeigte sich kein signifikanter Unterschied (adjustiertes OR 1,16; 95% CI 0,94–1,43). Die Direct-Transfer-Quote variierte stark zwischen Kliniken (IQR 68–92%).</w:t>
      </w:r>
    </w:p>
    <w:p>
      <w:r>
        <w:rPr>
          <w:b/>
          <w:sz w:val="19"/>
        </w:rPr>
        <w:t xml:space="preserve">Übertragbarkeit: </w:t>
      </w:r>
      <w:r>
        <w:rPr>
          <w:sz w:val="19"/>
        </w:rPr>
        <w:t>UK NHS-Daten, nationale Kohortenstudie mit Routinedaten; begrenzt übertragbar auf deutsches System mit anderen Organisationsstrukturen.</w:t>
      </w:r>
    </w:p>
    <w:p>
      <w:r>
        <w:rPr>
          <w:color w:val="5A7D3A"/>
          <w:sz w:val="18"/>
        </w:rPr>
        <w:t>https://pubmed.ncbi.nlm.nih.gov/42926795/</w:t>
      </w:r>
    </w:p>
    <w:p>
      <w:pPr>
        <w:pStyle w:val="Heading2"/>
      </w:pPr>
      <w:r>
        <w:t>Antimikrobielle Resistenz in Konfliktgebieten: Diagnostische Herausforderungen</w:t>
      </w:r>
    </w:p>
    <w:p>
      <w:r>
        <w:rPr>
          <w:i/>
          <w:color w:val="666666"/>
          <w:sz w:val="18"/>
        </w:rPr>
        <w:t>Pallett SJ et al.  ·  Commun Med (Lond)  ·  24.10.2026  ·  PMID 42926236</w:t>
      </w:r>
    </w:p>
    <w:p>
      <w:r>
        <w:t>Qualitative Expertenelicitation mit 8 Fachleuten aus verschiedenen Sektoren (Krankenhaus, Umwelt, Tier) zur Extended-Spectrum-β-Lactamase-Übertragung auf Menschen in Konfliktregionen.</w:t>
      </w:r>
    </w:p>
    <w:p>
      <w:r>
        <w:rPr>
          <w:b/>
        </w:rPr>
        <w:t xml:space="preserve">Ergebnis: </w:t>
      </w:r>
      <w:r>
        <w:t>Tägliche Übertragungsrate hospital-zu-Mensch: 1,76 pro Person-Tag (90% CrI 0,10–8,61) unter Leistungsgewichtung; Begleittier-Pfad: 0,03 (90% CrI 0,00–0,11). Gemeindeumwelt-Pfad: 0,81 (90% CrI 0,10–4,12). Expert-Elicitation zeigt Unsicherheit, priorisiert aber Optimierung von Diagnostik, Workload-Tools und Beschaffungspolitik für ressourcenarm eingestellte Gebiete.</w:t>
      </w:r>
    </w:p>
    <w:p>
      <w:r>
        <w:rPr>
          <w:b/>
          <w:sz w:val="19"/>
        </w:rPr>
        <w:t xml:space="preserve">Übertragbarkeit: </w:t>
      </w:r>
      <w:r>
        <w:rPr>
          <w:sz w:val="19"/>
        </w:rPr>
        <w:t>Systemunabhängig: Antibiotika-Resistenz ist globales Versorgungsproblem; Methode und Befunde relevant für ressourcenlimitierte Kontexte einschließlich Deutschland.</w:t>
      </w:r>
    </w:p>
    <w:p>
      <w:r>
        <w:rPr>
          <w:color w:val="5A7D3A"/>
          <w:sz w:val="18"/>
        </w:rPr>
        <w:t>https://pubmed.ncbi.nlm.nih.gov/42926236/</w:t>
      </w:r>
    </w:p>
    <w:p>
      <w:pPr>
        <w:pStyle w:val="Heading2"/>
      </w:pPr>
      <w:r>
        <w:t>Atemwegserreger bei Pneumonie in ländlichen Regionen: Niederlande</w:t>
      </w:r>
    </w:p>
    <w:p>
      <w:r>
        <w:rPr>
          <w:i/>
          <w:color w:val="666666"/>
          <w:sz w:val="18"/>
        </w:rPr>
        <w:t>Roof I et al.  ·  Pneumonia (Nathan)  ·  25.10.2026  ·  PMID 42926196</w:t>
      </w:r>
    </w:p>
    <w:p>
      <w:r>
        <w:t>Niederländische Querschnittsstudie untersuchte 33 Atemwegserreger bei Hausarzt-Pneumoniepatienten (n=108), Bewohnern ohne Pneumonie (n=200) und Ziegenbauern (n=91) mittels Multiplex-PCR.</w:t>
      </w:r>
    </w:p>
    <w:p>
      <w:r>
        <w:rPr>
          <w:b/>
        </w:rPr>
        <w:t xml:space="preserve">Ergebnis: </w:t>
      </w:r>
      <w:r>
        <w:t>94,5% der Pneumoniepatienten waren Pathogen-positiv, 88,8% der Ziegenbauern und 70% der gesunden Bewohner. M. catarrhalis und S. pneumoniae waren signifikant häufiger bei Pneumonie (p&lt;0,05). Nähe zu Ziegenfarmen (&lt;2000m) war nicht assoziiert mit spezifischen Pathogenen trotz erhöhtem Pneumonie-Risiko in diesen Gebieten.</w:t>
      </w:r>
    </w:p>
    <w:p>
      <w:r>
        <w:rPr>
          <w:b/>
          <w:sz w:val="19"/>
        </w:rPr>
        <w:t xml:space="preserve">Übertragbarkeit: </w:t>
      </w:r>
      <w:r>
        <w:rPr>
          <w:sz w:val="19"/>
        </w:rPr>
        <w:t>Niederländische Routinepraxis; Sozialversicherungssystem ähnlich Deutschland, direkt übertragbar für Versorgungsforschung in ländlichen Gebieten.</w:t>
      </w:r>
    </w:p>
    <w:p>
      <w:r>
        <w:rPr>
          <w:color w:val="5A7D3A"/>
          <w:sz w:val="18"/>
        </w:rPr>
        <w:t>https://pubmed.ncbi.nlm.nih.gov/42926196/</w:t>
      </w:r>
    </w:p>
    <w:p>
      <w:pPr>
        <w:pStyle w:val="Heading2"/>
      </w:pPr>
      <w:r>
        <w:t>Krankenhausüberwachung vermeidbarer Krankheiten bei Kindern: Niederlande</w:t>
      </w:r>
    </w:p>
    <w:p>
      <w:r>
        <w:rPr>
          <w:i/>
          <w:color w:val="666666"/>
          <w:sz w:val="18"/>
        </w:rPr>
        <w:t>Heemskerk S et al.  ·  Vaccine  ·  24.10.2026  ·  PMID 42925772</w:t>
      </w:r>
    </w:p>
    <w:p>
      <w:r>
        <w:t>Niederländische Machbarkeitsstudie evaluierte die Realisierbarkeit von Krankenhausüberwachung für Impfstoff-vermeidbare Erkrankungen mittels Routinedaten in einem Universitätsklinikum (Juli 2024–Juni 2025).</w:t>
      </w:r>
    </w:p>
    <w:p>
      <w:r>
        <w:rPr>
          <w:b/>
        </w:rPr>
        <w:t xml:space="preserve">Ergebnis: </w:t>
      </w:r>
      <w:r>
        <w:t>99 Kinder mit 103 Episoden wurden eingeschlossen; 60% benötigten pädiatrische Intensivpflege. Häufigste waren RSV (n=52) und Influenza (n=27). Impfstatus konnte für 84% der Episoden ermittelt werden. 9% der Episoden traten trotz vollständiger Impfung auf; 76% traten bei nicht-geimpften Kindern auf. Datenintegration aus mehreren Quellen war notwendig.</w:t>
      </w:r>
    </w:p>
    <w:p>
      <w:r>
        <w:rPr>
          <w:b/>
          <w:sz w:val="19"/>
        </w:rPr>
        <w:t xml:space="preserve">Übertragbarkeit: </w:t>
      </w:r>
      <w:r>
        <w:rPr>
          <w:sz w:val="19"/>
        </w:rPr>
        <w:t>Niederländische Tertiärversorgung, nationale Impfprogramme vergleichbar; hohes Potenzial für adaptierte Surveillance in Deutschland.</w:t>
      </w:r>
    </w:p>
    <w:p>
      <w:r>
        <w:rPr>
          <w:color w:val="5A7D3A"/>
          <w:sz w:val="18"/>
        </w:rPr>
        <w:t>https://pubmed.ncbi.nlm.nih.gov/42925772/</w:t>
      </w:r>
    </w:p>
    <w:p>
      <w:pPr>
        <w:pStyle w:val="Heading2"/>
      </w:pPr>
      <w:r>
        <w:t>Schwere Erkrankungen bei chirurgischen Patienten: Mehr Wiederaufnahmen und Kosten</w:t>
      </w:r>
    </w:p>
    <w:p>
      <w:r>
        <w:rPr>
          <w:i/>
          <w:color w:val="666666"/>
          <w:sz w:val="18"/>
        </w:rPr>
        <w:t>Fong WJ et al.  ·  Ann Acad Med Singap  ·  22.10.2026  ·  PMID 42921853</w:t>
      </w:r>
    </w:p>
    <w:p>
      <w:r>
        <w:t>Singapurer Registerstudie (n=228.687 stationäre Operationen, April 2019–März 2023) untersuchte, wie Patienten mit "serious illness" (SI) postoperative Gesundheitsnutzung und Kosten beeinflussen.</w:t>
      </w:r>
    </w:p>
    <w:p>
      <w:r>
        <w:rPr>
          <w:b/>
        </w:rPr>
        <w:t xml:space="preserve">Ergebnis: </w:t>
      </w:r>
      <w:r>
        <w:t>17,9% (41.011) erfüllten SI-Kriterien. Gegenüber Patienten ohne SI: SI-Patienten hatten längere Verweildauer (IRR 1,81; 95% CI 1,80–1,83), höhere 30-Tage-Wiederaufnahmen (OR 1,58; 95% CI 1,52–1,64), höhere 1-Jahres-Wiederaufnahmen (OR 2,60; 95% CI 2,53–2,67), höhere 1-Jahres-ED-Besuche (OR 2,08; 95% CI 2,03–2,14) und höhere relative Rechnungssummen (RR 1,64; 95% CI 1,62–1,67).</w:t>
      </w:r>
    </w:p>
    <w:p>
      <w:r>
        <w:rPr>
          <w:b/>
          <w:sz w:val="19"/>
        </w:rPr>
        <w:t xml:space="preserve">Übertragbarkeit: </w:t>
      </w:r>
      <w:r>
        <w:rPr>
          <w:sz w:val="19"/>
        </w:rPr>
        <w:t>Singapur-Routinedaten; System und Fragestellung relevant für deutsches Gesundheitswesen zur Identifikation von Hochrisiko-Patienten in der Versorgung.</w:t>
      </w:r>
    </w:p>
    <w:p>
      <w:r>
        <w:rPr>
          <w:color w:val="5A7D3A"/>
          <w:sz w:val="18"/>
        </w:rPr>
        <w:t>https://pubmed.ncbi.nlm.nih.gov/42921853/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