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17.09.2026  |  7 Studien  |  wissen.m-vf.de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Chirurgische Behandlung von NSCLC in England: Trends, Variation und kurzfristige Ergebnisse 2015–2023</w:t>
      </w:r>
    </w:p>
    <w:p>
      <w:r>
        <w:rPr>
          <w:i/>
          <w:color w:val="666666"/>
          <w:sz w:val="18"/>
        </w:rPr>
        <w:t>Dixon LK et al.  ·  BMJ Open  ·  16.09.2026  ·  PMID 42749376</w:t>
      </w:r>
    </w:p>
    <w:p>
      <w:r>
        <w:t>Bevölkerungsgestützte Kohortenstudie zu Trends in der chirurgischen Praxis, regionalen Unterschieden und postoperativen Outcomes bei Lungenkrebs-Resektion in England über 9 Jahre.</w:t>
      </w:r>
    </w:p>
    <w:p>
      <w:r>
        <w:rPr>
          <w:b/>
        </w:rPr>
        <w:t xml:space="preserve">Ergebnis: </w:t>
      </w:r>
      <w:r>
        <w:t>Resektionsrate stieg von 15,4 % (2015) auf 20,9 % (2023); Segmentektomie von 11,2 % auf 20,6 %, minimal-invasive Chirurgie von 47,1 % auf 79,7 %; 90-Tage-Mortalität sank von 4,03 % auf 2,26 %; Verweildauer verkürzt sich, Wiederaufnahmen stabil bei ~10–12 % – jedoch erhebliche Zentren-Heterogenität in Segmentektomie (10,7–80,3 %) und roboterassistierter Chirurgie (0–67 %).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spezialisierte Thoraxchirurgie-Zentren – systemischer Kontext nur bedingt übertragbar</w:t>
      </w:r>
    </w:p>
    <w:p>
      <w:r>
        <w:rPr>
          <w:color w:val="5A7D3A"/>
          <w:sz w:val="18"/>
        </w:rPr>
        <w:t>https://pubmed.ncbi.nlm.nih.gov/42749376/</w:t>
      </w:r>
    </w:p>
    <w:p>
      <w:pPr>
        <w:pStyle w:val="Heading2"/>
      </w:pPr>
      <w:r>
        <w:t>Hybrid-Telemedizin-Hausbesuch-Modell für Pneumonieversorung: Pilot-Fallserie aus Texas</w:t>
      </w:r>
    </w:p>
    <w:p>
      <w:r>
        <w:rPr>
          <w:i/>
          <w:color w:val="666666"/>
          <w:sz w:val="18"/>
        </w:rPr>
        <w:t>Bourmand R et al.  ·  JMIR Form Res  ·  16.09.2026  ·  PMID 42748457</w:t>
      </w:r>
    </w:p>
    <w:p>
      <w:r>
        <w:t>Retrospektive deskriptive Fallserie (n=28 Patienten mit Pneumoniediagnose) zur Implementierbarkeit und Nutzungsmuster eines Hybrid-Modells aus virtueller ärztlicher Bewertung und trainierter Fachperson im Hausbesuch mit digitalen Diagnostik-Tools.</w:t>
      </w:r>
    </w:p>
    <w:p>
      <w:r>
        <w:rPr>
          <w:b/>
        </w:rPr>
        <w:t xml:space="preserve">Ergebnis: </w:t>
      </w:r>
      <w:r>
        <w:t>28 Patienten mit 56 klinischen Kontakten (Median 2, IQR 1–3 pro Patient); CRB-65-Scores 0–2 (46,4 % Score 0, 46,4 % Score 1, 7,1 % Score 2); 8/28 (28,6 %) zur ED überwiesen; Patienten zur ED überwiesen hatten signifikant höhere CRB-65-Scores (Median 1, IQR 1–1,5 vs. Median 0, IQR 0–1; p=0,01); Modell machbar, aber größere prospektive Vergleichsstudien für Outcomes/Sicherheit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Fragestellung zur Versorgungsmodellintegration systemunabhängig, aber Kontext Urgent Care begrenzt übertragbar</w:t>
      </w:r>
    </w:p>
    <w:p>
      <w:r>
        <w:rPr>
          <w:color w:val="5A7D3A"/>
          <w:sz w:val="18"/>
        </w:rPr>
        <w:t>https://pubmed.ncbi.nlm.nih.gov/42748457/</w:t>
      </w:r>
    </w:p>
    <w:p>
      <w:pPr>
        <w:pStyle w:val="Heading2"/>
      </w:pPr>
      <w:r>
        <w:t>Elektronische Arzneihinweise verbessern Überweisungen zu Diabetes-Selbstmanagement-Schulung</w:t>
      </w:r>
    </w:p>
    <w:p>
      <w:r>
        <w:rPr>
          <w:i/>
          <w:color w:val="666666"/>
          <w:sz w:val="18"/>
        </w:rPr>
        <w:t>Donahue KE et al.  ·  Diabetes Care  ·  16.09.2026  ·  PMID 42747941</w:t>
      </w:r>
    </w:p>
    <w:p>
      <w:r>
        <w:t>Clusterrandomisierte Studie zur Wirkung von Best-Practice-Advisories im EHR auf Überweisungsquoten zu Diabetes-Selbstmanagement-Schulung (DSMES) über 18 Monate in US-Primärversorgung.</w:t>
      </w:r>
    </w:p>
    <w:p>
      <w:r>
        <w:rPr>
          <w:b/>
        </w:rPr>
        <w:t xml:space="preserve">Ergebnis: </w:t>
      </w:r>
      <w:r>
        <w:t>Nach 12 Monaten: 12,9 % Überweisungsrate in Interventionskliniken vs. 1,2 % in Kontrollen (p&lt;0,001); nach 18 Monaten 13,7 % vs. 1,6 % (p&lt;0,001); adjustierte Odds Ratio 10,55 (95%-KI 4,65–23,94) nach 12 Monaten und 9,44 (95%-KI 4,91–18,17) nach 18 Monaten. Standing Orders erhielten diese Gewinne.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Primärversorgung – Prozessoptimierung systemunabhängig, aber Anreizsystem unterschiedlich</w:t>
      </w:r>
    </w:p>
    <w:p>
      <w:r>
        <w:rPr>
          <w:color w:val="5A7D3A"/>
          <w:sz w:val="18"/>
        </w:rPr>
        <w:t>https://pubmed.ncbi.nlm.nih.gov/42747941/</w:t>
      </w:r>
    </w:p>
    <w:p>
      <w:pPr>
        <w:pStyle w:val="Heading2"/>
      </w:pPr>
      <w:r>
        <w:t>Mehrebenen-Mehrfach-Fallstudie: Methodik zur Analyse komplexer Versorgungstrajektorien älterer Menschen</w:t>
      </w:r>
    </w:p>
    <w:p>
      <w:r>
        <w:rPr>
          <w:i/>
          <w:color w:val="666666"/>
          <w:sz w:val="18"/>
        </w:rPr>
        <w:t>Dieterich A et al.  ·  Z Gerontol Geriatr  ·  16.09.2026  ·  PMID 42747513</w:t>
      </w:r>
    </w:p>
    <w:p>
      <w:r>
        <w:t>Methodisches Diskussionspapier zur Anwendung von Mehrebenen-Mehrfach-Fallstudien als Forschungsdesign zur empirischen Rekonstruktion komplexer Hilfeverläufe in sektorenübergreifender Versorgung für ältere Menschen.</w:t>
      </w:r>
    </w:p>
    <w:p>
      <w:r>
        <w:rPr>
          <w:b/>
        </w:rPr>
        <w:t xml:space="preserve">Ergebnis: </w:t>
      </w:r>
      <w:r>
        <w:t>Fallkonstellationen auf Mikro- (Interaktion Betroffener, professionelle und informelle Helfer), Meso- (Organisationen, Netzwerke) und Makroebene (Rahmenbedingungen) systematisch verknüpft; Methodenkombination (Interviews, Dokumenten-, Sozialraum-, Netzwerkanalysen, reflexive thematische Analyse) ermöglicht kontextabhängige Bedingungen von Versorgung zu identifizieren; Design eröffnet neue Möglichkeiten für Versorgungsforschung, stellt aber hohe Anforderungen an Feldzugang, Datenintegration und Forschungsethik.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Versorgungsforschung – direkt anwendbare Methodik für sektorenübergreifende Versorgungsanalyse</w:t>
      </w:r>
    </w:p>
    <w:p>
      <w:r>
        <w:rPr>
          <w:color w:val="5A7D3A"/>
          <w:sz w:val="18"/>
        </w:rPr>
        <w:t>https://pubmed.ncbi.nlm.nih.gov/42747513/</w:t>
      </w:r>
    </w:p>
    <w:p>
      <w:pPr>
        <w:pStyle w:val="Heading2"/>
      </w:pPr>
      <w:r>
        <w:t>Zusammenarbeit und Partizipation in integrierter Versorgung: Sicht von Managern mit komplexen Bedarf</w:t>
      </w:r>
    </w:p>
    <w:p>
      <w:r>
        <w:rPr>
          <w:i/>
          <w:color w:val="666666"/>
          <w:sz w:val="18"/>
        </w:rPr>
        <w:t>Hjelm M et al.  ·  BMC Health Serv Res  ·  12.09.2026  ·  PMID 42745286</w:t>
      </w:r>
    </w:p>
    <w:p>
      <w:r>
        <w:t>Qualitative Fokusgruppenstudie (n=13 Manager) zu Barrieren und Facilitatoren interprofessioneller Zusammenarbeit und Patientenbeteiligung in integrierter Gesundheits- und Sozialversorgung für Erwachsene mit komplexen Bedarfen in Schweden.</w:t>
      </w:r>
    </w:p>
    <w:p>
      <w:r>
        <w:rPr>
          <w:b/>
        </w:rPr>
        <w:t xml:space="preserve">Ergebnis: </w:t>
      </w:r>
      <w:r>
        <w:t>Drei zentrale Kategorien identifiziert: (1) organisatorische Voraussetzungen für nachhaltige Verbesserung integrierter Versorgung, (2) interprofessionelle Zusammenarbeit zur Bedarfserfassung, (3) relationale und bedarfsgerechte Ansätze; Kluft zwischen Intention und Implementierung von personenzentrierter, integrierter Versorgung erkannt; Vertrauen, klare Governance und organisatorische Kontinuität als Schlüsselfaktoren.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– Primärversorgung und Koordinationsprozesse gut übertragbar auf Deutschland</w:t>
      </w:r>
    </w:p>
    <w:p>
      <w:r>
        <w:rPr>
          <w:color w:val="5A7D3A"/>
          <w:sz w:val="18"/>
        </w:rPr>
        <w:t>https://pubmed.ncbi.nlm.nih.gov/42745286/</w:t>
      </w:r>
    </w:p>
    <w:p>
      <w:pPr>
        <w:pStyle w:val="Heading2"/>
      </w:pPr>
      <w:r>
        <w:t>Lungenkrebs-Screening in Flandern: Barrieren und Facilitatoren aus Stakeholder-Perspektive</w:t>
      </w:r>
    </w:p>
    <w:p>
      <w:r>
        <w:rPr>
          <w:i/>
          <w:color w:val="666666"/>
          <w:sz w:val="18"/>
        </w:rPr>
        <w:t>Michiels L et al.  ·  BMC Health Serv Res  ·  31.08.2026  ·  PMID 42745254</w:t>
      </w:r>
    </w:p>
    <w:p>
      <w:r>
        <w:t>Qualitative exploratorische Studie (22 Gesundheitsfachpersonen, 13 Screening-Berechtigte) zu Implementierungs- und Partizipationsbarrieren sowie Facilitatoren für bevölkerungsgestütztes Lungenkrebs-Screening mit Niedrig-Dosis-CT in Belgien.</w:t>
      </w:r>
    </w:p>
    <w:p>
      <w:r>
        <w:rPr>
          <w:b/>
        </w:rPr>
        <w:t xml:space="preserve">Ergebnis: </w:t>
      </w:r>
      <w:r>
        <w:t>Überwiegend positive Einstellung zum Screening, aber Barrieren: Stigma bezüglich Rauchen, begrenzte Gesundheitskompetenz, indirekte finanzielle/logistische Hindernisse, Angst vor Screening und Warten auf Ergebnisse, Workload-Bedenken, Schulungsbedarf bei Fachpersonen; Facilitatoren: klare Richtlinien, staatliche Koordination/Finanzierung, Integration in Workflows, Zugänglichkeit, public awareness, vertrauensbasierte Kommunikation ohne Wertung.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Sozialversicherungssystem mit ähnlichen Implementierungshürden</w:t>
      </w:r>
    </w:p>
    <w:p>
      <w:r>
        <w:rPr>
          <w:color w:val="5A7D3A"/>
          <w:sz w:val="18"/>
        </w:rPr>
        <w:t>https://pubmed.ncbi.nlm.nih.gov/42745254/</w:t>
      </w:r>
    </w:p>
    <w:p>
      <w:pPr>
        <w:pStyle w:val="Heading2"/>
      </w:pPr>
      <w:r>
        <w:t>Digitale Versorgungstechnologien für ältere Menschen: Anforderungen für Erfahrung als gute Versorgung</w:t>
      </w:r>
    </w:p>
    <w:p>
      <w:r>
        <w:rPr>
          <w:i/>
          <w:color w:val="666666"/>
          <w:sz w:val="18"/>
        </w:rPr>
        <w:t>Kruithof K et al.  ·  BMC Health Serv Res  ·  05.08.2026  ·  PMID 42745252</w:t>
      </w:r>
    </w:p>
    <w:p>
      <w:r>
        <w:t>Qualitative Studie (n=27 wohnhaft lebende ältere Menschen) zu Bedingungen, unter denen digitale Pflege- und Unterstützungstechnologien von älteren Menschen als gute Versorgung wahrgenommen werden.</w:t>
      </w:r>
    </w:p>
    <w:p>
      <w:r>
        <w:rPr>
          <w:b/>
        </w:rPr>
        <w:t xml:space="preserve">Ergebnis: </w:t>
      </w:r>
      <w:r>
        <w:t>Technologien als gute Versorgung erlebt, wenn sie (1) Bedarf und Gewohnheiten entsprechen, (2) Fähigkeiten unterstützen, (3) Werte respektieren; aktive Rolle bei Technologiewahl assoziiert mit Altern-in-place und verbesserter Zugänglichkeit/Sicherheit/Autonomie; von Betreuerseite eingeführte Technologien oft als unnötig wahrgenommen und nicht genutzt; Technologien können reduziertem menschlichem Kontakt und Zugänglichkeitsmängeln schaden.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ähnliches Gesundheitssystem – Implementierung digitaler Lösungen systemunabhängig</w:t>
      </w:r>
    </w:p>
    <w:p>
      <w:r>
        <w:rPr>
          <w:color w:val="5A7D3A"/>
          <w:sz w:val="18"/>
        </w:rPr>
        <w:t>https://pubmed.ncbi.nlm.nih.gov/42745252/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