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11.09.2026  |  6 Studien  |  wissen.m-vf.de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Mobile Single-Lead ECG-Screening für Vorhofflimmern in Routine-Settings</w:t>
      </w:r>
    </w:p>
    <w:p>
      <w:r>
        <w:rPr>
          <w:i/>
          <w:color w:val="666666"/>
          <w:sz w:val="18"/>
        </w:rPr>
        <w:t>Fenske R et al.  ·  JMIR Cardio  ·  10.09.2026  ·  PMID 42721301</w:t>
      </w:r>
    </w:p>
    <w:p>
      <w:r>
        <w:t>Deutsche Multizenterstudie zur Machbarkeit von mobiler Single-Lead-EKG-Detektion für Vorhofflimmern in Krankenhaus und Praxis.</w:t>
      </w:r>
    </w:p>
    <w:p>
      <w:r>
        <w:rPr>
          <w:b/>
        </w:rPr>
        <w:t xml:space="preserve">Ergebnis: </w:t>
      </w:r>
      <w:r>
        <w:t>Von 237 Patienten lieferte das Gerät Interpretation bei 95,3% (41/43) der Ambulanten und 85,6% (166/194) der Stationären. Neu vermutetes Vorhofflimmern fand sich bei 1,7% (4/237); technische Probleme bei 16,0% (38/237). Nur 6,3% (15/237) nutzten regelmäßig Telemedizin. Die Machbarkeit ist gegeben, aber systematische Bestätigungstests und höhere Telemedizin-Akzeptanz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mit lokalem Versorgungskontext</w:t>
      </w:r>
    </w:p>
    <w:p>
      <w:r>
        <w:rPr>
          <w:color w:val="5A7D3A"/>
          <w:sz w:val="18"/>
        </w:rPr>
        <w:t>https://pubmed.ncbi.nlm.nih.gov/42721301/</w:t>
      </w:r>
    </w:p>
    <w:p>
      <w:pPr>
        <w:pStyle w:val="Heading2"/>
      </w:pPr>
      <w:r>
        <w:t>Trends bei Milchpumpen-Verschreibungen in Deutschland 2011-2024</w:t>
      </w:r>
    </w:p>
    <w:p>
      <w:r>
        <w:rPr>
          <w:i/>
          <w:color w:val="666666"/>
          <w:sz w:val="18"/>
        </w:rPr>
        <w:t>Fischer L et al.  ·  Breastfeed Med  ·  10.09.2026  ·  PMID 42720285</w:t>
      </w:r>
    </w:p>
    <w:p>
      <w:r>
        <w:t>Sekundäranalyse von Routinedaten der gesetzlichen Krankenversicherung zu Trends bei Verordnungen von Milchpumpen im ambulanten Sektor.</w:t>
      </w:r>
    </w:p>
    <w:p>
      <w:r>
        <w:rPr>
          <w:b/>
        </w:rPr>
        <w:t xml:space="preserve">Ergebnis: </w:t>
      </w:r>
      <w:r>
        <w:t>Elektrische Milchpumpen-Ansprüche stiegen von 235 auf 605 Ansprüche pro 1.000 Neugeborene (durchschnittliches jährliches Wachstum 8,2%). 2024 betrugen die Krankenkassen-Kosten für Leih-Pumpen €15,3 Millionen. Erhebliche regionale Schwankungen zwischen Bundesländern, aber überall Anstieg.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der gesetzlichen Krankenversicherung, vollständig übertragbar</w:t>
      </w:r>
    </w:p>
    <w:p>
      <w:r>
        <w:rPr>
          <w:color w:val="5A7D3A"/>
          <w:sz w:val="18"/>
        </w:rPr>
        <w:t>https://pubmed.ncbi.nlm.nih.gov/42720285/</w:t>
      </w:r>
    </w:p>
    <w:p>
      <w:pPr>
        <w:pStyle w:val="Heading2"/>
      </w:pPr>
      <w:r>
        <w:t>Medical Invalidation: Systematische Konzeptualisierung eines Versorgungsproblems</w:t>
      </w:r>
    </w:p>
    <w:p>
      <w:r>
        <w:rPr>
          <w:i/>
          <w:color w:val="666666"/>
          <w:sz w:val="18"/>
        </w:rPr>
        <w:t>Lerch SP et al.  ·  BMC Health Serv Res  ·  08.09.2026  ·  PMID 42717341</w:t>
      </w:r>
    </w:p>
    <w:p>
      <w:r>
        <w:t>Scoping Review zur konzeptuellen Klärung von Medical Invalidation, Ursachen, Konsequenzen und Lösungsansätze in der Gesundheitsversorgung.</w:t>
      </w:r>
    </w:p>
    <w:p>
      <w:r>
        <w:rPr>
          <w:b/>
        </w:rPr>
        <w:t xml:space="preserve">Ergebnis: </w:t>
      </w:r>
      <w:r>
        <w:t>158 Studien zeigen inkonsistente Definitionen von Invalidation und Gaslighting. Multifaktorielle Ursachen identifiziert: diagnostische Herausforderungen, strukturelle Faktoren, Stigma, Diagnostikskills-Defizite. Validierung hatte konsistent positive Effekte; Invalidation führte zu Verhaltens-, emotionalen, kognitiven und physischen Schäden. Lösungen: Kommunikationstraining, klinische Schulung, Patientenunterstützung, Forschung, systemische 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Universeller Problembereich, besonders relevant für deutsches Versorgungssystem</w:t>
      </w:r>
    </w:p>
    <w:p>
      <w:r>
        <w:rPr>
          <w:color w:val="5A7D3A"/>
          <w:sz w:val="18"/>
        </w:rPr>
        <w:t>https://pubmed.ncbi.nlm.nih.gov/42717341/</w:t>
      </w:r>
    </w:p>
    <w:p>
      <w:pPr>
        <w:pStyle w:val="Heading2"/>
      </w:pPr>
      <w:r>
        <w:t>Cardiolotse: Transitionales Care-Modell für kardiovaskuläre Patienten</w:t>
      </w:r>
    </w:p>
    <w:p>
      <w:r>
        <w:rPr>
          <w:i/>
          <w:color w:val="666666"/>
          <w:sz w:val="18"/>
        </w:rPr>
        <w:t>Kropp S et al.  ·  BMC Health Serv Res  ·  09.09.2026  ·  PMID 42717334</w:t>
      </w:r>
    </w:p>
    <w:p>
      <w:r>
        <w:t>Prozessevaluation eines Pflegefachpersonen-geführten Transitionscare-Modells in Deutschland zur Verbesserung der Versorgungskoordination nach Krankenhausentlassung.</w:t>
      </w:r>
    </w:p>
    <w:p>
      <w:r>
        <w:rPr>
          <w:b/>
        </w:rPr>
        <w:t xml:space="preserve">Ergebnis: </w:t>
      </w:r>
      <w:r>
        <w:t>Etwa 12.500 Kontakte wurden durchgeführt. Patienten berichteten hohe Zufriedenheit und vertrauten den Cardiolotsen. Jedoch konnten zufriedenheitsscore zwischen Interventions- und Kontrollgruppe hinsichtlich Behandlung nicht unterschieden werden. Nur 10% der niedergelassenen Ärzte erreichten regelmäßigen Kontakt – sektorübergreifende Kommunikation war die Haupthürde.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Realistische deutsche Versorgungsforschung zu Care Coordination</w:t>
      </w:r>
    </w:p>
    <w:p>
      <w:r>
        <w:rPr>
          <w:color w:val="5A7D3A"/>
          <w:sz w:val="18"/>
        </w:rPr>
        <w:t>https://pubmed.ncbi.nlm.nih.gov/42717334/</w:t>
      </w:r>
    </w:p>
    <w:p>
      <w:pPr>
        <w:pStyle w:val="Heading2"/>
      </w:pPr>
      <w:r>
        <w:t>Patient-Reported Outcomes nach Revaskularisation bei Claudicatio intermittens</w:t>
      </w:r>
    </w:p>
    <w:p>
      <w:r>
        <w:rPr>
          <w:i/>
          <w:color w:val="666666"/>
          <w:sz w:val="18"/>
        </w:rPr>
        <w:t>Peters F et al.  ·  J Vasc Surg  ·  08.09.2026  ·  PMID 42710606</w:t>
      </w:r>
    </w:p>
    <w:p>
      <w:r>
        <w:t>Deutsche prospektive Multizenterstudie zu Patient-Reported Outcomes (PROMs) nach invasiver Revaskularisierung bei Claudicatio intermittens.</w:t>
      </w:r>
    </w:p>
    <w:p>
      <w:r>
        <w:rPr>
          <w:b/>
        </w:rPr>
        <w:t xml:space="preserve">Ergebnis: </w:t>
      </w:r>
      <w:r>
        <w:t>Von 963 Patienten (64% Männer, Median 68 Jahre) verbesserte sich der Physical Component Summary score (SF-12) von median 35 auf 45 (Bereich Q1-Q3: 28-43 auf 39-52). Maximale schmerzfreie Gehstrecke stieg um 20 Minuten, Beinschmerzen im Ruhezustand sank um 10 Punkte. Adipositas, Rentner-Status und Nicht-Erwerbstätigkeit waren mit kleineren Verbesserungen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Multizenterstudie, direkt auf deutsches Gesundheitssystem übertragbar</w:t>
      </w:r>
    </w:p>
    <w:p>
      <w:r>
        <w:rPr>
          <w:color w:val="5A7D3A"/>
          <w:sz w:val="18"/>
        </w:rPr>
        <w:t>https://pubmed.ncbi.nlm.nih.gov/42710606/</w:t>
      </w:r>
    </w:p>
    <w:p>
      <w:pPr>
        <w:pStyle w:val="Heading2"/>
      </w:pPr>
      <w:r>
        <w:t>Gute Praxis Sekundärdatenanalyse Version 4: Leitlinien und Empfehlungen</w:t>
      </w:r>
    </w:p>
    <w:p>
      <w:r>
        <w:rPr>
          <w:i/>
          <w:color w:val="666666"/>
          <w:sz w:val="18"/>
        </w:rPr>
        <w:t>Swart E et al.  ·  Gesundheitswesen  ·  07.09.2026  ·  PMID 42705329</w:t>
      </w:r>
    </w:p>
    <w:p>
      <w:r>
        <w:t>Aktualisierte Richtlinie für methodische Standards bei der Durchführung von Sekundärdatenanalysen in Deutschland mit neuen Empfehlungen.</w:t>
      </w:r>
    </w:p>
    <w:p>
      <w:r>
        <w:rPr>
          <w:b/>
        </w:rPr>
        <w:t xml:space="preserve">Ergebnis: </w:t>
      </w:r>
      <w:r>
        <w:t>Version 4 ergänzt frühere Versionen um Empfehlungen zu Studienpopulation, Auswertestrategie, Registrierung, Zusammenspiel von Datenanalyse und Patient:innenperspektive, Data Dictionaries, Zwischenauswertungen, verteiltem Rechnen, Dokumentation, gepoolten Daten, Rechtrahmen und Wissenschaftskommunikation. Standard für Sekundärdatenanalysen nach wissenschaftlichen Grundsätzen in Deutschland etabliert.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Fachmethodologie, grundlegend für deutsches Versorgungsforschungs-System</w:t>
      </w:r>
    </w:p>
    <w:p>
      <w:r>
        <w:rPr>
          <w:color w:val="5A7D3A"/>
          <w:sz w:val="18"/>
        </w:rPr>
        <w:t>https://pubmed.ncbi.nlm.nih.gov/42705329/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