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06.09.2026  |  6 Studien  |  wissen.m-vf.de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Sozialer Gradient und Alkoholkonsum bei Mortalität</w:t>
      </w:r>
    </w:p>
    <w:p>
      <w:r>
        <w:rPr>
          <w:i/>
          <w:color w:val="666666"/>
          <w:sz w:val="18"/>
        </w:rPr>
        <w:t>Butovetsky I et al.  ·  Alcohol Clin Exp Res (Hoboken)  ·  Sept. 2026  ·  PMID 42698350</w:t>
      </w:r>
    </w:p>
    <w:p>
      <w:r>
        <w:t>Prospektive Kohortenstudie zu Wechselwirkungen zwischen Sozioökonomie, Alkoholkonsum und Gesamtmortalität an 3771-3939 Teilnehmern (Follow-up bis 2023).</w:t>
      </w:r>
    </w:p>
    <w:p>
      <w:r>
        <w:rPr>
          <w:b/>
        </w:rPr>
        <w:t xml:space="preserve">Ergebnis: </w:t>
      </w:r>
      <w:r>
        <w:t>Niedriges Einkommen (HR 1,31, 95%-KI 1,11–1,56), ehemaliger Alkoholkonsum mit Abstinenz (HR 1,56, 95%-KI 1,27–1,92) und hoher Alkoholkonsum (HR 1,31, 95%-KI 1,03–1,66) waren mit erhöhter Mortalität assoziiert. Interaktionseffekte zwischen Alkoholkonsum und SES nachweisbar.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(SHIP-Kohorte, Pomerania), gesetzlich Versicherte</w:t>
      </w:r>
    </w:p>
    <w:p>
      <w:r>
        <w:rPr>
          <w:color w:val="5A7D3A"/>
          <w:sz w:val="18"/>
        </w:rPr>
        <w:t>https://pubmed.ncbi.nlm.nih.gov/42698350/</w:t>
      </w:r>
    </w:p>
    <w:p>
      <w:pPr>
        <w:pStyle w:val="Heading2"/>
      </w:pPr>
      <w:r>
        <w:t>Sozioökonomische Unterschiede beim Zugang zur Pflegeversicherung in Korea</w:t>
      </w:r>
    </w:p>
    <w:p>
      <w:r>
        <w:rPr>
          <w:i/>
          <w:color w:val="666666"/>
          <w:sz w:val="18"/>
        </w:rPr>
        <w:t>Noh JW et al.  ·  BMC Health Serv Res  ·  06.08.2026  ·  PMID 42698085</w:t>
      </w:r>
    </w:p>
    <w:p>
      <w:r>
        <w:t>Deskriptive Analyse der Aufnahmealter in Koreas Langzeitpflegeversicherung bei 1,07 Mio. Erwachsenen (2008–2022).</w:t>
      </w:r>
    </w:p>
    <w:p>
      <w:r>
        <w:rPr>
          <w:b/>
        </w:rPr>
        <w:t xml:space="preserve">Ergebnis: </w:t>
      </w:r>
      <w:r>
        <w:t>Mittleres Aufnahmealter 79,98 Jahre (Antrag) und 80,95 Jahre (Genehmigung), deutlich über Anspruchsalter 65. Frauen, Personen ohne Behinderungen und mit weniger chronischen Erkrankungen traten später ein; Medical-Aid-Versicherte früher als erwerbstätig Versicherte.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Nationale Verwaltungsdaten Korea; Struktur unterscheidet sich von deutschem System</w:t>
      </w:r>
    </w:p>
    <w:p>
      <w:r>
        <w:rPr>
          <w:color w:val="5A7D3A"/>
          <w:sz w:val="18"/>
        </w:rPr>
        <w:t>https://pubmed.ncbi.nlm.nih.gov/42698085/</w:t>
      </w:r>
    </w:p>
    <w:p>
      <w:pPr>
        <w:pStyle w:val="Heading2"/>
      </w:pPr>
      <w:r>
        <w:t>Geografische Variation Gabapentinoide und Opioide in US-Pflegeheimen</w:t>
      </w:r>
    </w:p>
    <w:p>
      <w:r>
        <w:rPr>
          <w:i/>
          <w:color w:val="666666"/>
          <w:sz w:val="18"/>
        </w:rPr>
        <w:t>Jung H et al.  ·  J Am Med Dir Assoc  ·  04.09.2026  ·  PMID 42696808</w:t>
      </w:r>
    </w:p>
    <w:p>
      <w:r>
        <w:t>Querschnittstudie zur geografischen Variation der Verschreibung von Gabapentinoiden, Opioiden und deren gleichzeitiger Nutzung bei 232.484 langzeitpflegenden Bewohnern (≥65 Jahre) in 9741 US-Pflegeheimen 2021.</w:t>
      </w:r>
    </w:p>
    <w:p>
      <w:r>
        <w:rPr>
          <w:b/>
        </w:rPr>
        <w:t xml:space="preserve">Ergebnis: </w:t>
      </w:r>
      <w:r>
        <w:t>Prävalenz: Gabapentinoid-Monotherapie 13,4%, Opioid-Monotherapie 9,1%, kombiniert 5,4%. Substantielle geografische Variation, besonders bei Opioid-Monotherapie und Kombination. Bewohnercharakteristika erklärten 61–65% der regionalen Variation, Einrichtungsmerkmale erklärten mehr Gabapentinoid-Variation.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andere Anreizstrukturen; limitiert übertragbar auf deutsches System</w:t>
      </w:r>
    </w:p>
    <w:p>
      <w:r>
        <w:rPr>
          <w:color w:val="5A7D3A"/>
          <w:sz w:val="18"/>
        </w:rPr>
        <w:t>https://pubmed.ncbi.nlm.nih.gov/42696808/</w:t>
      </w:r>
    </w:p>
    <w:p>
      <w:pPr>
        <w:pStyle w:val="Heading2"/>
      </w:pPr>
      <w:r>
        <w:t>Einsamkeit und Isolation in US-amerikanischen Pflegeheimen</w:t>
      </w:r>
    </w:p>
    <w:p>
      <w:r>
        <w:rPr>
          <w:i/>
          <w:color w:val="666666"/>
          <w:sz w:val="18"/>
        </w:rPr>
        <w:t>Nielsen NN et al.  ·  J Am Med Dir Assoc  ·  04.09.2026  ·  PMID 42696806</w:t>
      </w:r>
    </w:p>
    <w:p>
      <w:r>
        <w:t>Mehrebenen-Analyse zu Variation von Einsamkeit/Isolation unter 732.808 Langzeitbewohnern (≥50 Jahre) in 13.491 US-Pflegeheimen (Okt.–Dez. 2023).</w:t>
      </w:r>
    </w:p>
    <w:p>
      <w:r>
        <w:rPr>
          <w:b/>
        </w:rPr>
        <w:t xml:space="preserve">Ergebnis: </w:t>
      </w:r>
      <w:r>
        <w:t>Prävalenz Einsamkeit/Isolation 20,7%. Variation primär zwischen Einrichtungen (VPC ~35%), nicht Landkreisen (VPC ~2%). Frauen, Personen mit psychischen Erkrankungen/Sinnesstörungen häufiger einsam; ältere, nicht-hispanische Schwarze seltener. Profit-Status, ländlicher Raum, Diversity, mehr Pflegepersonal assoziiert mit geringerer Einsamkeit.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Fragestellung zu Lebensqualität und Prozessmerkmalen bedingt übertragbar</w:t>
      </w:r>
    </w:p>
    <w:p>
      <w:r>
        <w:rPr>
          <w:color w:val="5A7D3A"/>
          <w:sz w:val="18"/>
        </w:rPr>
        <w:t>https://pubmed.ncbi.nlm.nih.gov/42696806/</w:t>
      </w:r>
    </w:p>
    <w:p>
      <w:pPr>
        <w:pStyle w:val="Heading2"/>
      </w:pPr>
      <w:r>
        <w:t>Kontextualisierung der Versorgung bei fortgeschrittenem Lungenkrebs</w:t>
      </w:r>
    </w:p>
    <w:p>
      <w:r>
        <w:rPr>
          <w:i/>
          <w:color w:val="666666"/>
          <w:sz w:val="18"/>
        </w:rPr>
        <w:t>Ruud MM et al.  ·  Patient Educ Couns  ·  31.08.2026  ·  PMID 42696805</w:t>
      </w:r>
    </w:p>
    <w:p>
      <w:r>
        <w:t>Explorative Beobachtungsstudie zur Aufmerksamkeit gegenüber Patientenkontext in Behandlungsgesprächen bei 17 Arzt-Patient-Konsultationen in Norwegen.</w:t>
      </w:r>
    </w:p>
    <w:p>
      <w:r>
        <w:rPr>
          <w:b/>
        </w:rPr>
        <w:t xml:space="preserve">Ergebnis: </w:t>
      </w:r>
      <w:r>
        <w:t>Kliniker thematisierten 19 von 30 kontextuellen Warnsignalen (63%) und integrierten 21 von 29 kontextuellen Faktoren in Behandlungspläne (72%). Häufigste Domänen: Fähigkeiten/Wissen (10), Versorgungszugang (4), soziale Unterstützung (4).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steuerfinanziertes System; Fragestellung zu Kommunikationsprozessen übertragbar</w:t>
      </w:r>
    </w:p>
    <w:p>
      <w:r>
        <w:rPr>
          <w:color w:val="5A7D3A"/>
          <w:sz w:val="18"/>
        </w:rPr>
        <w:t>https://pubmed.ncbi.nlm.nih.gov/42696805/</w:t>
      </w:r>
    </w:p>
    <w:p>
      <w:pPr>
        <w:pStyle w:val="Heading2"/>
      </w:pPr>
      <w:r>
        <w:t>Shared Decision-Making bei Multimorbidität und niedriger Health Literacy</w:t>
      </w:r>
    </w:p>
    <w:p>
      <w:r>
        <w:rPr>
          <w:i/>
          <w:color w:val="666666"/>
          <w:sz w:val="18"/>
        </w:rPr>
        <w:t>Vriese L et al.  ·  J Gen Intern Med  ·  03.09.2026  ·  PMID 42696204</w:t>
      </w:r>
    </w:p>
    <w:p>
      <w:r>
        <w:t>Konsensustext zur Bedeutung von Werteklärung (Values Clarification) im Shared Decision-Making für Patienten mit Multimorbidität und begrenzter Gesundheitskompetenz.</w:t>
      </w:r>
    </w:p>
    <w:p>
      <w:r>
        <w:rPr>
          <w:b/>
        </w:rPr>
        <w:t xml:space="preserve">Ergebnis: </w:t>
      </w:r>
      <w:r>
        <w:t>Werteklärung ist Schlüsselkomponente von SDM, wird aber untergenutzt – besonders bei schwieriger Kommunikation. Patienten mit Multimorbidität und niedriger Health Literacy benötigen dialogorientierte (nicht nur formale Werkzeug-)Ansätze; gezielte Schulung von Fachpersonen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(Autoren/CAPHRI Maastricht), vergleichbares Sozialversicherungssystem</w:t>
      </w:r>
    </w:p>
    <w:p>
      <w:r>
        <w:rPr>
          <w:color w:val="5A7D3A"/>
          <w:sz w:val="18"/>
        </w:rPr>
        <w:t>https://pubmed.ncbi.nlm.nih.gov/42696204/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2026-09-06T06:00:00Z</dcterms:created>
  <dcterms:modified xsi:type="dcterms:W3CDTF">2026-09-06T06:00:00Z</dcterms:modified>
  <cp:category/>
</cp:coreProperties>
</file>