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13.09.2026  |  6 Studien  |  wissen.m-vf.de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Direkt-OP-Teledermatologie für Hautkrebs: Sicherheit und Effizienz</w:t>
      </w:r>
    </w:p>
    <w:p>
      <w:r>
        <w:rPr>
          <w:i/>
          <w:color w:val="666666"/>
          <w:sz w:val="18"/>
        </w:rPr>
        <w:t>Nour S et al.  ·  BMJ Open Qual  ·  11.09.2026  ·  PMID 42731848</w:t>
      </w:r>
    </w:p>
    <w:p>
      <w:r>
        <w:t>Evaluierung eines Direct-to-Surgery-Teledermatologie-Pfads für verdächtige Hautkrebs-Referrals in einem großen NHS-Hautkrebs-Service mit 18.587 Patienten.</w:t>
      </w:r>
    </w:p>
    <w:p>
      <w:r>
        <w:rPr>
          <w:b/>
        </w:rPr>
        <w:t xml:space="preserve">Ergebnis: </w:t>
      </w:r>
      <w:r>
        <w:t>Von 5.099 eingeschlossenen Patienten wurde 99,86% die 28-Tage-Faster-Diagnosis-Standard erreicht (Ziel: 75%); 75,5% der Melanom-/Plattenepithel-Karzinom-Patienten begannen Behandlung innerhalb der 62-Tage-Zielmarke. Histologie identifizierte 35,5% maligne und 15,5% prämaligne Pathologie; Diagnostische Konkordanz 41,5% (Cohen's κ=0,34). Komplikationsrate 1,3%. Der Pfad demonstriert sichere hochvolumige Hautkrebs-Chirurgie mit exzellenter Compliance zur Faster Diagnosis 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UK-NHS-Setting, aber Prozessoptimierung für Versorgung übertragbar</w:t>
      </w:r>
    </w:p>
    <w:p>
      <w:r>
        <w:rPr>
          <w:color w:val="5A7D3A"/>
          <w:sz w:val="18"/>
        </w:rPr>
        <w:t>https://pubmed.ncbi.nlm.nih.gov/42731848/</w:t>
      </w:r>
    </w:p>
    <w:p>
      <w:pPr>
        <w:pStyle w:val="Heading2"/>
      </w:pPr>
      <w:r>
        <w:t>Merkmale von Hausärzten und potenziell unangemessene Medikation bei älteren Patienten</w:t>
      </w:r>
    </w:p>
    <w:p>
      <w:r>
        <w:rPr>
          <w:i/>
          <w:color w:val="666666"/>
          <w:sz w:val="18"/>
        </w:rPr>
        <w:t>Tatsuno Y et al.  ·  Health Aff Sch  ·  28.08.2026  ·  PMID 42730259</w:t>
      </w:r>
    </w:p>
    <w:p>
      <w:r>
        <w:t>Japanische Querschnittsstudie zu Zusammenhängen zwischen Arztmerkmalen (Alter, Patientenvolumen) und der Verschreibung potenziell unangemessener Medikamente (PIMs) bei ≥75-Jährigen.</w:t>
      </w:r>
    </w:p>
    <w:p>
      <w:r>
        <w:rPr>
          <w:b/>
        </w:rPr>
        <w:t xml:space="preserve">Ergebnis: </w:t>
      </w:r>
      <w:r>
        <w:t>Von 184.097 Patienten erhielten 38,2% mindestens eine PIM; zwei Drittel der PIM-Verschreibungen konzentrierten sich auf 20% der Ärzte. Jüngere Ärzte (aOR 1,27; 95%-KI 1,05–1,55), solche mit niedrigerem Volumen älterer Patienten (aOR 1,39; 95%-KI 1,19–1,61) und Ärzte in Ost- oder Mittel-Japan verschrieben häufiger PIMs. Gezielte Interventionen bei Hochverschreibern könnten PIMs effizient reduzieren.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Fragestellung zur Arztqualität systemunabhängig übertragbar</w:t>
      </w:r>
    </w:p>
    <w:p>
      <w:r>
        <w:rPr>
          <w:color w:val="5A7D3A"/>
          <w:sz w:val="18"/>
        </w:rPr>
        <w:t>https://pubmed.ncbi.nlm.nih.gov/42730259/</w:t>
      </w:r>
    </w:p>
    <w:p>
      <w:pPr>
        <w:pStyle w:val="Heading2"/>
      </w:pPr>
      <w:r>
        <w:t>Integration Flexibles Assertive Community Treatment mit kommunalen Sozialservices</w:t>
      </w:r>
    </w:p>
    <w:p>
      <w:r>
        <w:rPr>
          <w:i/>
          <w:color w:val="666666"/>
          <w:sz w:val="18"/>
        </w:rPr>
        <w:t>Kleijburg A et al.  ·  Int J Integr Care  ·  08.09.2026  ·  PMID 42729928</w:t>
      </w:r>
    </w:p>
    <w:p>
      <w:r>
        <w:t>Qualitative Studie mit 15 Interviews zur Implementierung von FACT+DSS-Teams (Flexible Assertive Community Treatment + District Social Services) in der Niederlande für Patienten mit schwerer psychischer Erkrankung.</w:t>
      </w:r>
    </w:p>
    <w:p>
      <w:r>
        <w:rPr>
          <w:b/>
        </w:rPr>
        <w:t xml:space="preserve">Ergebnis: </w:t>
      </w:r>
      <w:r>
        <w:t>FACT+DSS wurde von Teamkräften als deutlich positiv erlebt und verbesserte Zugangsbarrieren, Kontinuität der Versorgung, Case-Finding und Vernetzungskollaboration. Wichtige Erfolgsfaktoren waren starke Führung, geteilter Besitz, gleichberechtigte Zusammenarbeit und direkte Beziehungen. Barrieren waren unzureichende Ressourcen und fehlende klare Rollenverteilung.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integrierte Versorgung</w:t>
      </w:r>
    </w:p>
    <w:p>
      <w:r>
        <w:rPr>
          <w:color w:val="5A7D3A"/>
          <w:sz w:val="18"/>
        </w:rPr>
        <w:t>https://pubmed.ncbi.nlm.nih.gov/42729928/</w:t>
      </w:r>
    </w:p>
    <w:p>
      <w:pPr>
        <w:pStyle w:val="Heading2"/>
      </w:pPr>
      <w:r>
        <w:t>Auswirkung Brandon Act auf Suizidversuche im US-Militär</w:t>
      </w:r>
    </w:p>
    <w:p>
      <w:r>
        <w:rPr>
          <w:i/>
          <w:color w:val="666666"/>
          <w:sz w:val="18"/>
        </w:rPr>
        <w:t>Yoon J et al.  ·  Health Serv Res  ·  Okt. 2026  ·  PMID 42728782</w:t>
      </w:r>
    </w:p>
    <w:p>
      <w:r>
        <w:t>Unterbrochene Zeitreihen-Analyse (2018–2024) der Military Health System-Daten zu Effekten des Brandon Acts (Geheime Selbst-Überweisungs-Pathways für psychische Gesundheit) auf Suizidversuche bei Active-Duty-Soldaten.</w:t>
      </w:r>
    </w:p>
    <w:p>
      <w:r>
        <w:rPr>
          <w:b/>
        </w:rPr>
        <w:t xml:space="preserve">Ergebnis: </w:t>
      </w:r>
      <w:r>
        <w:t>Brandon Act im Dezember 2021 assoziiert mit unmittelbare Reduktion von 6,51 pro 100.000 (95%-KI: -10,54, -2,47) und Trendwechsel von -2,25 pro Quartal (95%-KI: -3,81, -0,70). Nach Implementation Mai 2023 weitere Reduktion von 21,19 pro 100.000 (95%-KI: -26,83, -15,55). Über 3 Jahre geschätzt ~3.800 Suizidversuche verhindert. Größte Effekte bei junior Enlisted, Frauen, Army/Marines.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US-Militärsystem, aber Fragestellung zu Stigma-Reduktion systemunabhängig übertragbar</w:t>
      </w:r>
    </w:p>
    <w:p>
      <w:r>
        <w:rPr>
          <w:color w:val="5A7D3A"/>
          <w:sz w:val="18"/>
        </w:rPr>
        <w:t>https://pubmed.ncbi.nlm.nih.gov/42728782/</w:t>
      </w:r>
    </w:p>
    <w:p>
      <w:pPr>
        <w:pStyle w:val="Heading2"/>
      </w:pPr>
      <w:r>
        <w:t>Subjektive Bedarfserkennung und Inanspruchnahme psychischer Gesundheitsversorgung</w:t>
      </w:r>
    </w:p>
    <w:p>
      <w:r>
        <w:rPr>
          <w:i/>
          <w:color w:val="666666"/>
          <w:sz w:val="18"/>
        </w:rPr>
        <w:t>Reinhold AK et al.  ·  BMC Health Serv Res  ·  10.09.2026  ·  PMID 42728591</w:t>
      </w:r>
    </w:p>
    <w:p>
      <w:r>
        <w:t>Gemischte Methoden-Studie mit 456 Teilnehmern mit depressiven Symptomen (PHQ-9≥5) zur Diskrepanz zwischen objektivem, subjektivem Bedarf und tatsächlicher Inanspruchnahme von psychischer Versorgung.</w:t>
      </w:r>
    </w:p>
    <w:p>
      <w:r>
        <w:rPr>
          <w:b/>
        </w:rPr>
        <w:t xml:space="preserve">Ergebnis: </w:t>
      </w:r>
      <w:r>
        <w:t>Subjektive Bedarfserkennung ist starker Prädiktor für Inanspruchnahme: 38,1% der Negativ-Gescreenten und 45,8% der Positiv-Gescreenten berichteten weniger als "sehr genau" zu Suizid-Gedanken geantwortet zu haben. Qualitative Analyse (n=23) identifizierte eine Sechsteilung-Typologie von subjektivem Bedarf statt binärer Klassifikation.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populationsbasierte Stichprobe, Hausarzt-nahe Versorgung</w:t>
      </w:r>
    </w:p>
    <w:p>
      <w:r>
        <w:rPr>
          <w:color w:val="5A7D3A"/>
          <w:sz w:val="18"/>
        </w:rPr>
        <w:t>https://pubmed.ncbi.nlm.nih.gov/42728591/</w:t>
      </w:r>
    </w:p>
    <w:p>
      <w:pPr>
        <w:pStyle w:val="Heading2"/>
      </w:pPr>
      <w:r>
        <w:t>Vial-Sharing-Strategie reduziert Arzneimittelabfall bei CT-Kontrastmittel</w:t>
      </w:r>
    </w:p>
    <w:p>
      <w:r>
        <w:rPr>
          <w:i/>
          <w:color w:val="666666"/>
          <w:sz w:val="18"/>
        </w:rPr>
        <w:t>Yin Y et al.  ·  BMC Health Serv Res  ·  30.07.2026  ·  PMID 42723046</w:t>
      </w:r>
    </w:p>
    <w:p>
      <w:r>
        <w:t>Retrospektive Studie in chinesischem Universitätskrankenhaus zur Kostenreduktion durch Umstellung von Einzelvial- auf gemeinsame Vial-Abrechnung für CT-Kontrastmittel mit Prozessoptimierung.</w:t>
      </w:r>
    </w:p>
    <w:p>
      <w:r>
        <w:rPr>
          <w:b/>
        </w:rPr>
        <w:t xml:space="preserve">Ergebnis: </w:t>
      </w:r>
      <w:r>
        <w:t>Vial-Sharing-Strategie führte zu jährlicher Einsparung von 2.906.398,8 mL Kontrastmittel und Kostenreduktion von 9.181.958,83 CNY; durchschnittlich 66,93 CNY Kostenreduktion pro Patient. Multidisziplinäre Prozessoptimierung verbesserte Drug Utilization Efficiency und Ressourcenschonung.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Versorgungseffizienz-Ansatz für deutsche Krankenhäuser adaptierbar</w:t>
      </w:r>
    </w:p>
    <w:p>
      <w:r>
        <w:rPr>
          <w:color w:val="5A7D3A"/>
          <w:sz w:val="18"/>
        </w:rPr>
        <w:t>https://pubmed.ncbi.nlm.nih.gov/42723046/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