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06.10.2026  |  6 Studien  |  wissen.m-vf.de</w:t>
      </w:r>
    </w:p>
    <w:p>
      <w:pPr>
        <w:pStyle w:val="Heading1"/>
      </w:pPr>
      <w:r>
        <w:t>Aufgenommen am 06.10.2026</w:t>
      </w:r>
    </w:p>
    <w:p>
      <w:pPr>
        <w:pStyle w:val="Heading2"/>
      </w:pPr>
      <w:r>
        <w:t>Zugang zu sexueller und reproduktiver Gesundheit bei Jugendlichen in Mogadischu: Qualitative Studie</w:t>
      </w:r>
    </w:p>
    <w:p>
      <w:r>
        <w:rPr>
          <w:i/>
          <w:color w:val="666666"/>
          <w:sz w:val="18"/>
        </w:rPr>
        <w:t>Asowe HA et al.  ·  Sex Health  ·  20.10.2026  ·  PMID 42833641</w:t>
      </w:r>
    </w:p>
    <w:p>
      <w:r>
        <w:t>Qualitative Mixed-Methods-Studie zu Zugang und Inanspruchnahme von Sexual- und Reproduktionsgesundheits-Dienstleistungen bei Jugendlichen in Mogadischu, Somalia.</w:t>
      </w:r>
    </w:p>
    <w:p>
      <w:r>
        <w:rPr>
          <w:b/>
        </w:rPr>
        <w:t xml:space="preserve">Ergebnis: </w:t>
      </w:r>
      <w:r>
        <w:t>21 Gesundheitseinrichtungen identifiziert, aber Dienste nicht auf Jugendliche zugeschnitten. Hauptbarrieren: Stigma, soziale Normen, Geschlechterdynamiken (männliche Zustimmung erforderlich), finanzielle und logistische Hindernisse. Dringend Bedarf für jugendfreundliche, geschlechtssensible Dienste und Norm-Veränderungsaktivitäten.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Humanitarian-setting, Systemkontext sehr unterschiedlich, Befunde zu Zugangsbarrieren aber international relevant</w:t>
      </w:r>
    </w:p>
    <w:p>
      <w:r>
        <w:rPr>
          <w:color w:val="5A7D3A"/>
          <w:sz w:val="18"/>
        </w:rPr>
        <w:t>https://pubmed.ncbi.nlm.nih.gov/42833641/</w:t>
      </w:r>
    </w:p>
    <w:p>
      <w:pPr>
        <w:pStyle w:val="Heading2"/>
      </w:pPr>
      <w:r>
        <w:t>Expert Agreement on Palliative Reasoning and Monitoring in Heart Failure: International Delphi Study</w:t>
      </w:r>
    </w:p>
    <w:p>
      <w:r>
        <w:rPr>
          <w:i/>
          <w:color w:val="666666"/>
          <w:sz w:val="18"/>
        </w:rPr>
        <w:t>De Leeuw JCB et al.  ·  J Pain Symptom Manage  ·  05.10.2026  ·  PMID 42833597</w:t>
      </w:r>
    </w:p>
    <w:p>
      <w:r>
        <w:t>Internationale Delphi-Studie zur Etablierung von Expertenkonsens über palliative Versorgung bei Herzinsuffizienz aus neun europäischen Ländern.</w:t>
      </w:r>
    </w:p>
    <w:p>
      <w:r>
        <w:rPr>
          <w:b/>
        </w:rPr>
        <w:t xml:space="preserve">Ergebnis: </w:t>
      </w:r>
      <w:r>
        <w:t>156 Experten (Runde 1) und 121 (Runde 2, 78,1% Retention) erreichten Konsens über alle Schritte der palliativen Versorgung (I-CVI 0,82–0,95). Von 33 Symptomen erreichtenÂ 76% Übereinstimmung zu Relevanz und Formulierung. Monitoring-Instrument für Symptome, Wünsche und Bedarf entwickelt.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Niederländische/europäische Leitung, neun europäische Länder, systemvergleichbar</w:t>
      </w:r>
    </w:p>
    <w:p>
      <w:r>
        <w:rPr>
          <w:color w:val="5A7D3A"/>
          <w:sz w:val="18"/>
        </w:rPr>
        <w:t>https://pubmed.ncbi.nlm.nih.gov/42833597/</w:t>
      </w:r>
    </w:p>
    <w:p>
      <w:pPr>
        <w:pStyle w:val="Heading2"/>
      </w:pPr>
      <w:r>
        <w:t>FOCUS-Tool zur Priorisierung von Guideline-Empfehlungen für Shared Decision Making</w:t>
      </w:r>
    </w:p>
    <w:p>
      <w:r>
        <w:rPr>
          <w:i/>
          <w:color w:val="666666"/>
          <w:sz w:val="18"/>
        </w:rPr>
        <w:t>Orduhan C et al.  ·  J Clin Epidemiol  ·  05.10.2026  ·  PMID 42833371</w:t>
      </w:r>
    </w:p>
    <w:p>
      <w:r>
        <w:t>Entwicklung und Test des FOCUS-Tools zur systematischen Identifikation von Guideline-Empfehlungen, die sich für Shared Decision Making eignen.</w:t>
      </w:r>
    </w:p>
    <w:p>
      <w:r>
        <w:rPr>
          <w:b/>
        </w:rPr>
        <w:t xml:space="preserve">Ergebnis: </w:t>
      </w:r>
      <w:r>
        <w:t>Fünf Items definiert: (1) multiple Optionen mit unterschiedlichen Nutzen-Schaden-Profilen, (2) Entscheidung mit Auswirkungen, (3) potenzielle Diskrepanz in Werten/Vorlieben, (4) Behandlungslast und finanzielle Aspekte, (5) Unsicherheit der Evidenz. Mittelwerte ≥3,38 auf 5-Punkt-Skala für Verständlichkeit, Anwendbarkeit und Nützlichkeit. 12 Teilnehmer aus acht Ländern, gute Akzeptanz.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Beteiligung, internationale Guideline-Entwicklung, systemunabhängige Methode</w:t>
      </w:r>
    </w:p>
    <w:p>
      <w:r>
        <w:rPr>
          <w:color w:val="5A7D3A"/>
          <w:sz w:val="18"/>
        </w:rPr>
        <w:t>https://pubmed.ncbi.nlm.nih.gov/42833371/</w:t>
      </w:r>
    </w:p>
    <w:p>
      <w:pPr>
        <w:pStyle w:val="Heading2"/>
      </w:pPr>
      <w:r>
        <w:t>National Ovarian Cancer Audit (NOCA) 2026: Qualitätsverbesserung der Ovarialkarzinom-Versorgung</w:t>
      </w:r>
    </w:p>
    <w:p>
      <w:r>
        <w:rPr>
          <w:i/>
          <w:color w:val="666666"/>
          <w:sz w:val="18"/>
        </w:rPr>
        <w:t>Zachou G et al.  ·  Clin Oncol (R Coll Radiol)  ·  10.09.2026  ·  PMID 42828886</w:t>
      </w:r>
    </w:p>
    <w:p>
      <w:r>
        <w:t>Nationale englisch-walisische Auditberichte zu Struktur-, Prozess- und Outcome-Qualität in der Ovarialkarzinom-Behandlung mit Quality-Improvement-Empfehlungen.</w:t>
      </w:r>
    </w:p>
    <w:p>
      <w:r>
        <w:rPr>
          <w:b/>
        </w:rPr>
        <w:t xml:space="preserve">Ergebnis: </w:t>
      </w:r>
      <w:r>
        <w:t>Daten nicht im Abstract verfügbar, aber Audit mit anschließenden Qualitätsverbesserungs-Interventionen durchgeführt. Fokus auf Standardisierung der Versorgung und Reduktion von Variabilität.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Englisch-walisisches System, aber Audit-Methodologie und Qualitätsziele auf deutsches System übertragbar</w:t>
      </w:r>
    </w:p>
    <w:p>
      <w:r>
        <w:rPr>
          <w:color w:val="5A7D3A"/>
          <w:sz w:val="18"/>
        </w:rPr>
        <w:t>https://pubmed.ncbi.nlm.nih.gov/42828886/</w:t>
      </w:r>
    </w:p>
    <w:p>
      <w:pPr>
        <w:pStyle w:val="Heading2"/>
      </w:pPr>
      <w:r>
        <w:t>Langfristiges Rezidivrisiko nach Hysterektomie zur Prolaps-Behandlung</w:t>
      </w:r>
    </w:p>
    <w:p>
      <w:r>
        <w:rPr>
          <w:i/>
          <w:color w:val="666666"/>
          <w:sz w:val="18"/>
        </w:rPr>
        <w:t>Latack KR et al.  ·  Int Urogynecol J  ·  01.10.2026  ·  PMID 42821111</w:t>
      </w:r>
    </w:p>
    <w:p>
      <w:r>
        <w:t>Retrospektive Versicherungsanspruchsanalyse zu Prolaps-Retreatment nach Hysterektomie bei Prolaps-Diagnose, stratifiziert nach chirurgischem Zugang und Begleitverfahren.</w:t>
      </w:r>
    </w:p>
    <w:p>
      <w:r>
        <w:rPr>
          <w:b/>
        </w:rPr>
        <w:t xml:space="preserve">Ergebnis: </w:t>
      </w:r>
      <w:r>
        <w:t>7017 Patienten (Durchschnittsalter 51,3 Jahre). Concurrent Prolaps-Verfahren in 82%. Nach 24.129 Personenjahren: 399 Patienten (5,7%) retreated. Inzidenzrate 16,5 pro 1000 Personenjahre (95% CI 14,9–18,2). Vaginal vs. laparoskopisch: kein signifikanter Unterschied nach Adjustierung (aHR 1,39). Mit Colpopexy: abdominaler Zugang deutlich höheres 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US-Versicherungsdaten, aber gynäkologische Fragestellung zur Prozessoptimierung systemunabhängig übertragbar</w:t>
      </w:r>
    </w:p>
    <w:p>
      <w:r>
        <w:rPr>
          <w:color w:val="5A7D3A"/>
          <w:sz w:val="18"/>
        </w:rPr>
        <w:t>https://pubmed.ncbi.nlm.nih.gov/42821111/</w:t>
      </w:r>
    </w:p>
    <w:p>
      <w:pPr>
        <w:pStyle w:val="Heading2"/>
      </w:pPr>
      <w:r>
        <w:t>Nachbarschafts-Umgebung und Präeklampsie-Risiko: Machine-Learning-Analyse</w:t>
      </w:r>
    </w:p>
    <w:p>
      <w:r>
        <w:rPr>
          <w:i/>
          <w:color w:val="666666"/>
          <w:sz w:val="18"/>
        </w:rPr>
        <w:t>Paris CF et al.  ·  Pregnancy (Hoboken)  ·  29.09.2026  ·  PMID 42819622</w:t>
      </w:r>
    </w:p>
    <w:p>
      <w:r>
        <w:t>Matched-Case-Control-Studie mit Machine Learning zur Bestimmung der relativen Bedeutung von Nachbarschaftsfaktoren (soziale Vulnerabilität, gebaute Umgebung) für Präeklampsie-Risiko in Philadelphia.</w:t>
      </w:r>
    </w:p>
    <w:p>
      <w:r>
        <w:rPr>
          <w:b/>
        </w:rPr>
        <w:t xml:space="preserve">Ergebnis: </w:t>
      </w:r>
      <w:r>
        <w:t>18.754 Teilnehmer (4.689 Präeklampsie-Fälle, 14.065 Kontrollen). Drei Nachbarschafts-Gesundheits-Vulnerabilitätsfaktoren am wichtigsten: Prävalenz von Adipositas, hohem Blutdruck und kurzer Schlafdauer bei Erwachsenen. Assoziationen mit Nachbarschafts-Hypertonie-Prävalenz besonders relevant für Präeklampsie-Prävention.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US-Daten aus Philadelphia, aber sozialstrukturelle Fragestellung und Risiko-Identifikation systemunabhängig relevant</w:t>
      </w:r>
    </w:p>
    <w:p>
      <w:r>
        <w:rPr>
          <w:color w:val="5A7D3A"/>
          <w:sz w:val="18"/>
        </w:rPr>
        <w:t>https://pubmed.ncbi.nlm.nih.gov/42819622/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2026-10-06T06:00:00Z</dcterms:created>
  <dcterms:modified xsi:type="dcterms:W3CDTF">2026-10-06T06:00:00Z</dcterms:modified>
  <cp:category/>
</cp:coreProperties>
</file>