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29.09.2026  |  5 Studien  |  wissen.m-vf.de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Kosteneffektivität eines Diabetes-Präventionsprogramms in Kanada</w:t>
      </w:r>
    </w:p>
    <w:p>
      <w:r>
        <w:rPr>
          <w:i/>
          <w:color w:val="666666"/>
          <w:sz w:val="18"/>
        </w:rPr>
        <w:t>Gupta N et al.  ·  CMAJ  ·  27.09.2026  ·  PMID 42805627</w:t>
      </w:r>
    </w:p>
    <w:p>
      <w:r>
        <w:t>Gesundheitsökonomisches Modell zum NHS-England-DPP in Quebec und Ontario über 35 Jahre.</w:t>
      </w:r>
    </w:p>
    <w:p>
      <w:r>
        <w:rPr>
          <w:b/>
        </w:rPr>
        <w:t xml:space="preserve">Ergebnis: </w:t>
      </w:r>
      <w:r>
        <w:t>DPP sparte 244 CAD pro Teilnehmer in Quebec und 242 CAD in Ontario (95% UI -1.017 bis 408). Gewinn: 0,060 QALYs pro Person (95% UI 0,024-0,094). In 74,8% der Simulationen war DPP kostengünstiger und wirksamer.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ähnlich deutschem Sozialversicherungssystem, vergleichbare Kostenkalkulation möglich.</w:t>
      </w:r>
    </w:p>
    <w:p>
      <w:r>
        <w:rPr>
          <w:color w:val="5A7D3A"/>
          <w:sz w:val="18"/>
        </w:rPr>
        <w:t>https://pubmed.ncbi.nlm.nih.gov/42805627/</w:t>
      </w:r>
    </w:p>
    <w:p>
      <w:pPr>
        <w:pStyle w:val="Heading2"/>
      </w:pPr>
      <w:r>
        <w:t>Physiotherapie nach COVID-19 in der niederländischen Primärversorgung: Inanspruchnahme und Trends</w:t>
      </w:r>
    </w:p>
    <w:p>
      <w:r>
        <w:rPr>
          <w:i/>
          <w:color w:val="666666"/>
          <w:sz w:val="18"/>
        </w:rPr>
        <w:t>Veldkamp R et al.  ·  JMIR Public Health Surveill  ·  28.09.2026  ·  PMID 42804191</w:t>
      </w:r>
    </w:p>
    <w:p>
      <w:r>
        <w:t>Retrospektive Kohortenstudie zur Inanspruchnahme von Physiotherapie nach COVID-19 in niederländischen Hausarztpraxen über 2,5 Jahre der Pandemie.</w:t>
      </w:r>
    </w:p>
    <w:p>
      <w:r>
        <w:rPr>
          <w:b/>
        </w:rPr>
        <w:t xml:space="preserve">Ergebnis: </w:t>
      </w:r>
      <w:r>
        <w:t>Unter 71.152 Behandlungsverläufen hatten abgeschlossene Fälle eine mediane Dauer von 24 Wochen mit 28 Konsultationen. Die Physiotherapie-Inanspruchnahme sank signifikant über die Zeit (p&lt;0,001), mit maximalen Konsultationen bei 60-79-Jährigen und 1,5 Wochen längerer Behandlung bei Frauen (p&lt;0,001). In 83% waren Baseline-Werte auf Outcome-Messungen erfasst (6-Minuten-Gehtest: 420 m [340-490]).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Routinedaten aus Primärversorgung, direkt auf deutsches System übertragbar.</w:t>
      </w:r>
    </w:p>
    <w:p>
      <w:r>
        <w:rPr>
          <w:color w:val="5A7D3A"/>
          <w:sz w:val="18"/>
        </w:rPr>
        <w:t>https://pubmed.ncbi.nlm.nih.gov/42804191/</w:t>
      </w:r>
    </w:p>
    <w:p>
      <w:pPr>
        <w:pStyle w:val="Heading2"/>
      </w:pPr>
      <w:r>
        <w:t>Telepharmacy-Services und Notfallaufnahme-Inanspruchnahme: Systematische Übersicht</w:t>
      </w:r>
    </w:p>
    <w:p>
      <w:r>
        <w:rPr>
          <w:i/>
          <w:color w:val="666666"/>
          <w:sz w:val="18"/>
        </w:rPr>
        <w:t>Barwick AL et al.  ·  J Telemed Telecare  ·  28.09.2026  ·  PMID 42804181</w:t>
      </w:r>
    </w:p>
    <w:p>
      <w:r>
        <w:t>Metaanalyse von 17 RCTs zur Wirksamkeit von Telepharmacy-Interventionen auf Notaufnahme-Besuche und Wiederaufnahmen.</w:t>
      </w:r>
    </w:p>
    <w:p>
      <w:r>
        <w:rPr>
          <w:b/>
        </w:rPr>
        <w:t xml:space="preserve">Ergebnis: </w:t>
      </w:r>
      <w:r>
        <w:t>Telepharmacy war mit einer 6% absoluten Reduktion von 30-Tage-Notaufnahme-Besuchen assoziiert (Risikodifferenz=0,06, 95% CI: 0,02-0,10; p=0,005). Keine signifikante Reduktion bei ungeplanten Wiederaufnahmen.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Heterogene RCTs international, Fragestellung zum Einsatz von Telemedizin systemunabhängig relevant.</w:t>
      </w:r>
    </w:p>
    <w:p>
      <w:r>
        <w:rPr>
          <w:color w:val="5A7D3A"/>
          <w:sz w:val="18"/>
        </w:rPr>
        <w:t>https://pubmed.ncbi.nlm.nih.gov/42804181/</w:t>
      </w:r>
    </w:p>
    <w:p>
      <w:pPr>
        <w:pStyle w:val="Heading2"/>
      </w:pPr>
      <w:r>
        <w:t>Intra-Session-Reliabilität des Imagined Timed Up and Go Tests bei älteren Erwachsenen</w:t>
      </w:r>
    </w:p>
    <w:p>
      <w:r>
        <w:rPr>
          <w:i/>
          <w:color w:val="666666"/>
          <w:sz w:val="18"/>
        </w:rPr>
        <w:t>Inamura T et al.  ·  Physiother Theory Pract  ·  28.09.2026  ·  PMID 42802900</w:t>
      </w:r>
    </w:p>
    <w:p>
      <w:r>
        <w:t>Reliabilitätsstudie (85 Probanden) zum Imagined Timed Up and Go Test zur Erfassung von Schätzfehlern der physischen Leistung.</w:t>
      </w:r>
    </w:p>
    <w:p>
      <w:r>
        <w:rPr>
          <w:b/>
        </w:rPr>
        <w:t xml:space="preserve">Ergebnis: </w:t>
      </w:r>
      <w:r>
        <w:t>Intra-Rater-Reliabilität moderat (ICC_A,1: 0,69-0,73); simultane Inter-Rater-Reliabilität exzellent (ICC_2,2≈0,994; ICC_2,1: 0,982-0,984). Intra-Rater MDC95: 2,3 s (35,1%); Inter-Rater MDC95: 0,3 s (4,9%). Probanden übersch ätzen ihre Fähigkeiten (TUG 6,0 s vs. ITUG 4,0 s).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klinische Metriken systemunabhängig, Validierung vor Routineeinsatz relevant.</w:t>
      </w:r>
    </w:p>
    <w:p>
      <w:r>
        <w:rPr>
          <w:color w:val="5A7D3A"/>
          <w:sz w:val="18"/>
        </w:rPr>
        <w:t>https://pubmed.ncbi.nlm.nih.gov/42802900/</w:t>
      </w:r>
    </w:p>
    <w:p>
      <w:pPr>
        <w:pStyle w:val="Heading2"/>
      </w:pPr>
      <w:r>
        <w:t>Krankenhaus-Management-Modelle und Krebsergebnisse in São Paulo</w:t>
      </w:r>
    </w:p>
    <w:p>
      <w:r>
        <w:rPr>
          <w:i/>
          <w:color w:val="666666"/>
          <w:sz w:val="18"/>
        </w:rPr>
        <w:t>Delpino FM et al.  ·  Int J Health Plann Manage  ·  26.09.2026  ·  PMID 42800063</w:t>
      </w:r>
    </w:p>
    <w:p>
      <w:r>
        <w:t>Staggered Difference-in-Differences-Analyse zu 652.734 Brust-, Prostata- und Darmkrebs-Fällen (2000-2023) unter Vergleich von Social Health Organisations vs. direkt verwalteten Häusern.</w:t>
      </w:r>
    </w:p>
    <w:p>
      <w:r>
        <w:rPr>
          <w:b/>
        </w:rPr>
        <w:t xml:space="preserve">Ergebnis: </w:t>
      </w:r>
      <w:r>
        <w:t>SHO-Adoption assoziiert mit unpräzisen Änderungen: Diagnose-bis-Behandlung -155,3 Tage (95% CI -350,0 bis 39,4); Konsultation-bis-Diagnose -96,3 Tage (95% CI -237,7 bis 45,1); 30-Tage-Mortalität +0,8 Prozentpunkte (95% CI -4,0 bis 5,5). Kontrolle und Gewichtung materialverändernd.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unterschiedliches Ressourcen-Setting; Fragestellung zu Managementmodellen kontextabhängig.</w:t>
      </w:r>
    </w:p>
    <w:p>
      <w:r>
        <w:rPr>
          <w:color w:val="5A7D3A"/>
          <w:sz w:val="18"/>
        </w:rPr>
        <w:t>https://pubmed.ncbi.nlm.nih.gov/42800063/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