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26.08.2026  |  3 Studien  |  wissen.m-vf.de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Digitale Gesundheitsanwendungen: Unterschiede bei sozioökonomisch benachteiligten Chroniker-Patienten in den Niederlanden</w:t>
      </w:r>
    </w:p>
    <w:p>
      <w:r>
        <w:rPr>
          <w:i/>
          <w:color w:val="666666"/>
          <w:sz w:val="18"/>
        </w:rPr>
        <w:t>Standaar LMB et al.  ·  Inquiry  ·  25.08.2026  ·  PMID 42641147</w:t>
      </w:r>
    </w:p>
    <w:p>
      <w:r>
        <w:t>Querschnittsstudie zur Nutzung von fünf e-Health-Anwendungen (Websites, Apps, Wearables, Patientenportale, digitale Kommunikation) bei 1.517 Niederländern mit chronischen Erkrankungen in Abhängigkeit vom Bildungsattainment.</w:t>
      </w:r>
    </w:p>
    <w:p>
      <w:r>
        <w:rPr>
          <w:b/>
        </w:rPr>
        <w:t xml:space="preserve">Ergebnis: </w:t>
      </w:r>
      <w:r>
        <w:t>Personen mit niedriger Bildung nutzten signifikant weniger Websites (OR 4,78), Apps (OR 2,88), Wearables (OR 2,12) und Patientenportale (OR 3,24) als Hochgebildete. Hochgebildete waren eher zum E-Health-Einsatz geneigt (RRR 2,21) und weniger unsicher (RRR 0,56). Digitale Angebote erreichen nicht alle Patientengruppen gleich.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 mit ähnlichen e-Health-Hürden</w:t>
      </w:r>
    </w:p>
    <w:p>
      <w:r>
        <w:rPr>
          <w:color w:val="5A7D3A"/>
          <w:sz w:val="18"/>
        </w:rPr>
        <w:t>https://pubmed.ncbi.nlm.nih.gov/42641147/</w:t>
      </w:r>
    </w:p>
    <w:p>
      <w:pPr>
        <w:pStyle w:val="Heading2"/>
      </w:pPr>
      <w:r>
        <w:t>Determinanten antimikrobieller Verschreibungsmuster in der pädiatrischen Ambulantversorgung in Ghana</w:t>
      </w:r>
    </w:p>
    <w:p>
      <w:r>
        <w:rPr>
          <w:i/>
          <w:color w:val="666666"/>
          <w:sz w:val="18"/>
        </w:rPr>
        <w:t>Aduful AK et al.  ·  BMJ Paediatr Open  ·  21.08.2026  ·  PMID 42629162</w:t>
      </w:r>
    </w:p>
    <w:p>
      <w:r>
        <w:t>Retrospektive Analyse von 3.244 Antibiotikaverordnungen aus 16.555 pädiatrischen Ambulanzkonsultationen in Ghana zur Assoziation von Patienten- und Anbietermerkmalen mit Verschreibungsangemessenheit.</w:t>
      </w:r>
    </w:p>
    <w:p>
      <w:r>
        <w:rPr>
          <w:b/>
        </w:rPr>
        <w:t xml:space="preserve">Ergebnis: </w:t>
      </w:r>
      <w:r>
        <w:t>Männliches Geschlecht war mit Verordnung ohne Indikation assoziiert (p=0,007); ältere Kinder und Patienten mit Fieber erhielten seltener unangemessene Antibiotika (p=0,030, p=0,036). Spezialisierte Pflegekräfte und Physician Assistants zeigten mehr unangemessene Verordnungen als Assistenzärzte (p&lt;0,001, p=0,005); medizinische Offiziere und Resident Doctors verschrieben angemessenere Dosierungen und Dauern.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Ressourcenlimitiertes System mit anderer Personalstruktur als Deutschland</w:t>
      </w:r>
    </w:p>
    <w:p>
      <w:r>
        <w:rPr>
          <w:color w:val="5A7D3A"/>
          <w:sz w:val="18"/>
        </w:rPr>
        <w:t>https://pubmed.ncbi.nlm.nih.gov/42629162/</w:t>
      </w:r>
    </w:p>
    <w:p>
      <w:pPr>
        <w:pStyle w:val="Heading2"/>
      </w:pPr>
      <w:r>
        <w:t>Standardisiertes Messinstrument für patientenberichtete Soziodemografie in deutschen Gesundheitsstudien</w:t>
      </w:r>
    </w:p>
    <w:p>
      <w:r>
        <w:rPr>
          <w:i/>
          <w:color w:val="666666"/>
          <w:sz w:val="18"/>
        </w:rPr>
        <w:t>Boczor S et al.  ·  BMC Med Res Methodol  ·  20.08.2026  ·  PMID 42625156</w:t>
      </w:r>
    </w:p>
    <w:p>
      <w:r>
        <w:t>Entwicklung und Evaluation eines praktikablen Standardinstruments zur Erfassung von Patientensoziodemografie in Gesundheitsstudien durch Expertenpanel, Fokusgruppe und Pretests an 290 Patienten in einer deutschen Universitätsklinik.</w:t>
      </w:r>
    </w:p>
    <w:p>
      <w:r>
        <w:rPr>
          <w:b/>
        </w:rPr>
        <w:t xml:space="preserve">Ergebnis: </w:t>
      </w:r>
      <w:r>
        <w:t>Mit 290 Studienteilnehmern (51% der 574 angesprochenen Patienten, Median 40 Jahre, 55% weiblich) erreichte das Instrument Akzeptanz: 66% hielten die Länge für angemessen, 96% fanden es verständlich. Sieben Fragen zu Einkommenssituation zeigten Klärungsbedarf und wurden überarbeitet. Finale Instrument erfasst 14 standardisierte Variablen zu biologischem Geschlecht, Geburt, Familienstand, Haushalt, Bildung, Beruf und soziodemografischen Merkmalen.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Universitätsmedizin mit patientenzentriertem Ansatz zur Versorgungsforschung</w:t>
      </w:r>
    </w:p>
    <w:p>
      <w:r>
        <w:rPr>
          <w:color w:val="5A7D3A"/>
          <w:sz w:val="18"/>
        </w:rPr>
        <w:t>https://pubmed.ncbi.nlm.nih.gov/42625156/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