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10.10.2026  |  5 Studien  |  wissen.m-vf.de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Transition in rheumatology: Versorgungslücken beim Übergang ins Erwachsenenalter</w:t>
      </w:r>
    </w:p>
    <w:p>
      <w:r>
        <w:rPr>
          <w:i/>
          <w:color w:val="666666"/>
          <w:sz w:val="18"/>
        </w:rPr>
        <w:t>Milatz F et al.  ·  Z Rheumatol  ·  09.10.2026  ·  PMID 42853413</w:t>
      </w:r>
    </w:p>
    <w:p>
      <w:r>
        <w:t>Querschnittsbefragung von 269 jungen Erwachsenen mit juveniler idiopathischer Arthritis zur Versorgungskontinuität beim Übergang von der Kinder- in die internistische Rheumatologie.</w:t>
      </w:r>
    </w:p>
    <w:p>
      <w:r>
        <w:rPr>
          <w:b/>
        </w:rPr>
        <w:t xml:space="preserve">Ergebnis: </w:t>
      </w:r>
      <w:r>
        <w:t>45% der jungen Erwachsenen erhielten fachspezifische rheumatologische Betreuung; Transitionskompetenz bei Versorgten höher (22,7 vs. 19,0; p&lt;0,001); 35% erhielten keinen zusammenfassenden Arztbericht; durchschnittlich 9,9 Monate zwischen letzter Kinder- und erster Erwachsenenvorstellung; Nicht-Versorgte erhielten seltener Basistherapie (18% vs. 63%); ~20% berichteten relevante depressive Symptome.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(Barmer)</w:t>
      </w:r>
    </w:p>
    <w:p>
      <w:r>
        <w:rPr>
          <w:color w:val="5A7D3A"/>
          <w:sz w:val="18"/>
        </w:rPr>
        <w:t>https://pubmed.ncbi.nlm.nih.gov/42853413/</w:t>
      </w:r>
    </w:p>
    <w:p>
      <w:pPr>
        <w:pStyle w:val="Heading2"/>
      </w:pPr>
      <w:r>
        <w:t>Finanzielle Anreize erhöhen Screening-Quote bei Darmkrebs</w:t>
      </w:r>
    </w:p>
    <w:p>
      <w:r>
        <w:rPr>
          <w:i/>
          <w:color w:val="666666"/>
          <w:sz w:val="18"/>
        </w:rPr>
        <w:t>Perry LM et al.  ·  Health Serv Res  ·  22.07.2025  ·  PMID 42853034</w:t>
      </w:r>
    </w:p>
    <w:p>
      <w:r>
        <w:t>Pilotversuch zur Effektivität von finanziellen Anreizen für Darmkrebsvorsorge-Screening in ländlicher US-Primärversorgung.</w:t>
      </w:r>
    </w:p>
    <w:p>
      <w:r>
        <w:rPr>
          <w:b/>
        </w:rPr>
        <w:t xml:space="preserve">Ergebnis: </w:t>
      </w:r>
      <w:r>
        <w:t>68% der Interventionsgruppe vs. 32% der Kontrollgruppe absolvierten CRC-Screening (p=0,02); 57% der interessierten Personen waren berechtigt; 94% der Berechtigten nahmen teil; durchschnittliche Teilnehmerin 52,4 Jahre alt, 70% weiblich, 42% schwarz, 24% unversichert.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US-fragmentiertes Versicherungssystem, anderer Zugangskontext</w:t>
      </w:r>
    </w:p>
    <w:p>
      <w:r>
        <w:rPr>
          <w:color w:val="5A7D3A"/>
          <w:sz w:val="18"/>
        </w:rPr>
        <w:t>https://pubmed.ncbi.nlm.nih.gov/42853034/</w:t>
      </w:r>
    </w:p>
    <w:p>
      <w:pPr>
        <w:pStyle w:val="Heading2"/>
      </w:pPr>
      <w:r>
        <w:t>Wespenart beeinflusst Erfolg von Wespengiftimmuntherapie-Provokationen</w:t>
      </w:r>
    </w:p>
    <w:p>
      <w:r>
        <w:rPr>
          <w:i/>
          <w:color w:val="666666"/>
          <w:sz w:val="18"/>
        </w:rPr>
        <w:t>Oppel E et al.  ·  Allergol Select  ·  25.09.2026  ·  PMID 42852156</w:t>
      </w:r>
    </w:p>
    <w:p>
      <w:r>
        <w:t>Retrospektive Analyse von 1.163 Patienten unter Wespengiftimmuntherapie hinsichtlich Einflussfaktoren auf Toleranz gegenüber künstlichen Stichproben.</w:t>
      </w:r>
    </w:p>
    <w:p>
      <w:r>
        <w:rPr>
          <w:b/>
        </w:rPr>
        <w:t xml:space="preserve">Ergebnis: </w:t>
      </w:r>
      <w:r>
        <w:t>Stichproben wurden von 1.141 Patienten (98,1%) toleriert; Vespula-Arten zeigten signifikant höhere Toleranzrate als Dolichovespula-Arten (OR 7,69, 95% CI 2,66–20,43); Hauttest-Konversion (positiv→negativ bei 10 µg/mL) zeigte Trend zu verbesserter Toleranz (OR 2,26, 95% CI 0,68–11,53); in 53,2±38,5 Monaten Follow-up: 6 Systemreaktionen nach Feldstichen, keine aus Dolichovespula-Gruppe.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allergologische Standardversorgung</w:t>
      </w:r>
    </w:p>
    <w:p>
      <w:r>
        <w:rPr>
          <w:color w:val="5A7D3A"/>
          <w:sz w:val="18"/>
        </w:rPr>
        <w:t>https://pubmed.ncbi.nlm.nih.gov/42852156/</w:t>
      </w:r>
    </w:p>
    <w:p>
      <w:pPr>
        <w:pStyle w:val="Heading2"/>
      </w:pPr>
      <w:r>
        <w:t>Patientenbeteiligung bei Leitlinienentwicklung: Erfahrungen in Deutschland</w:t>
      </w:r>
    </w:p>
    <w:p>
      <w:r>
        <w:rPr>
          <w:i/>
          <w:color w:val="666666"/>
          <w:sz w:val="18"/>
        </w:rPr>
        <w:t>Orduhan C et al.  ·  Clin Public Health Guidel  ·  10.08.2026  ·  PMID 42808020</w:t>
      </w:r>
    </w:p>
    <w:p>
      <w:r>
        <w:t>Qualitative Interviewstudie mit 23 Patientenvertretern, die an deutscher Leitlinienentwicklung partizipierten, zu Erfahrungen und Herausforderungen.</w:t>
      </w:r>
    </w:p>
    <w:p>
      <w:r>
        <w:rPr>
          <w:b/>
        </w:rPr>
        <w:t xml:space="preserve">Ergebnis: </w:t>
      </w:r>
      <w:r>
        <w:t>Aktive Mitgliedschaft in Leitliniengruppen war dominante Beteiligungsstrategie; positive Einflussfaktoren: Vorbereitungstraining, andere Patientenvertreter, Wertschätzung (häufig benannt); Herausforderungen: Rekrutierung, Mangel an Inklusion und Diversität; Mehrheit war mit Beteiligungsform zufrieden, identifizierte aber ungedeckte Bedarfe; Vorbereitungsaktivitäten als essentiell für effektive Partizipation.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Kontextdaten zur Leitlinienmitgestaltung</w:t>
      </w:r>
    </w:p>
    <w:p>
      <w:r>
        <w:rPr>
          <w:color w:val="5A7D3A"/>
          <w:sz w:val="18"/>
        </w:rPr>
        <w:t>https://pubmed.ncbi.nlm.nih.gov/42808020/</w:t>
      </w:r>
    </w:p>
    <w:p>
      <w:pPr>
        <w:pStyle w:val="Heading2"/>
      </w:pPr>
      <w:r>
        <w:t>Geschlechtsspezifische Unterschiede in Selbsteinschätzung dermatologischer Kompetenzen</w:t>
      </w:r>
    </w:p>
    <w:p>
      <w:r>
        <w:rPr>
          <w:i/>
          <w:color w:val="666666"/>
          <w:sz w:val="18"/>
        </w:rPr>
        <w:t>Heinen I et al.  ·  GMS J Med Educ  ·  15.09.2026  ·  PMID 42807627</w:t>
      </w:r>
    </w:p>
    <w:p>
      <w:r>
        <w:t>Quasi-experimentelle Prä-Post-Befragung von 142 Medizinstudierenden zur Selbsteinschätzung dermatologischer Kenntnisse vor und nach Seminar zu Hauterkrankungen bei Skin of Color.</w:t>
      </w:r>
    </w:p>
    <w:p>
      <w:r>
        <w:rPr>
          <w:b/>
        </w:rPr>
        <w:t xml:space="preserve">Ergebnis: </w:t>
      </w:r>
      <w:r>
        <w:t>Studentinnen schätzten anfangs Kenntnisse zu anatomischen/physiologischen Unterschieden (p&lt;0,001, η²=0,078) und Hauttyp-Skalen (p&lt;0,001, η²=0,085) sowie diagnostische Fähigkeiten signifikant schlechter ein als Studenten (p&lt;0,001, η²=0,075), obwohl objektive MC-Testergebnisse nicht differierten (p=0,905); nach Seminar keine geschlechtsspezifischen Unterschiede mehr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medizinische Hochschulausbildung vergleichbar</w:t>
      </w:r>
    </w:p>
    <w:p>
      <w:r>
        <w:rPr>
          <w:color w:val="5A7D3A"/>
          <w:sz w:val="18"/>
        </w:rPr>
        <w:t>https://pubmed.ncbi.nlm.nih.gov/42807627/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