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07.10.2026  |  6 Studien  |  wissen.m-vf.de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Reisebelastungen bei Methadon-Ambulanzbesuchen</w:t>
      </w:r>
    </w:p>
    <w:p>
      <w:r>
        <w:rPr>
          <w:i/>
          <w:color w:val="666666"/>
          <w:sz w:val="18"/>
        </w:rPr>
        <w:t>Austin EJ et al.  ·  JAMA Netw Open  ·  01.10.2026  ·  PMID 42837152</w:t>
      </w:r>
    </w:p>
    <w:p>
      <w:r>
        <w:t>Mixed-Methods-Studie (Befragung + qualitative Interviews) zu Reiseerfahrungen von 98 Patienten an Opioid-Behandlungsprogrammen in Washington State.</w:t>
      </w:r>
    </w:p>
    <w:p>
      <w:r>
        <w:rPr>
          <w:b/>
        </w:rPr>
        <w:t xml:space="preserve">Ergebnis: </w:t>
      </w:r>
      <w:r>
        <w:t>Mittlere Reisedauer 82,5 Min (Spannweite 10–330 Min) und durchschnittliche Kosten 15,80 USD pro Besuch. 55,1% fuhren selbst, 21,4% wurden gefahren, 12,3% nutzten ÖPNV. Kernproblem: Unpredictable Wartezeiten und Konflikte mit Beruf/Familie beeinträchtigen Adhärenz.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USA-Kontext, aber Problematik der Behandlungszugang für marginalisierte Gruppen systemübergreifend</w:t>
      </w:r>
    </w:p>
    <w:p>
      <w:r>
        <w:rPr>
          <w:color w:val="5A7D3A"/>
          <w:sz w:val="18"/>
        </w:rPr>
        <w:t>https://pubmed.ncbi.nlm.nih.gov/42837152/</w:t>
      </w:r>
    </w:p>
    <w:p>
      <w:pPr>
        <w:pStyle w:val="Heading2"/>
      </w:pPr>
      <w:r>
        <w:t>Palliative care in chronic heart failure in the Netherlands</w:t>
      </w:r>
    </w:p>
    <w:p>
      <w:r>
        <w:rPr>
          <w:i/>
          <w:color w:val="666666"/>
          <w:sz w:val="18"/>
        </w:rPr>
        <w:t>Aertsen-van der Kuip MSA et al.  ·  Neth Heart J  ·  06.10.2026  ·  PMID 42837105</w:t>
      </w:r>
    </w:p>
    <w:p>
      <w:r>
        <w:t>Befragung von 120 niederländischen Fachleuten zur Implementierung von Palliativversorgung und Advance Care Planning bei chronischer Herzinsuffizienz.</w:t>
      </w:r>
    </w:p>
    <w:p>
      <w:r>
        <w:rPr>
          <w:b/>
        </w:rPr>
        <w:t xml:space="preserve">Ergebnis: </w:t>
      </w:r>
      <w:r>
        <w:t>97% der Fachleute bewerteten Palliativversorgung als (sehr) wichtig, aber nur etwa ein Drittel bot diese regelmäßig an. 78% konnten Palliativbedarf erkennen, nur 23% fühlten sich ausreichend qualifiziert. Hauptprobleme: fehlende Fähigkeiten und Zeitmangel.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Sozialversicherungssystem, direkt übertragbar auf Deutschland</w:t>
      </w:r>
    </w:p>
    <w:p>
      <w:r>
        <w:rPr>
          <w:color w:val="5A7D3A"/>
          <w:sz w:val="18"/>
        </w:rPr>
        <w:t>https://pubmed.ncbi.nlm.nih.gov/42837105/</w:t>
      </w:r>
    </w:p>
    <w:p>
      <w:pPr>
        <w:pStyle w:val="Heading2"/>
      </w:pPr>
      <w:r>
        <w:t>Unterversorgung mit Kompressionstherapie bei Ulcus cruris venosum</w:t>
      </w:r>
    </w:p>
    <w:p>
      <w:r>
        <w:rPr>
          <w:i/>
          <w:color w:val="666666"/>
          <w:sz w:val="18"/>
        </w:rPr>
        <w:t>Stücker M et al.  ·  Int Wound J  ·  Okt. 2026  ·  PMID 42834577</w:t>
      </w:r>
    </w:p>
    <w:p>
      <w:r>
        <w:t>Retrospektive Kohortenanalyse von Routinedaten von 3,35 Millionen Versicherten zu Häufigkeit und Determinanten der Kompressionstherapie bei venösen Beindoloren und Ulzera.</w:t>
      </w:r>
    </w:p>
    <w:p>
      <w:r>
        <w:rPr>
          <w:b/>
        </w:rPr>
        <w:t xml:space="preserve">Ergebnis: </w:t>
      </w:r>
      <w:r>
        <w:t>Prävalenz: 0,50% für Ulcus cruris venosum (n=16.615), 7,27% für chronische Venenerkrankung (n=243.681). Über 5 Jahre: 75,85% mit Ulcus erhielten Kompression, aber 24,15% nicht – obwohl Kompression leitliniengerecht ist. Multimorbidität war höher bei Behandelten.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der gesetzlichen Krankenversicherung</w:t>
      </w:r>
    </w:p>
    <w:p>
      <w:r>
        <w:rPr>
          <w:color w:val="5A7D3A"/>
          <w:sz w:val="18"/>
        </w:rPr>
        <w:t>https://pubmed.ncbi.nlm.nih.gov/42834577/</w:t>
      </w:r>
    </w:p>
    <w:p>
      <w:pPr>
        <w:pStyle w:val="Heading2"/>
      </w:pPr>
      <w:r>
        <w:t>Qualität der Pflegeheimversorgung für Veteranen nach Hospitalisierung</w:t>
      </w:r>
    </w:p>
    <w:p>
      <w:r>
        <w:rPr>
          <w:i/>
          <w:color w:val="666666"/>
          <w:sz w:val="18"/>
        </w:rPr>
        <w:t>Burke RE et al.  ·  J Gen Intern Med  ·  30.09.2026  ·  PMID 42816723</w:t>
      </w:r>
    </w:p>
    <w:p>
      <w:r>
        <w:t>Retrospektive Kohortenstudie zur Verfügbarkeit und Nutzung hochqualitativer Pflegeheime (SNF) durch ältere Veteranen nach stationärer Aufnahme.</w:t>
      </w:r>
    </w:p>
    <w:p>
      <w:r>
        <w:rPr>
          <w:b/>
        </w:rPr>
        <w:t xml:space="preserve">Ergebnis: </w:t>
      </w:r>
      <w:r>
        <w:t>Von 926.860 Veteranen ≥66 Jahre nutzten &gt;92% private Medicare-Pflegeheime. Nur 34,4% wählten das bestbewertete SNF in der Nähe, 15,4% wählten das schlechteste. 64,5% hätten Zugang zu höher bewerteten Einrichtungen gehabt; 43,7% zu 5+ besseren Alternativen.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USA-System, aber Frage der Qualitätssteuerung und Patientenwahl systemübergreifend relevant</w:t>
      </w:r>
    </w:p>
    <w:p>
      <w:r>
        <w:rPr>
          <w:color w:val="5A7D3A"/>
          <w:sz w:val="18"/>
        </w:rPr>
        <w:t>https://pubmed.ncbi.nlm.nih.gov/42816723/</w:t>
      </w:r>
    </w:p>
    <w:p>
      <w:pPr>
        <w:pStyle w:val="Heading2"/>
      </w:pPr>
      <w:r>
        <w:t>Partizipation nach Schlaganfall im jungen Erwachsenenalter</w:t>
      </w:r>
    </w:p>
    <w:p>
      <w:r>
        <w:rPr>
          <w:i/>
          <w:color w:val="666666"/>
          <w:sz w:val="18"/>
        </w:rPr>
        <w:t>Donnelly MR et al.  ·  Am J Occup Ther  ·  30.09.2026  ·  PMID 42813599</w:t>
      </w:r>
    </w:p>
    <w:p>
      <w:r>
        <w:t>Scoping Review von 15 Studien zur Partizipation junger Erwachsener (18–45 Jahre) nach Schlaganfall in Rollen und Aktivitäten des Erwachsenenlebens.</w:t>
      </w:r>
    </w:p>
    <w:p>
      <w:r>
        <w:rPr>
          <w:b/>
        </w:rPr>
        <w:t xml:space="preserve">Ergebnis: </w:t>
      </w:r>
      <w:r>
        <w:t>Schlaganfall führt zu Unterbrechung der beruflichen und sozialen Laufbahn; multi-dimensionale Effekte auf Rollen (Partner, Eltern), Bildung und Karriere. Rehabilitation fokussiert typischerweise auf motorische Funktionen, adressiert aber nicht die entwicklungsspezifischen Bedürfnisse junger Erwachsener.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HSR-Synthese, Erkenntnisse zur Versorgungsplanung systemunabhängig</w:t>
      </w:r>
    </w:p>
    <w:p>
      <w:r>
        <w:rPr>
          <w:color w:val="5A7D3A"/>
          <w:sz w:val="18"/>
        </w:rPr>
        <w:t>https://pubmed.ncbi.nlm.nih.gov/42813599/</w:t>
      </w:r>
    </w:p>
    <w:p>
      <w:pPr>
        <w:pStyle w:val="Heading2"/>
      </w:pPr>
      <w:r>
        <w:t>Atriale Kardiomyopathie und klinische Langzeitfolgen</w:t>
      </w:r>
    </w:p>
    <w:p>
      <w:r>
        <w:rPr>
          <w:i/>
          <w:color w:val="666666"/>
          <w:sz w:val="18"/>
        </w:rPr>
        <w:t>Kazi K et al.  ·  Europace  ·  02.09.2026  ·  PMID 42809232</w:t>
      </w:r>
    </w:p>
    <w:p>
      <w:r>
        <w:t>Kohortenstudie zu Assoziationen zwischen echokardiographischen Merkmalen atrialerKardiomyopathie und Inzidenz von Vorhofflimmern, Herzinsuffizienz und Schlaganfall. (Abstract ohne konkrete Ergebnisse verfügbar)</w:t>
      </w:r>
    </w:p>
    <w:p>
      <w:r>
        <w:rPr>
          <w:b/>
        </w:rPr>
        <w:t xml:space="preserve">Ergebnis: </w:t>
      </w:r>
      <w:r>
        <w:t>Abstract enthält keine benennbaren Zahlen oder Ergebnisse; nur Studiendesign beschrieben. Ausschluss.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Ausgeschlossen</w:t>
      </w:r>
    </w:p>
    <w:p>
      <w:r>
        <w:rPr>
          <w:color w:val="5A7D3A"/>
          <w:sz w:val="18"/>
        </w:rPr>
        <w:t>https://pubmed.ncbi.nlm.nih.gov/42809232/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