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13.10.2026  |  6 Studien  |  wissen.m-vf.de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Ambulante Versorgungspfade vor Sepsishospitalisierung</w:t>
      </w:r>
    </w:p>
    <w:p>
      <w:r>
        <w:rPr>
          <w:i/>
          <w:color w:val="666666"/>
          <w:sz w:val="18"/>
        </w:rPr>
        <w:t>Storch J et al.  ·  Infection  ·  12.10.2026  ·  PMID 42862469</w:t>
      </w:r>
    </w:p>
    <w:p>
      <w:r>
        <w:t>Bevölkerungsbasierte Analyse deutscher Versichertendaten zu ambulanten Kontakten vor stationärer Sepsisaufnahme: 61,8 % hatten nur ambulante Versorgung, 12,7 % Notfallversorgung, 25,5 % keine Kontakte in der Woche vor Hospitalisierung.</w:t>
      </w:r>
    </w:p>
    <w:p>
      <w:r>
        <w:rPr>
          <w:b/>
        </w:rPr>
        <w:t xml:space="preserve">Ergebnis: </w:t>
      </w:r>
      <w:r>
        <w:t>Bei ambulant versorgten Patienten: durchschnittlich 2,0 Tage (SD 2,3) zwischen letztem infektionsbezogenen Kontakt und Sepsishospitalisierung; 82,3 % hatten Kontakt mit Hausarzt; nur 11,4 % erhielten Antiinfektiva-Verschreibungen. Hinweis auf Chancen zur früheren Sepsis-Erkennung in ambulanten Settings.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(AOK) mit 238.247 Patienten, hohe Übertragbarkeit auf hiesiges Versorgungssystem</w:t>
      </w:r>
    </w:p>
    <w:p>
      <w:r>
        <w:rPr>
          <w:color w:val="5A7D3A"/>
          <w:sz w:val="18"/>
        </w:rPr>
        <w:t>https://pubmed.ncbi.nlm.nih.gov/42862469/</w:t>
      </w:r>
    </w:p>
    <w:p>
      <w:pPr>
        <w:pStyle w:val="Heading2"/>
      </w:pPr>
      <w:r>
        <w:t>Beteiligung älterer Menschen mit Sturztrauma in Forschung</w:t>
      </w:r>
    </w:p>
    <w:p>
      <w:r>
        <w:rPr>
          <w:i/>
          <w:color w:val="666666"/>
          <w:sz w:val="18"/>
        </w:rPr>
        <w:t>Reeck N et al.  ·  Health Expect  ·  Okt. 2026  ·  PMID 42861438</w:t>
      </w:r>
    </w:p>
    <w:p>
      <w:r>
        <w:t>Qualitative Evaluationsstudie zur Partizipation von 8 älteren Personen mit Sturzererfahrung über 3 Jahre; Bewertung mit Evaluationsinstrumenten und Prozessdokumentation.</w:t>
      </w:r>
    </w:p>
    <w:p>
      <w:r>
        <w:rPr>
          <w:b/>
        </w:rPr>
        <w:t xml:space="preserve">Ergebnis: </w:t>
      </w:r>
      <w:r>
        <w:t>Kern-Befunde: Positive Atmosphäre bei Treffen, anfängliche Unklarheit über Projektzweck; Partizipatives Forschungsteam beeinflusste verschiedene Projektphasen (z.B. Fokusgruppen-Design); gesundheitsbedingte Absenzen erforderten Aufnahme von 3 neuen Teilnehmern; Kontextfaktoren (Infrastruktur) unterstützend, aber verbesserte Informationsstrukturen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 (Oldenburg), geriatrisches Setting, Methoden der Patient Engagement-Evaluierung</w:t>
      </w:r>
    </w:p>
    <w:p>
      <w:r>
        <w:rPr>
          <w:color w:val="5A7D3A"/>
          <w:sz w:val="18"/>
        </w:rPr>
        <w:t>https://pubmed.ncbi.nlm.nih.gov/42861438/</w:t>
      </w:r>
    </w:p>
    <w:p>
      <w:pPr>
        <w:pStyle w:val="Heading2"/>
      </w:pPr>
      <w:r>
        <w:t>Repräsentativität von Brustkrebs-Befragten in England</w:t>
      </w:r>
    </w:p>
    <w:p>
      <w:r>
        <w:rPr>
          <w:i/>
          <w:color w:val="666666"/>
          <w:sz w:val="18"/>
        </w:rPr>
        <w:t>Blacker S et al.  ·  BMJ Open  ·  09.10.2026  ·  PMID 42855234</w:t>
      </w:r>
    </w:p>
    <w:p>
      <w:r>
        <w:t>Kohortenstudie mit Datenverknüpfung von nationaler Patientenerfahrungsbefragung mit Krebsregister zur Beurteilung der Selektionsbias bei Rücklaufquoten.</w:t>
      </w:r>
    </w:p>
    <w:p>
      <w:r>
        <w:rPr>
          <w:b/>
        </w:rPr>
        <w:t xml:space="preserve">Ergebnis: </w:t>
      </w:r>
      <w:r>
        <w:t>Linked Analyse von 71.640 Brustkrebs-Patientinnen zeigte, welche Charakteristika mit Rücklauf assoziiert waren; Identifikation systemischer Unterschiede zwischen Respondern und Nicht-Respondern für informierte Bias-Interpretation in zukünftigen Experience-Surveys.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Methodische Versorgungsforschung, NHS-Daten, Sampling-Fragen auch in Deutschland relevant</w:t>
      </w:r>
    </w:p>
    <w:p>
      <w:r>
        <w:rPr>
          <w:color w:val="5A7D3A"/>
          <w:sz w:val="18"/>
        </w:rPr>
        <w:t>https://pubmed.ncbi.nlm.nih.gov/42855234/</w:t>
      </w:r>
    </w:p>
    <w:p>
      <w:pPr>
        <w:pStyle w:val="Heading2"/>
      </w:pPr>
      <w:r>
        <w:t>Labor-Phänotypen nach Reanimation und Mortalität</w:t>
      </w:r>
    </w:p>
    <w:p>
      <w:r>
        <w:rPr>
          <w:i/>
          <w:color w:val="666666"/>
          <w:sz w:val="18"/>
        </w:rPr>
        <w:t>Liu X et al.  ·  Resuscitation  ·  09.10.2026  ·  PMID 42855036</w:t>
      </w:r>
    </w:p>
    <w:p>
      <w:r>
        <w:t>Nationale 10-Jahres-Kohortenstudie aus Singapur (1514 reanimierte Patienten) mit Latent-Class-Analyse von 14 Laborvariablen innerhalb 6 Stunden nach ROSC zur Vorhersage neurologischer Outcomes.</w:t>
      </w:r>
    </w:p>
    <w:p>
      <w:r>
        <w:rPr>
          <w:b/>
        </w:rPr>
        <w:t xml:space="preserve">Ergebnis: </w:t>
      </w:r>
      <w:r>
        <w:t>Drei prognostisch distinkte Phänotypen identifiziert: Multi-Organ-Dysfunktion (MOD, N=286), Homeostase (HOM, N=967), Immun-Dysregulation (IMD, N=261). HOM und IMD hatten niedrigere Odds für schlechte neurologische Erholung vs. MOD (aOR 0,50 bzw. 0,46, p≤0,004). Unterschiede auch für 30-Tage- und 3-Jahres-Mortalität signifikant (aHR 0,71–0,78).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Nationale Kohortendaten Singapur, externe Validierung erforderlich, Laborbiomarker systemunabhängig</w:t>
      </w:r>
    </w:p>
    <w:p>
      <w:r>
        <w:rPr>
          <w:color w:val="5A7D3A"/>
          <w:sz w:val="18"/>
        </w:rPr>
        <w:t>https://pubmed.ncbi.nlm.nih.gov/42855036/</w:t>
      </w:r>
    </w:p>
    <w:p>
      <w:pPr>
        <w:pStyle w:val="Heading2"/>
      </w:pPr>
      <w:r>
        <w:t>Infektionsrisiko unter Rituximab-Therapie bei MS</w:t>
      </w:r>
    </w:p>
    <w:p>
      <w:r>
        <w:rPr>
          <w:i/>
          <w:color w:val="666666"/>
          <w:sz w:val="18"/>
        </w:rPr>
        <w:t>Pihl-Jensen G et al.  ·  Neurol Clin Pract  ·  08.10.2026  ·  PMID 42854181</w:t>
      </w:r>
    </w:p>
    <w:p>
      <w:r>
        <w:t>Norwegische national-weite Beobachtungsstudie (Verknüpfung Gesundheitsregister mit MS-Registry 2010–Juni 2022) bei 3.410 MS-Patienten zu Infektionsrisiko unter Rituximab nach Dosierungsintervall und Alter.</w:t>
      </w:r>
    </w:p>
    <w:p>
      <w:r>
        <w:rPr>
          <w:b/>
        </w:rPr>
        <w:t xml:space="preserve">Ergebnis: </w:t>
      </w:r>
      <w:r>
        <w:t>13.774 Infektionen auf 13.811 Behandlungsepisoden. Verlängerte Dosierungsintervalle assoziiert mit niedrigerem Gesamtinfektionsrisiko: 2 vs. 4 Infusionen/2 Jahre HR 0,90 (95% CI 0,82–0,99); 1 Infusion HR 0,78 (0,69–0,88). Krankenhaus-Infektionen: nur HR 0,68 (0,59–0,79) für 1 vs. 4 Infusionen. Alter ≥60 Jahre HR 1,36 (1,07–1,71) für Klinik-Infektionen.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 (skandinavisches Versorgungssystem), Behandlungs-Effektivität und Sicherheit grundsätzlich transferabel</w:t>
      </w:r>
    </w:p>
    <w:p>
      <w:r>
        <w:rPr>
          <w:color w:val="5A7D3A"/>
          <w:sz w:val="18"/>
        </w:rPr>
        <w:t>https://pubmed.ncbi.nlm.nih.gov/42854181/</w:t>
      </w:r>
    </w:p>
    <w:p>
      <w:pPr>
        <w:pStyle w:val="Heading2"/>
      </w:pPr>
      <w:r>
        <w:t>Postpartales Medicaid-Coverage und Mütter-Erfahrungen</w:t>
      </w:r>
    </w:p>
    <w:p>
      <w:r>
        <w:rPr>
          <w:i/>
          <w:color w:val="666666"/>
          <w:sz w:val="18"/>
        </w:rPr>
        <w:t>Raffa BJ et al.  ·  JAMA Netw Open  ·  01.10.2026  ·  PMID 42853565</w:t>
      </w:r>
    </w:p>
    <w:p>
      <w:r>
        <w:t>Qualitative Studie mit 16 Müttern (semistrukturierte Interviews, April–Oktober 2025) in Nordkarolina zur Erfahrung mit erweitertem postpartalen Medicaid-Coverage (60 Tage auf 12 Monate).</w:t>
      </w:r>
    </w:p>
    <w:p>
      <w:r>
        <w:rPr>
          <w:b/>
        </w:rPr>
        <w:t xml:space="preserve">Ergebnis: </w:t>
      </w:r>
      <w:r>
        <w:t>Fünf Hauptthemen: Verwirrung um Coverage, Medicaid ermöglicht Versorgungszugang, psychische Gesundheit kritisch im postpartalen Zeitfenster, reduzierter finanzischer Stress mit verbesserter Familiendynamik, Medicaid verhindert Versorgungsverzicht. Bewusstsein über Policy-Änderungen war Schlüssel für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andere Finanzierungslogik als deutsche gesetzliche Versicherung</w:t>
      </w:r>
    </w:p>
    <w:p>
      <w:r>
        <w:rPr>
          <w:color w:val="5A7D3A"/>
          <w:sz w:val="18"/>
        </w:rPr>
        <w:t>https://pubmed.ncbi.nlm.nih.gov/42853565/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