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13.10.2026  |  356 Studien  |  wissen.m-vf.de</w:t>
      </w:r>
    </w:p>
    <w:p>
      <w:pPr>
        <w:pStyle w:val="Heading1"/>
      </w:pPr>
      <w:r>
        <w:t>Aufgenommen am 13.10.2026</w:t>
      </w:r>
    </w:p>
    <w:p>
      <w:pPr>
        <w:pStyle w:val="Heading2"/>
      </w:pPr>
      <w:r>
        <w:t>Ambulante Versorgungspfade vor Sepsishospitalisierung</w:t>
      </w:r>
    </w:p>
    <w:p>
      <w:r>
        <w:rPr>
          <w:i/>
          <w:color w:val="666666"/>
          <w:sz w:val="18"/>
        </w:rPr>
        <w:t>Storch J et al.  ·  Infection  ·  12.10.2026  ·  PMID 42862469</w:t>
      </w:r>
    </w:p>
    <w:p>
      <w:r>
        <w:t>Bevölkerungsbasierte Analyse deutscher Versichertendaten zu ambulanten Kontakten vor stationärer Sepsisaufnahme: 61,8 % hatten nur ambulante Versorgung, 12,7 % Notfallversorgung, 25,5 % keine Kontakte in der Woche vor Hospitalisierung.</w:t>
      </w:r>
    </w:p>
    <w:p>
      <w:r>
        <w:rPr>
          <w:b/>
        </w:rPr>
        <w:t xml:space="preserve">Ergebnis: </w:t>
      </w:r>
      <w:r>
        <w:t>Bei ambulant versorgten Patienten: durchschnittlich 2,0 Tage (SD 2,3) zwischen letztem infektionsbezogenen Kontakt und Sepsishospitalisierung; 82,3 % hatten Kontakt mit Hausarzt; nur 11,4 % erhielten Antiinfektiva-Verschreibungen. Hinweis auf Chancen zur früheren Sepsis-Erkennung in ambulanten Settings.</w:t>
      </w:r>
    </w:p>
    <w:p>
      <w:r>
        <w:rPr>
          <w:b/>
          <w:sz w:val="19"/>
        </w:rPr>
        <w:t xml:space="preserve">Übertragbarkeit: </w:t>
      </w:r>
      <w:r>
        <w:rPr>
          <w:sz w:val="19"/>
        </w:rPr>
        <w:t>Deutsche Routinedaten (AOK) mit 238.247 Patienten, hohe Übertragbarkeit auf hiesiges Versorgungssystem</w:t>
      </w:r>
    </w:p>
    <w:p>
      <w:r>
        <w:rPr>
          <w:color w:val="5A7D3A"/>
          <w:sz w:val="18"/>
        </w:rPr>
        <w:t>https://pubmed.ncbi.nlm.nih.gov/42862469/</w:t>
      </w:r>
    </w:p>
    <w:p>
      <w:pPr>
        <w:pStyle w:val="Heading2"/>
      </w:pPr>
      <w:r>
        <w:t>Beteiligung älterer Menschen mit Sturztrauma in Forschung</w:t>
      </w:r>
    </w:p>
    <w:p>
      <w:r>
        <w:rPr>
          <w:i/>
          <w:color w:val="666666"/>
          <w:sz w:val="18"/>
        </w:rPr>
        <w:t>Reeck N et al.  ·  Health Expect  ·  Okt. 2026  ·  PMID 42861438</w:t>
      </w:r>
    </w:p>
    <w:p>
      <w:r>
        <w:t>Qualitative Evaluationsstudie zur Partizipation von 8 älteren Personen mit Sturzererfahrung über 3 Jahre; Bewertung mit Evaluationsinstrumenten und Prozessdokumentation.</w:t>
      </w:r>
    </w:p>
    <w:p>
      <w:r>
        <w:rPr>
          <w:b/>
        </w:rPr>
        <w:t xml:space="preserve">Ergebnis: </w:t>
      </w:r>
      <w:r>
        <w:t>Kern-Befunde: Positive Atmosphäre bei Treffen, anfängliche Unklarheit über Projektzweck; Partizipatives Forschungsteam beeinflusste verschiedene Projektphasen (z.B. Fokusgruppen-Design); gesundheitsbedingte Absenzen erforderten Aufnahme von 3 neuen Teilnehmern; Kontextfaktoren (Infrastruktur) unterstützend, aber verbesserte Informationsstrukturen nötig.</w:t>
      </w:r>
    </w:p>
    <w:p>
      <w:r>
        <w:rPr>
          <w:b/>
          <w:sz w:val="19"/>
        </w:rPr>
        <w:t xml:space="preserve">Übertragbarkeit: </w:t>
      </w:r>
      <w:r>
        <w:rPr>
          <w:sz w:val="19"/>
        </w:rPr>
        <w:t>Deutsche Universität (Oldenburg), geriatrisches Setting, Methoden der Patient Engagement-Evaluierung</w:t>
      </w:r>
    </w:p>
    <w:p>
      <w:r>
        <w:rPr>
          <w:color w:val="5A7D3A"/>
          <w:sz w:val="18"/>
        </w:rPr>
        <w:t>https://pubmed.ncbi.nlm.nih.gov/42861438/</w:t>
      </w:r>
    </w:p>
    <w:p>
      <w:pPr>
        <w:pStyle w:val="Heading2"/>
      </w:pPr>
      <w:r>
        <w:t>Repräsentativität von Brustkrebs-Befragten in England</w:t>
      </w:r>
    </w:p>
    <w:p>
      <w:r>
        <w:rPr>
          <w:i/>
          <w:color w:val="666666"/>
          <w:sz w:val="18"/>
        </w:rPr>
        <w:t>Blacker S et al.  ·  BMJ Open  ·  09.10.2026  ·  PMID 42855234</w:t>
      </w:r>
    </w:p>
    <w:p>
      <w:r>
        <w:t>Kohortenstudie mit Datenverknüpfung von nationaler Patientenerfahrungsbefragung mit Krebsregister zur Beurteilung der Selektionsbias bei Rücklaufquoten.</w:t>
      </w:r>
    </w:p>
    <w:p>
      <w:r>
        <w:rPr>
          <w:b/>
        </w:rPr>
        <w:t xml:space="preserve">Ergebnis: </w:t>
      </w:r>
      <w:r>
        <w:t>Linked Analyse von 71.640 Brustkrebs-Patientinnen zeigte, welche Charakteristika mit Rücklauf assoziiert waren; Identifikation systemischer Unterschiede zwischen Respondern und Nicht-Respondern für informierte Bias-Interpretation in zukünftigen Experience-Surveys.</w:t>
      </w:r>
    </w:p>
    <w:p>
      <w:r>
        <w:rPr>
          <w:b/>
          <w:sz w:val="19"/>
        </w:rPr>
        <w:t xml:space="preserve">Übertragbarkeit: </w:t>
      </w:r>
      <w:r>
        <w:rPr>
          <w:sz w:val="19"/>
        </w:rPr>
        <w:t>Methodische Versorgungsforschung, NHS-Daten, Sampling-Fragen auch in Deutschland relevant</w:t>
      </w:r>
    </w:p>
    <w:p>
      <w:r>
        <w:rPr>
          <w:color w:val="5A7D3A"/>
          <w:sz w:val="18"/>
        </w:rPr>
        <w:t>https://pubmed.ncbi.nlm.nih.gov/42855234/</w:t>
      </w:r>
    </w:p>
    <w:p>
      <w:pPr>
        <w:pStyle w:val="Heading2"/>
      </w:pPr>
      <w:r>
        <w:t>Labor-Phänotypen nach Reanimation und Mortalität</w:t>
      </w:r>
    </w:p>
    <w:p>
      <w:r>
        <w:rPr>
          <w:i/>
          <w:color w:val="666666"/>
          <w:sz w:val="18"/>
        </w:rPr>
        <w:t>Liu X et al.  ·  Resuscitation  ·  09.10.2026  ·  PMID 42855036</w:t>
      </w:r>
    </w:p>
    <w:p>
      <w:r>
        <w:t>Nationale 10-Jahres-Kohortenstudie aus Singapur (1514 reanimierte Patienten) mit Latent-Class-Analyse von 14 Laborvariablen innerhalb 6 Stunden nach ROSC zur Vorhersage neurologischer Outcomes.</w:t>
      </w:r>
    </w:p>
    <w:p>
      <w:r>
        <w:rPr>
          <w:b/>
        </w:rPr>
        <w:t xml:space="preserve">Ergebnis: </w:t>
      </w:r>
      <w:r>
        <w:t>Drei prognostisch distinkte Phänotypen identifiziert: Multi-Organ-Dysfunktion (MOD, N=286), Homeostase (HOM, N=967), Immun-Dysregulation (IMD, N=261). HOM und IMD hatten niedrigere Odds für schlechte neurologische Erholung vs. MOD (aOR 0,50 bzw. 0,46, p≤0,004). Unterschiede auch für 30-Tage- und 3-Jahres-Mortalität signifikant (aHR 0,71–0,78).</w:t>
      </w:r>
    </w:p>
    <w:p>
      <w:r>
        <w:rPr>
          <w:b/>
          <w:sz w:val="19"/>
        </w:rPr>
        <w:t xml:space="preserve">Übertragbarkeit: </w:t>
      </w:r>
      <w:r>
        <w:rPr>
          <w:sz w:val="19"/>
        </w:rPr>
        <w:t>Nationale Kohortendaten Singapur, externe Validierung erforderlich, Laborbiomarker systemunabhängig</w:t>
      </w:r>
    </w:p>
    <w:p>
      <w:r>
        <w:rPr>
          <w:color w:val="5A7D3A"/>
          <w:sz w:val="18"/>
        </w:rPr>
        <w:t>https://pubmed.ncbi.nlm.nih.gov/42855036/</w:t>
      </w:r>
    </w:p>
    <w:p>
      <w:pPr>
        <w:pStyle w:val="Heading2"/>
      </w:pPr>
      <w:r>
        <w:t>Infektionsrisiko unter Rituximab-Therapie bei MS</w:t>
      </w:r>
    </w:p>
    <w:p>
      <w:r>
        <w:rPr>
          <w:i/>
          <w:color w:val="666666"/>
          <w:sz w:val="18"/>
        </w:rPr>
        <w:t>Pihl-Jensen G et al.  ·  Neurol Clin Pract  ·  08.10.2026  ·  PMID 42854181</w:t>
      </w:r>
    </w:p>
    <w:p>
      <w:r>
        <w:t>Norwegische national-weite Beobachtungsstudie (Verknüpfung Gesundheitsregister mit MS-Registry 2010–Juni 2022) bei 3.410 MS-Patienten zu Infektionsrisiko unter Rituximab nach Dosierungsintervall und Alter.</w:t>
      </w:r>
    </w:p>
    <w:p>
      <w:r>
        <w:rPr>
          <w:b/>
        </w:rPr>
        <w:t xml:space="preserve">Ergebnis: </w:t>
      </w:r>
      <w:r>
        <w:t>13.774 Infektionen auf 13.811 Behandlungsepisoden. Verlängerte Dosierungsintervalle assoziiert mit niedrigerem Gesamtinfektionsrisiko: 2 vs. 4 Infusionen/2 Jahre HR 0,90 (95% CI 0,82–0,99); 1 Infusion HR 0,78 (0,69–0,88). Krankenhaus-Infektionen: nur HR 0,68 (0,59–0,79) für 1 vs. 4 Infusionen. Alter ≥60 Jahre HR 1,36 (1,07–1,71) für Klinik-Infektionen.</w:t>
      </w:r>
    </w:p>
    <w:p>
      <w:r>
        <w:rPr>
          <w:b/>
          <w:sz w:val="19"/>
        </w:rPr>
        <w:t xml:space="preserve">Übertragbarkeit: </w:t>
      </w:r>
      <w:r>
        <w:rPr>
          <w:sz w:val="19"/>
        </w:rPr>
        <w:t>Norwegen (skandinavisches Versorgungssystem), Behandlungs-Effektivität und Sicherheit grundsätzlich transferabel</w:t>
      </w:r>
    </w:p>
    <w:p>
      <w:r>
        <w:rPr>
          <w:color w:val="5A7D3A"/>
          <w:sz w:val="18"/>
        </w:rPr>
        <w:t>https://pubmed.ncbi.nlm.nih.gov/42854181/</w:t>
      </w:r>
    </w:p>
    <w:p>
      <w:pPr>
        <w:pStyle w:val="Heading2"/>
      </w:pPr>
      <w:r>
        <w:t>Postpartales Medicaid-Coverage und Mütter-Erfahrungen</w:t>
      </w:r>
    </w:p>
    <w:p>
      <w:r>
        <w:rPr>
          <w:i/>
          <w:color w:val="666666"/>
          <w:sz w:val="18"/>
        </w:rPr>
        <w:t>Raffa BJ et al.  ·  JAMA Netw Open  ·  01.10.2026  ·  PMID 42853565</w:t>
      </w:r>
    </w:p>
    <w:p>
      <w:r>
        <w:t>Qualitative Studie mit 16 Müttern (semistrukturierte Interviews, April–Oktober 2025) in Nordkarolina zur Erfahrung mit erweitertem postpartalen Medicaid-Coverage (60 Tage auf 12 Monate).</w:t>
      </w:r>
    </w:p>
    <w:p>
      <w:r>
        <w:rPr>
          <w:b/>
        </w:rPr>
        <w:t xml:space="preserve">Ergebnis: </w:t>
      </w:r>
      <w:r>
        <w:t>Fünf Hauptthemen: Verwirrung um Coverage, Medicaid ermöglicht Versorgungszugang, psychische Gesundheit kritisch im postpartalen Zeitfenster, reduzierter finanzischer Stress mit verbesserter Familiendynamik, Medicaid verhindert Versorgungsverzicht. Bewusstsein über Policy-Änderungen war Schlüssel für Nutzen.</w:t>
      </w:r>
    </w:p>
    <w:p>
      <w:r>
        <w:rPr>
          <w:b/>
          <w:sz w:val="19"/>
        </w:rPr>
        <w:t xml:space="preserve">Übertragbarkeit: </w:t>
      </w:r>
      <w:r>
        <w:rPr>
          <w:sz w:val="19"/>
        </w:rPr>
        <w:t>Nur bedingt: US-Medicaid-System, andere Finanzierungslogik als deutsche gesetzliche Versicherung</w:t>
      </w:r>
    </w:p>
    <w:p>
      <w:r>
        <w:rPr>
          <w:color w:val="5A7D3A"/>
          <w:sz w:val="18"/>
        </w:rPr>
        <w:t>https://pubmed.ncbi.nlm.nih.gov/42853565/</w:t>
      </w:r>
    </w:p>
    <w:p>
      <w:pPr>
        <w:pStyle w:val="Heading1"/>
      </w:pPr>
      <w:r>
        <w:t>Aufgenommen am 12.10.2026</w:t>
      </w:r>
    </w:p>
    <w:p>
      <w:pPr>
        <w:pStyle w:val="Heading2"/>
      </w:pPr>
      <w:r>
        <w:t>Operative Wartezeiten bei Nierenzellkarzinom in England</w:t>
      </w:r>
    </w:p>
    <w:p>
      <w:r>
        <w:rPr>
          <w:i/>
          <w:color w:val="666666"/>
          <w:sz w:val="18"/>
        </w:rPr>
        <w:t>Varma R et al.  ·  BJU Int  ·  11.10.2026  ·  PMID 42860314</w:t>
      </w:r>
    </w:p>
    <w:p>
      <w:r>
        <w:t>Studie zu Wartezeiten auf operative Behandlung bei Patienten mit hochrisiko- und niedrigrisiko-Nierenzellkarzinom in England, 2019–2023.</w:t>
      </w:r>
    </w:p>
    <w:p>
      <w:r>
        <w:rPr>
          <w:b/>
        </w:rPr>
        <w:t xml:space="preserve">Ergebnis: </w:t>
      </w:r>
      <w:r>
        <w:t>Anteil zeitnaher Operationen (≤31 Tage) sank bei hochrisiko-RCC von 83,7% (2019) auf 64,8% (2023), bei niedrigrisiko-RCC von 71,3% auf 47,6%. Verlängerte Verzögerungen (&gt;62 Tage) verdoppelten sich von 3,9% auf 9,4%. Hochrisiko-Patienten wurden bevorzugt (73,6% vs. 58,2%, adjustierte RR 1,26, KI 1,22–1,31).</w:t>
      </w:r>
    </w:p>
    <w:p>
      <w:r>
        <w:rPr>
          <w:b/>
          <w:sz w:val="19"/>
        </w:rPr>
        <w:t xml:space="preserve">Übertragbarkeit: </w:t>
      </w:r>
      <w:r>
        <w:rPr>
          <w:sz w:val="19"/>
        </w:rPr>
        <w:t>England, NHS-System mit anderen Zugangsstrukturen, aber versorgungsnahe Frage zur chirurgischen Kapazität</w:t>
      </w:r>
    </w:p>
    <w:p>
      <w:r>
        <w:rPr>
          <w:color w:val="5A7D3A"/>
          <w:sz w:val="18"/>
        </w:rPr>
        <w:t>https://pubmed.ncbi.nlm.nih.gov/42860314/</w:t>
      </w:r>
    </w:p>
    <w:p>
      <w:pPr>
        <w:pStyle w:val="Heading2"/>
      </w:pPr>
      <w:r>
        <w:t>Palliativbetreuung in der ambulanten Nephrologie: Wissen und Kommunikation</w:t>
      </w:r>
    </w:p>
    <w:p>
      <w:r>
        <w:rPr>
          <w:i/>
          <w:color w:val="666666"/>
          <w:sz w:val="18"/>
        </w:rPr>
        <w:t>Joshi M et al.  ·  BMC Nephrol  ·  09.10.2026  ·  PMID 42859148</w:t>
      </w:r>
    </w:p>
    <w:p>
      <w:r>
        <w:t>Qualitative und quantitative Studie zu Integration von Palliativbetreuung in deutschen Nephologie-Ambulanzen mittels Befragung und Interviews von 52 Fachkräften sowie 13 Tiefeninterviews.</w:t>
      </w:r>
    </w:p>
    <w:p>
      <w:r>
        <w:rPr>
          <w:b/>
        </w:rPr>
        <w:t xml:space="preserve">Ergebnis: </w:t>
      </w:r>
      <w:r>
        <w:t>Nur etwa die Hälfte der Fachkräfte äußerte Konfidenz in der Identifikation von Patienten mit Palliativbedarf. Gespräche über Behandlungspräferenzen und Vorausplanung fanden inkonsistent statt; Diskussionen über Sterbeort waren selten. Schulung erhöhte das Bewusstsein, strukturelle Barrieren (Zeitdruck, Behandlungsfokus) behinderten aber die Umsetzung.</w:t>
      </w:r>
    </w:p>
    <w:p>
      <w:r>
        <w:rPr>
          <w:b/>
          <w:sz w:val="19"/>
        </w:rPr>
        <w:t xml:space="preserve">Übertragbarkeit: </w:t>
      </w:r>
      <w:r>
        <w:rPr>
          <w:sz w:val="19"/>
        </w:rPr>
        <w:t>Deutsche Studie, ambulante Nephrologiepraxen und Krankenhausambulanzen</w:t>
      </w:r>
    </w:p>
    <w:p>
      <w:r>
        <w:rPr>
          <w:color w:val="5A7D3A"/>
          <w:sz w:val="18"/>
        </w:rPr>
        <w:t>https://pubmed.ncbi.nlm.nih.gov/42859148/</w:t>
      </w:r>
    </w:p>
    <w:p>
      <w:pPr>
        <w:pStyle w:val="Heading2"/>
      </w:pPr>
      <w:r>
        <w:t>Epidemiologie entzündlicher rheumatischer Erkrankungen in Deutschland</w:t>
      </w:r>
    </w:p>
    <w:p>
      <w:r>
        <w:rPr>
          <w:i/>
          <w:color w:val="666666"/>
          <w:sz w:val="18"/>
        </w:rPr>
        <w:t>Albrecht K et al.  ·  EULAR Rheumatol Open  ·  09.07.2026  ·  PMID 42857317</w:t>
      </w:r>
    </w:p>
    <w:p>
      <w:r>
        <w:t>Systematische Übersicht zur Prävalenz und Inzidenz von 11 entzündlichen rheumatischen Erkrankungen in Deutschland und Europa (2013–aktuell) für Personalbedarfsplanung.</w:t>
      </w:r>
    </w:p>
    <w:p>
      <w:r>
        <w:rPr>
          <w:b/>
        </w:rPr>
        <w:t xml:space="preserve">Ergebnis: </w:t>
      </w:r>
      <w:r>
        <w:t>Geschätzte Prävalenz pro 100.000: rheumatoide Arthritis 1.000, Polymyalgia rheumatica 600 (&gt;50 Jahre), axiale Spondylarthritis 300, psoriasis-Arthritis 300, Riesenzellarteriitis 146 (&gt;50 Jahre), primäres Sjögren 70, systemischer Lupus erythematodes 56, systemische Sklerose 35, idiopathische entzündliche Myopathien 17, ANCA-assoziierte Vaskulitiden 26, Behçet 4,7. Gesamtprävalenz entzündlicher rheumatischer Erkrankungen in Deutschland: 2,6% (1,8 Mio. Erwachsene), jährliche Inzidenz 0,2% (130.000 Erwachsene).</w:t>
      </w:r>
    </w:p>
    <w:p>
      <w:r>
        <w:rPr>
          <w:b/>
          <w:sz w:val="19"/>
        </w:rPr>
        <w:t xml:space="preserve">Übertragbarkeit: </w:t>
      </w:r>
      <w:r>
        <w:rPr>
          <w:sz w:val="19"/>
        </w:rPr>
        <w:t>Deutsche Studie mit deutschen Daten und Schätzungen, direkt anwendbar für Versorgungsplanung</w:t>
      </w:r>
    </w:p>
    <w:p>
      <w:r>
        <w:rPr>
          <w:color w:val="5A7D3A"/>
          <w:sz w:val="18"/>
        </w:rPr>
        <w:t>https://pubmed.ncbi.nlm.nih.gov/42857317/</w:t>
      </w:r>
    </w:p>
    <w:p>
      <w:pPr>
        <w:pStyle w:val="Heading2"/>
      </w:pPr>
      <w:r>
        <w:t>Rolle von Ernährungsfachkräften in Langzeitpflegeeinrichtungen</w:t>
      </w:r>
    </w:p>
    <w:p>
      <w:r>
        <w:rPr>
          <w:i/>
          <w:color w:val="666666"/>
          <w:sz w:val="18"/>
        </w:rPr>
        <w:t>Bartrim K et al.  ·  Health Policy  ·  20.09.2026  ·  PMID 42849156</w:t>
      </w:r>
    </w:p>
    <w:p>
      <w:r>
        <w:t>Dokumentenanalyse der Rolle von Ernährungsfachkräften in Langzeitpflegeangeboten in 68 Ländern basierend auf Regelwerke, Standards und Leitlinien.</w:t>
      </w:r>
    </w:p>
    <w:p>
      <w:r>
        <w:rPr>
          <w:b/>
        </w:rPr>
        <w:t xml:space="preserve">Ergebnis: </w:t>
      </w:r>
      <w:r>
        <w:t>Von 68 Ländern hatten 37 (54%) mindestens ein Dokument zu Ernährungsfachkräften in Langzeitpflege. Japan war einziges Land mit allen vier Dokumenttypen; Australien, Türkiye und Nordirland hatten je drei. 14 Themenbereiche identifiziert, u.a. Ernährungsscreening, Speiseplanung, multiprofessionelle Zusammenarbeit. Große globale Unterschiede in Regelungen und anerkannten Rollen.</w:t>
      </w:r>
    </w:p>
    <w:p>
      <w:r>
        <w:rPr>
          <w:b/>
          <w:sz w:val="19"/>
        </w:rPr>
        <w:t xml:space="preserve">Übertragbarkeit: </w:t>
      </w:r>
      <w:r>
        <w:rPr>
          <w:sz w:val="19"/>
        </w:rPr>
        <w:t>Vergleichende Analyse, auf Deutschland begrenzt übertragbar, aufgrund von Unterschieden in Regulierung und Systemstruktur</w:t>
      </w:r>
    </w:p>
    <w:p>
      <w:r>
        <w:rPr>
          <w:color w:val="5A7D3A"/>
          <w:sz w:val="18"/>
        </w:rPr>
        <w:t>https://pubmed.ncbi.nlm.nih.gov/42849156/</w:t>
      </w:r>
    </w:p>
    <w:p>
      <w:pPr>
        <w:pStyle w:val="Heading2"/>
      </w:pPr>
      <w:r>
        <w:t>Kardio-metabole Ergebnisse eines Wellness-Programms auf dem Land</w:t>
      </w:r>
    </w:p>
    <w:p>
      <w:r>
        <w:rPr>
          <w:i/>
          <w:color w:val="666666"/>
          <w:sz w:val="18"/>
        </w:rPr>
        <w:t>Baus A et al.  ·  J Prim Care Community Health  ·  08.10.2026  ·  PMID 42849056</w:t>
      </w:r>
    </w:p>
    <w:p>
      <w:r>
        <w:t>Retrospektive Evaluation eines krankenhausgestützten Wellness-Programms in West Virginia mit 585 aktiven Teilnehmern zur Kardio-metabolischen Gesundheit.</w:t>
      </w:r>
    </w:p>
    <w:p>
      <w:r>
        <w:rPr>
          <w:b/>
        </w:rPr>
        <w:t xml:space="preserve">Ergebnis: </w:t>
      </w:r>
      <w:r>
        <w:t>Bei gepaarten Analysen: Taillenumfang reduziert um 0,19 Inch (KI −0,34 bis −0,03; p=0,0174), diastolischer Blutdruck um 3,38 mmHg (KI −4,54 bis −2,21; p&lt;0,0001). Bei 56 Diabetespatienten mit HbA1c-Messungen: Reduktion um 0,25 Prozentpunkte (KI −0,44 bis −0,06; p=0,0106), bei initial HbA1c ≥7,0% (n=23) um 0,65 Punkte (KI −1,00 bis −0,29; p=0,0010).</w:t>
      </w:r>
    </w:p>
    <w:p>
      <w:r>
        <w:rPr>
          <w:b/>
          <w:sz w:val="19"/>
        </w:rPr>
        <w:t xml:space="preserve">Übertragbarkeit: </w:t>
      </w:r>
      <w:r>
        <w:rPr>
          <w:sz w:val="19"/>
        </w:rPr>
        <w:t>USA, ländliches Setting, aber Fragestellung zu lokalen Wellness-Modellen systemunabhängig relevant</w:t>
      </w:r>
    </w:p>
    <w:p>
      <w:r>
        <w:rPr>
          <w:color w:val="5A7D3A"/>
          <w:sz w:val="18"/>
        </w:rPr>
        <w:t>https://pubmed.ncbi.nlm.nih.gov/42849056/</w:t>
      </w:r>
    </w:p>
    <w:p>
      <w:pPr>
        <w:pStyle w:val="Heading2"/>
      </w:pPr>
      <w:r>
        <w:t>Einzelitemmessungen zu Nebenwirkungsbelastung bei Krebspatienten</w:t>
      </w:r>
    </w:p>
    <w:p>
      <w:r>
        <w:rPr>
          <w:i/>
          <w:color w:val="666666"/>
          <w:sz w:val="18"/>
        </w:rPr>
        <w:t>Jones T et al.  ·  Eur J Cancer  ·  04.10.2026  ·  PMID 42843209</w:t>
      </w:r>
    </w:p>
    <w:p>
      <w:r>
        <w:t>Systematische Übersichtsarbeit zu Einsatz, psychometrischen Eigenschaften und klinischer Validität von Einzelitemmessungen der wahrgenommenen Nebenwirkungsbelastung in Krebsstudien (67 Publikationen, 74 Studienregistrierungen).</w:t>
      </w:r>
    </w:p>
    <w:p>
      <w:r>
        <w:rPr>
          <w:b/>
        </w:rPr>
        <w:t xml:space="preserve">Ergebnis: </w:t>
      </w:r>
      <w:r>
        <w:t>EORTC Q168 konzentriert auf Pankreas- und Gallenwegskrebs; FACIT GP5 breiter eingesetzt. Für FACIT GP5 lagen 27 Publikationen vor mit Befunden zu Inhalts-, Konstrukt- und Diskriminanzvalidität; für Q168 nur 2 Publikationen. Inhaltliche Limitationen bleiben, besonders beim Attributieren von Symptomen zur Behandlung versus Erkrankung oder andere Faktoren.</w:t>
      </w:r>
    </w:p>
    <w:p>
      <w:r>
        <w:rPr>
          <w:b/>
          <w:sz w:val="19"/>
        </w:rPr>
        <w:t xml:space="preserve">Übertragbarkeit: </w:t>
      </w:r>
      <w:r>
        <w:rPr>
          <w:sz w:val="19"/>
        </w:rPr>
        <w:t>Übersichtsarbeit über klinische Krebsforschung, international übertragbar für Instrumentenanwendung</w:t>
      </w:r>
    </w:p>
    <w:p>
      <w:r>
        <w:rPr>
          <w:color w:val="5A7D3A"/>
          <w:sz w:val="18"/>
        </w:rPr>
        <w:t>https://pubmed.ncbi.nlm.nih.gov/42843209/</w:t>
      </w:r>
    </w:p>
    <w:p>
      <w:pPr>
        <w:pStyle w:val="Heading1"/>
      </w:pPr>
      <w:r>
        <w:t>Aufgenommen am 11.10.2026</w:t>
      </w:r>
    </w:p>
    <w:p>
      <w:pPr>
        <w:pStyle w:val="Heading2"/>
      </w:pPr>
      <w:r>
        <w:t>Transitional Care-Erfahrungen ruraler Patientinnen: Qualitativ</w:t>
      </w:r>
    </w:p>
    <w:p>
      <w:r>
        <w:rPr>
          <w:i/>
          <w:color w:val="666666"/>
          <w:sz w:val="18"/>
        </w:rPr>
        <w:t>Randolph SB et al.  ·  J Rural Health  ·  Sept. 2026  ·  PMID 42855931</w:t>
      </w:r>
    </w:p>
    <w:p>
      <w:r>
        <w:t>Qualitative Analyse von Krankenakten von 200 Veteranen (100 rural, 100 urban), die innerhalb 30 Tagen nach Krankenhausentlassung starben.</w:t>
      </w:r>
    </w:p>
    <w:p>
      <w:r>
        <w:rPr>
          <w:b/>
        </w:rPr>
        <w:t xml:space="preserve">Ergebnis: </w:t>
      </w:r>
      <w:r>
        <w:t>Drei zentrale Themen für rurale Patienten: geografische Entfernungen (längere Fahrtzeiten), Ablehnung von Homecare-Services und hohe Belastung der Betreuer. Diese Faktoren führten zu Diskordanz und Unsicherheit zwischen Patient, Team und Angehörigen.</w:t>
      </w:r>
    </w:p>
    <w:p>
      <w:r>
        <w:rPr>
          <w:b/>
          <w:sz w:val="19"/>
        </w:rPr>
        <w:t xml:space="preserve">Übertragbarkeit: </w:t>
      </w:r>
      <w:r>
        <w:rPr>
          <w:sz w:val="19"/>
        </w:rPr>
        <w:t>USA-Veteranensystem; Erkenntnisse zu Übergangsversorgung aber systemübergreifend relevant</w:t>
      </w:r>
    </w:p>
    <w:p>
      <w:r>
        <w:rPr>
          <w:color w:val="5A7D3A"/>
          <w:sz w:val="18"/>
        </w:rPr>
        <w:t>https://pubmed.ncbi.nlm.nih.gov/42855931/</w:t>
      </w:r>
    </w:p>
    <w:p>
      <w:pPr>
        <w:pStyle w:val="Heading2"/>
      </w:pPr>
      <w:r>
        <w:t>Employment instability und katastrophale Gesundheitsausgaben in Südkorea</w:t>
      </w:r>
    </w:p>
    <w:p>
      <w:r>
        <w:rPr>
          <w:i/>
          <w:color w:val="666666"/>
          <w:sz w:val="18"/>
        </w:rPr>
        <w:t>Yang JM et al.  ·  BMC Health Serv Res  ·  19.08.2026  ·  PMID 42855683</w:t>
      </w:r>
    </w:p>
    <w:p>
      <w:r>
        <w:t>Längsschnittstudie zur Assoziation zwischen Beschäftigungsstabilität und katastrophalen Gesundheitsausgaben bei koreanischen Erwachsenen ab 50 Jahren.</w:t>
      </w:r>
    </w:p>
    <w:p>
      <w:r>
        <w:rPr>
          <w:b/>
        </w:rPr>
        <w:t xml:space="preserve">Ergebnis: </w:t>
      </w:r>
      <w:r>
        <w:t>Persistierende Arbeitslosigkeit erhöhte die Odds für katastrophale Ausgaben um das 1,26-1,34-Fache (p&lt;0,05). Berufliche Übergänge in Arbeitslosigkeit zeigten ähnliche Effekte. Effekt nur in der Altersgruppe ≥50 Jahre signifikant.</w:t>
      </w:r>
    </w:p>
    <w:p>
      <w:r>
        <w:rPr>
          <w:b/>
          <w:sz w:val="19"/>
        </w:rPr>
        <w:t xml:space="preserve">Übertragbarkeit: </w:t>
      </w:r>
      <w:r>
        <w:rPr>
          <w:sz w:val="19"/>
        </w:rPr>
        <w:t>Südkorea, gesetzliche Krankenversicherung, direkter Vergleich möglich</w:t>
      </w:r>
    </w:p>
    <w:p>
      <w:r>
        <w:rPr>
          <w:color w:val="5A7D3A"/>
          <w:sz w:val="18"/>
        </w:rPr>
        <w:t>https://pubmed.ncbi.nlm.nih.gov/42855683/</w:t>
      </w:r>
    </w:p>
    <w:p>
      <w:pPr>
        <w:pStyle w:val="Heading2"/>
      </w:pPr>
      <w:r>
        <w:t>Klimabewusstsein und Öko-Angst bei Gesundheitspersonal</w:t>
      </w:r>
    </w:p>
    <w:p>
      <w:r>
        <w:rPr>
          <w:i/>
          <w:color w:val="666666"/>
          <w:sz w:val="18"/>
        </w:rPr>
        <w:t>Özdemir T et al.  ·  BMC Health Serv Res  ·  01.10.2026  ·  PMID 42850626</w:t>
      </w:r>
    </w:p>
    <w:p>
      <w:r>
        <w:t>Querschnittsstudie bei 460 Fachkräften im Gesundheitswesen zu Zusammenhängen zwischen Klimabewusstsein, Öko-Angst und Umweltsensibilität.</w:t>
      </w:r>
    </w:p>
    <w:p>
      <w:r>
        <w:rPr>
          <w:b/>
        </w:rPr>
        <w:t xml:space="preserve">Ergebnis: </w:t>
      </w:r>
      <w:r>
        <w:t>Moderate Ausprägung bei Klimabewusstsein und Umweltsensibilität; moderate Öko-Angst. Klimabewusstsein, Pflegefachkräfte-Status, Alter ≥45 Jahre und Mitgliedschaft in Umweltorganisationen waren signifikante Prädiktoren (p&lt;0,05). Ruminations-Subdimension marginal nicht-signifikant (p=0,064).</w:t>
      </w:r>
    </w:p>
    <w:p>
      <w:r>
        <w:rPr>
          <w:b/>
          <w:sz w:val="19"/>
        </w:rPr>
        <w:t xml:space="preserve">Übertragbarkeit: </w:t>
      </w:r>
      <w:r>
        <w:rPr>
          <w:sz w:val="19"/>
        </w:rPr>
        <w:t>Türkei, Gesundheitssystem mit Versorger-fokussiertem Ansatz, Health Services Research</w:t>
      </w:r>
    </w:p>
    <w:p>
      <w:r>
        <w:rPr>
          <w:color w:val="5A7D3A"/>
          <w:sz w:val="18"/>
        </w:rPr>
        <w:t>https://pubmed.ncbi.nlm.nih.gov/42850626/</w:t>
      </w:r>
    </w:p>
    <w:p>
      <w:pPr>
        <w:pStyle w:val="Heading2"/>
      </w:pPr>
      <w:r>
        <w:t>Wearable-Sensoren zur Bewegungskontrolle in geriatrischer Rehabilitation</w:t>
      </w:r>
    </w:p>
    <w:p>
      <w:r>
        <w:rPr>
          <w:i/>
          <w:color w:val="666666"/>
          <w:sz w:val="18"/>
        </w:rPr>
        <w:t>Debeij SM et al.  ·  Eur Geriatr Med  ·  06.10.2026  ·  PMID 42839204</w:t>
      </w:r>
    </w:p>
    <w:p>
      <w:r>
        <w:t>Mixed-Methods-Studie zur Nutzerfreundlichkeit und Machbarkeit eines Sensorsystems mit Rückmeldung zur Sedentarität bei geriatrischen Patienten (stationär und ambulant).</w:t>
      </w:r>
    </w:p>
    <w:p>
      <w:r>
        <w:rPr>
          <w:b/>
        </w:rPr>
        <w:t xml:space="preserve">Ergebnis: </w:t>
      </w:r>
      <w:r>
        <w:t>Machbarkeit ausreichend (hohe Adhärenz), Nutzerfreundlichkeit begrenzt. Technische Probleme (Messergenauigkeit) und Implementierungshürden (fehlende Individualisierung, unklarer Mehrwert). Teilnehmer: 26 Patienten, 9 Fachkräfte; 22 Interviews durchgeführt.</w:t>
      </w:r>
    </w:p>
    <w:p>
      <w:r>
        <w:rPr>
          <w:b/>
          <w:sz w:val="19"/>
        </w:rPr>
        <w:t xml:space="preserve">Übertragbarkeit: </w:t>
      </w:r>
      <w:r>
        <w:rPr>
          <w:sz w:val="19"/>
        </w:rPr>
        <w:t>Niederlande, Sozialversicherung, gute Übertragbarkeit auf deutsches Gesundheitswesen</w:t>
      </w:r>
    </w:p>
    <w:p>
      <w:r>
        <w:rPr>
          <w:color w:val="5A7D3A"/>
          <w:sz w:val="18"/>
        </w:rPr>
        <w:t>https://pubmed.ncbi.nlm.nih.gov/42839204/</w:t>
      </w:r>
    </w:p>
    <w:p>
      <w:pPr>
        <w:pStyle w:val="Heading2"/>
      </w:pPr>
      <w:r>
        <w:t>Rotavirus-Impfung in Vietnam: Effektivität und Kosteneffektivität</w:t>
      </w:r>
    </w:p>
    <w:p>
      <w:r>
        <w:rPr>
          <w:i/>
          <w:color w:val="666666"/>
          <w:sz w:val="18"/>
        </w:rPr>
        <w:t>Dang HTT et al.  ·  Vaccine  ·  06.10.2026  ·  PMID 42837896</w:t>
      </w:r>
    </w:p>
    <w:p>
      <w:r>
        <w:t>Modellierungsstudie zur Auswirkung und Kosteneffektivität der Rotavirus-Impfung (ROTAVIN) bei Kindern unter fünf Jahren in Vietnam.</w:t>
      </w:r>
    </w:p>
    <w:p>
      <w:r>
        <w:rPr>
          <w:b/>
        </w:rPr>
        <w:t xml:space="preserve">Ergebnis: </w:t>
      </w:r>
      <w:r>
        <w:t>Über 10 Jahre würde Impfung 97.776 Hospitalisierungen (KI 72.722–342.311) und 433 Todesfälle (KI 330–1300) verhindern. Kosten von 39,5 Mio. USD für zehn Kohorten. ICER von 982 USD pro vermiedenem DALY (Staatsperspektive); kostensparen aus Gesellschaftsperspektive mit 99% Wahrscheinlichkeit.</w:t>
      </w:r>
    </w:p>
    <w:p>
      <w:r>
        <w:rPr>
          <w:b/>
          <w:sz w:val="19"/>
        </w:rPr>
        <w:t xml:space="preserve">Übertragbarkeit: </w:t>
      </w:r>
      <w:r>
        <w:rPr>
          <w:sz w:val="19"/>
        </w:rPr>
        <w:t>Vietnams Gesundheitssystem, Sozialversicherung, hohe Übertragbarkeit auf ähnliche Kontexte</w:t>
      </w:r>
    </w:p>
    <w:p>
      <w:r>
        <w:rPr>
          <w:color w:val="5A7D3A"/>
          <w:sz w:val="18"/>
        </w:rPr>
        <w:t>https://pubmed.ncbi.nlm.nih.gov/42837896/</w:t>
      </w:r>
    </w:p>
    <w:p>
      <w:pPr>
        <w:pStyle w:val="Heading1"/>
      </w:pPr>
      <w:r>
        <w:t>Aufgenommen am 10.10.2026</w:t>
      </w:r>
    </w:p>
    <w:p>
      <w:pPr>
        <w:pStyle w:val="Heading2"/>
      </w:pPr>
      <w:r>
        <w:t>Transition in rheumatology: Versorgungslücken beim Übergang ins Erwachsenenalter</w:t>
      </w:r>
    </w:p>
    <w:p>
      <w:r>
        <w:rPr>
          <w:i/>
          <w:color w:val="666666"/>
          <w:sz w:val="18"/>
        </w:rPr>
        <w:t>Milatz F et al.  ·  Z Rheumatol  ·  09.10.2026  ·  PMID 42853413</w:t>
      </w:r>
    </w:p>
    <w:p>
      <w:r>
        <w:t>Querschnittsbefragung von 269 jungen Erwachsenen mit juveniler idiopathischer Arthritis zur Versorgungskontinuität beim Übergang von der Kinder- in die internistische Rheumatologie.</w:t>
      </w:r>
    </w:p>
    <w:p>
      <w:r>
        <w:rPr>
          <w:b/>
        </w:rPr>
        <w:t xml:space="preserve">Ergebnis: </w:t>
      </w:r>
      <w:r>
        <w:t>45% der jungen Erwachsenen erhielten fachspezifische rheumatologische Betreuung; Transitionskompetenz bei Versorgten höher (22,7 vs. 19,0; p&lt;0,001); 35% erhielten keinen zusammenfassenden Arztbericht; durchschnittlich 9,9 Monate zwischen letzter Kinder- und erster Erwachsenenvorstellung; Nicht-Versorgte erhielten seltener Basistherapie (18% vs. 63%); ~20% berichteten relevante depressive Symptome.</w:t>
      </w:r>
    </w:p>
    <w:p>
      <w:r>
        <w:rPr>
          <w:b/>
          <w:sz w:val="19"/>
        </w:rPr>
        <w:t xml:space="preserve">Übertragbarkeit: </w:t>
      </w:r>
      <w:r>
        <w:rPr>
          <w:sz w:val="19"/>
        </w:rPr>
        <w:t>Deutsche Routinedaten, gesetzlich Versicherte (Barmer)</w:t>
      </w:r>
    </w:p>
    <w:p>
      <w:r>
        <w:rPr>
          <w:color w:val="5A7D3A"/>
          <w:sz w:val="18"/>
        </w:rPr>
        <w:t>https://pubmed.ncbi.nlm.nih.gov/42853413/</w:t>
      </w:r>
    </w:p>
    <w:p>
      <w:pPr>
        <w:pStyle w:val="Heading2"/>
      </w:pPr>
      <w:r>
        <w:t>Finanzielle Anreize erhöhen Screening-Quote bei Darmkrebs</w:t>
      </w:r>
    </w:p>
    <w:p>
      <w:r>
        <w:rPr>
          <w:i/>
          <w:color w:val="666666"/>
          <w:sz w:val="18"/>
        </w:rPr>
        <w:t>Perry LM et al.  ·  Health Serv Res  ·  22.07.2025  ·  PMID 42853034</w:t>
      </w:r>
    </w:p>
    <w:p>
      <w:r>
        <w:t>Pilotversuch zur Effektivität von finanziellen Anreizen für Darmkrebsvorsorge-Screening in ländlicher US-Primärversorgung.</w:t>
      </w:r>
    </w:p>
    <w:p>
      <w:r>
        <w:rPr>
          <w:b/>
        </w:rPr>
        <w:t xml:space="preserve">Ergebnis: </w:t>
      </w:r>
      <w:r>
        <w:t>68% der Interventionsgruppe vs. 32% der Kontrollgruppe absolvierten CRC-Screening (p=0,02); 57% der interessierten Personen waren berechtigt; 94% der Berechtigten nahmen teil; durchschnittliche Teilnehmerin 52,4 Jahre alt, 70% weiblich, 42% schwarz, 24% unversichert.</w:t>
      </w:r>
    </w:p>
    <w:p>
      <w:r>
        <w:rPr>
          <w:b/>
          <w:sz w:val="19"/>
        </w:rPr>
        <w:t xml:space="preserve">Übertragbarkeit: </w:t>
      </w:r>
      <w:r>
        <w:rPr>
          <w:sz w:val="19"/>
        </w:rPr>
        <w:t>Nur bedingt: US-fragmentiertes Versicherungssystem, anderer Zugangskontext</w:t>
      </w:r>
    </w:p>
    <w:p>
      <w:r>
        <w:rPr>
          <w:color w:val="5A7D3A"/>
          <w:sz w:val="18"/>
        </w:rPr>
        <w:t>https://pubmed.ncbi.nlm.nih.gov/42853034/</w:t>
      </w:r>
    </w:p>
    <w:p>
      <w:pPr>
        <w:pStyle w:val="Heading2"/>
      </w:pPr>
      <w:r>
        <w:t>Wespenart beeinflusst Erfolg von Wespengiftimmuntherapie-Provokationen</w:t>
      </w:r>
    </w:p>
    <w:p>
      <w:r>
        <w:rPr>
          <w:i/>
          <w:color w:val="666666"/>
          <w:sz w:val="18"/>
        </w:rPr>
        <w:t>Oppel E et al.  ·  Allergol Select  ·  25.09.2026  ·  PMID 42852156</w:t>
      </w:r>
    </w:p>
    <w:p>
      <w:r>
        <w:t>Retrospektive Analyse von 1.163 Patienten unter Wespengiftimmuntherapie hinsichtlich Einflussfaktoren auf Toleranz gegenüber künstlichen Stichproben.</w:t>
      </w:r>
    </w:p>
    <w:p>
      <w:r>
        <w:rPr>
          <w:b/>
        </w:rPr>
        <w:t xml:space="preserve">Ergebnis: </w:t>
      </w:r>
      <w:r>
        <w:t>Stichproben wurden von 1.141 Patienten (98,1%) toleriert; Vespula-Arten zeigten signifikant höhere Toleranzrate als Dolichovespula-Arten (OR 7,69, 95% CI 2,66–20,43); Hauttest-Konversion (positiv→negativ bei 10 µg/mL) zeigte Trend zu verbesserter Toleranz (OR 2,26, 95% CI 0,68–11,53); in 53,2±38,5 Monaten Follow-up: 6 Systemreaktionen nach Feldstichen, keine aus Dolichovespula-Gruppe.</w:t>
      </w:r>
    </w:p>
    <w:p>
      <w:r>
        <w:rPr>
          <w:b/>
          <w:sz w:val="19"/>
        </w:rPr>
        <w:t xml:space="preserve">Übertragbarkeit: </w:t>
      </w:r>
      <w:r>
        <w:rPr>
          <w:sz w:val="19"/>
        </w:rPr>
        <w:t>Deutschland, vergleichbare allergologische Standardversorgung</w:t>
      </w:r>
    </w:p>
    <w:p>
      <w:r>
        <w:rPr>
          <w:color w:val="5A7D3A"/>
          <w:sz w:val="18"/>
        </w:rPr>
        <w:t>https://pubmed.ncbi.nlm.nih.gov/42852156/</w:t>
      </w:r>
    </w:p>
    <w:p>
      <w:pPr>
        <w:pStyle w:val="Heading2"/>
      </w:pPr>
      <w:r>
        <w:t>Patientenbeteiligung bei Leitlinienentwicklung: Erfahrungen in Deutschland</w:t>
      </w:r>
    </w:p>
    <w:p>
      <w:r>
        <w:rPr>
          <w:i/>
          <w:color w:val="666666"/>
          <w:sz w:val="18"/>
        </w:rPr>
        <w:t>Orduhan C et al.  ·  Clin Public Health Guidel  ·  10.08.2026  ·  PMID 42808020</w:t>
      </w:r>
    </w:p>
    <w:p>
      <w:r>
        <w:t>Qualitative Interviewstudie mit 23 Patientenvertretern, die an deutscher Leitlinienentwicklung partizipierten, zu Erfahrungen und Herausforderungen.</w:t>
      </w:r>
    </w:p>
    <w:p>
      <w:r>
        <w:rPr>
          <w:b/>
        </w:rPr>
        <w:t xml:space="preserve">Ergebnis: </w:t>
      </w:r>
      <w:r>
        <w:t>Aktive Mitgliedschaft in Leitliniengruppen war dominante Beteiligungsstrategie; positive Einflussfaktoren: Vorbereitungstraining, andere Patientenvertreter, Wertschätzung (häufig benannt); Herausforderungen: Rekrutierung, Mangel an Inklusion und Diversität; Mehrheit war mit Beteiligungsform zufrieden, identifizierte aber ungedeckte Bedarfe; Vorbereitungsaktivitäten als essentiell für effektive Partizipation.</w:t>
      </w:r>
    </w:p>
    <w:p>
      <w:r>
        <w:rPr>
          <w:b/>
          <w:sz w:val="19"/>
        </w:rPr>
        <w:t xml:space="preserve">Übertragbarkeit: </w:t>
      </w:r>
      <w:r>
        <w:rPr>
          <w:sz w:val="19"/>
        </w:rPr>
        <w:t>Deutsche Kontextdaten zur Leitlinienmitgestaltung</w:t>
      </w:r>
    </w:p>
    <w:p>
      <w:r>
        <w:rPr>
          <w:color w:val="5A7D3A"/>
          <w:sz w:val="18"/>
        </w:rPr>
        <w:t>https://pubmed.ncbi.nlm.nih.gov/42808020/</w:t>
      </w:r>
    </w:p>
    <w:p>
      <w:pPr>
        <w:pStyle w:val="Heading2"/>
      </w:pPr>
      <w:r>
        <w:t>Geschlechtsspezifische Unterschiede in Selbsteinschätzung dermatologischer Kompetenzen</w:t>
      </w:r>
    </w:p>
    <w:p>
      <w:r>
        <w:rPr>
          <w:i/>
          <w:color w:val="666666"/>
          <w:sz w:val="18"/>
        </w:rPr>
        <w:t>Heinen I et al.  ·  GMS J Med Educ  ·  15.09.2026  ·  PMID 42807627</w:t>
      </w:r>
    </w:p>
    <w:p>
      <w:r>
        <w:t>Quasi-experimentelle Prä-Post-Befragung von 142 Medizinstudierenden zur Selbsteinschätzung dermatologischer Kenntnisse vor und nach Seminar zu Hauterkrankungen bei Skin of Color.</w:t>
      </w:r>
    </w:p>
    <w:p>
      <w:r>
        <w:rPr>
          <w:b/>
        </w:rPr>
        <w:t xml:space="preserve">Ergebnis: </w:t>
      </w:r>
      <w:r>
        <w:t>Studentinnen schätzten anfangs Kenntnisse zu anatomischen/physiologischen Unterschieden (p&lt;0,001, η²=0,078) und Hauttyp-Skalen (p&lt;0,001, η²=0,085) sowie diagnostische Fähigkeiten signifikant schlechter ein als Studenten (p&lt;0,001, η²=0,075), obwohl objektive MC-Testergebnisse nicht differierten (p=0,905); nach Seminar keine geschlechtsspezifischen Unterschiede mehr vorhanden.</w:t>
      </w:r>
    </w:p>
    <w:p>
      <w:r>
        <w:rPr>
          <w:b/>
          <w:sz w:val="19"/>
        </w:rPr>
        <w:t xml:space="preserve">Übertragbarkeit: </w:t>
      </w:r>
      <w:r>
        <w:rPr>
          <w:sz w:val="19"/>
        </w:rPr>
        <w:t>Deutschland, medizinische Hochschulausbildung vergleichbar</w:t>
      </w:r>
    </w:p>
    <w:p>
      <w:r>
        <w:rPr>
          <w:color w:val="5A7D3A"/>
          <w:sz w:val="18"/>
        </w:rPr>
        <w:t>https://pubmed.ncbi.nlm.nih.gov/42807627/</w:t>
      </w:r>
    </w:p>
    <w:p>
      <w:pPr>
        <w:pStyle w:val="Heading1"/>
      </w:pPr>
      <w:r>
        <w:t>Aufgenommen am 09.10.2026</w:t>
      </w:r>
    </w:p>
    <w:p>
      <w:pPr>
        <w:pStyle w:val="Heading2"/>
      </w:pPr>
      <w:r>
        <w:t>Telemedicine-Nutzung in Japan 2020–2024: Persistierende Ungleichheiten</w:t>
      </w:r>
    </w:p>
    <w:p>
      <w:r>
        <w:rPr>
          <w:i/>
          <w:color w:val="666666"/>
          <w:sz w:val="18"/>
        </w:rPr>
        <w:t>Ito H et al.  ·  J Med Internet Res  ·  08.10.2026  ·  PMID 42849039</w:t>
      </w:r>
    </w:p>
    <w:p>
      <w:r>
        <w:t>Longitudinale Panelstudie zur Entwicklung von Chancenungleichheiten bei der Telemedizin-Adoption in Japan über vier Jahre mit 10.818 Teilnehmern.</w:t>
      </w:r>
    </w:p>
    <w:p>
      <w:r>
        <w:rPr>
          <w:b/>
        </w:rPr>
        <w:t xml:space="preserve">Ergebnis: </w:t>
      </w:r>
      <w:r>
        <w:t>Telemedizin-Adoption stieg von 2,6% (2020) auf 7,0% (2024). Altersbedingte Ungleichheiten verschärften sich: Bei 70–75-Jährigen +1,0 Prozentpunkte vs. 18–29-Jährigen +13,1 Prozentpunkte (DID –12,1 PP, 95% KI –18,2 bis –5,9). Arbeitslose zeigten kleinere Zunahmen (+2,8 vs. +5,7 PP bei höheren Angestellten; DID –2,9 PP).</w:t>
      </w:r>
    </w:p>
    <w:p>
      <w:r>
        <w:rPr>
          <w:b/>
          <w:sz w:val="19"/>
        </w:rPr>
        <w:t xml:space="preserve">Übertragbarkeit: </w:t>
      </w:r>
      <w:r>
        <w:rPr>
          <w:sz w:val="19"/>
        </w:rPr>
        <w:t>Japan, nationale Kohorte mit berichteten Adoptionsdaten, digitale Gerechtigkeit systemübergreifend relevant</w:t>
      </w:r>
    </w:p>
    <w:p>
      <w:r>
        <w:rPr>
          <w:color w:val="5A7D3A"/>
          <w:sz w:val="18"/>
        </w:rPr>
        <w:t>https://pubmed.ncbi.nlm.nih.gov/42849039/</w:t>
      </w:r>
    </w:p>
    <w:p>
      <w:pPr>
        <w:pStyle w:val="Heading2"/>
      </w:pPr>
      <w:r>
        <w:t>Retinoid-Umstellung in vier europäischen Ländern nach Schwangerschaftsprävention 2018</w:t>
      </w:r>
    </w:p>
    <w:p>
      <w:r>
        <w:rPr>
          <w:i/>
          <w:color w:val="666666"/>
          <w:sz w:val="18"/>
        </w:rPr>
        <w:t>Riera-Arnau J et al.  ·  Drug Saf  ·  08.10.2026  ·  PMID 42848129</w:t>
      </w:r>
    </w:p>
    <w:p>
      <w:r>
        <w:t>Unterbrochene Zeitreihenanalyse zum Effekt der EU-Schwangerschaftspräventionsprogramm-Aktualisierung 2018 auf Wechsel von oralen Retinoiden zu Alternativmedikamenten bei Frauen im gebärfähigen Alter in vier europäischen Ländern mit 88.992 Frauen.</w:t>
      </w:r>
    </w:p>
    <w:p>
      <w:r>
        <w:rPr>
          <w:b/>
        </w:rPr>
        <w:t xml:space="preserve">Ergebnis: </w:t>
      </w:r>
      <w:r>
        <w:t>32,0% (28.446/88.992) wechselten zu Alternativmedikamenten über den Studienzeitraum. Mediane Wechselraten: 1,8–6,5% monatlich präimplementiert, 1,2–2,3% postimplementiert. Kleine aber statistisch signifikante Abnahme der Wechselrate nach Intervention in Italien (–0,035%, p&lt;0,01), Spanien VID (–0,04%, p&lt;0,01) und BIFAP (–0,03%, p=0,02); Effekte verschwanden bei Ausschluss COVID-19-Lockdown-Periode.</w:t>
      </w:r>
    </w:p>
    <w:p>
      <w:r>
        <w:rPr>
          <w:b/>
          <w:sz w:val="19"/>
        </w:rPr>
        <w:t xml:space="preserve">Übertragbarkeit: </w:t>
      </w:r>
      <w:r>
        <w:rPr>
          <w:sz w:val="19"/>
        </w:rPr>
        <w:t>Niederlande, Spanien, Italien, Dänemark – europäische Sozialversicherungssysteme, Pharmacoepidemiology-Daten</w:t>
      </w:r>
    </w:p>
    <w:p>
      <w:r>
        <w:rPr>
          <w:color w:val="5A7D3A"/>
          <w:sz w:val="18"/>
        </w:rPr>
        <w:t>https://pubmed.ncbi.nlm.nih.gov/42848129/</w:t>
      </w:r>
    </w:p>
    <w:p>
      <w:pPr>
        <w:pStyle w:val="Heading2"/>
      </w:pPr>
      <w:r>
        <w:t>Prähabilitationsakzeptanz bei Hüft- und Kniegelenkersatz: Qualitative Stakeholder-Perspektiven</w:t>
      </w:r>
    </w:p>
    <w:p>
      <w:r>
        <w:rPr>
          <w:i/>
          <w:color w:val="666666"/>
          <w:sz w:val="18"/>
        </w:rPr>
        <w:t>Burgess N et al.  ·  Musculoskeletal Care  ·  Dez. 2026  ·  PMID 42847740</w:t>
      </w:r>
    </w:p>
    <w:p>
      <w:r>
        <w:t>Qualitative Studie mit 30 Interviews (15 Patienten, 15 Fachpersonen) zu Akzeptanz, Barrieren und Lösungen bei Prähabilitationsprogrammen vor Hüft- und Kniegelenksersatz in Australien.</w:t>
      </w:r>
    </w:p>
    <w:p>
      <w:r>
        <w:rPr>
          <w:b/>
        </w:rPr>
        <w:t xml:space="preserve">Ergebnis: </w:t>
      </w:r>
      <w:r>
        <w:t>Prähabilitationsmaßnahme wurde allgemein als akzeptabel und vorteilhaft bewertet. Drei Hauptkonzepte: (1) Verständnis variierte, aber positive Bewertung überwiegend; (2) Barrieren/Förderfaktoren auf Patienten-, Fachpersonen- und Systemebene identifiziert (lange Wartelisten, mangelndes Vertrauen, Gesprächssicherheit); (3) Beide Gruppen betonten individuelle Anpassung, multimodale Intervention und kontinuierliche Unterstützung im OP-Verlauf als erfolgskritisch.</w:t>
      </w:r>
    </w:p>
    <w:p>
      <w:r>
        <w:rPr>
          <w:b/>
          <w:sz w:val="19"/>
        </w:rPr>
        <w:t xml:space="preserve">Übertragbarkeit: </w:t>
      </w:r>
      <w:r>
        <w:rPr>
          <w:sz w:val="19"/>
        </w:rPr>
        <w:t>Australien, öffentliches Versorgungssystem – Prozessqualität und Patientenperspektive gut übertragbar</w:t>
      </w:r>
    </w:p>
    <w:p>
      <w:r>
        <w:rPr>
          <w:color w:val="5A7D3A"/>
          <w:sz w:val="18"/>
        </w:rPr>
        <w:t>https://pubmed.ncbi.nlm.nih.gov/42847740/</w:t>
      </w:r>
    </w:p>
    <w:p>
      <w:pPr>
        <w:pStyle w:val="Heading2"/>
      </w:pPr>
      <w:r>
        <w:t>ADHS-Medikation in Norwegen: Anhaltende Anstiege nach COVID-19</w:t>
      </w:r>
    </w:p>
    <w:p>
      <w:r>
        <w:rPr>
          <w:i/>
          <w:color w:val="666666"/>
          <w:sz w:val="18"/>
        </w:rPr>
        <w:t>Reme BA et al.  ·  Scand J Public Health  ·  08.10.2026  ·  PMID 42847285</w:t>
      </w:r>
    </w:p>
    <w:p>
      <w:r>
        <w:t>Register-basierte Zeitreihenanalyse der ADHS-Arzneimittelverordnungen in Norwegen 2009–2024 mit 63,7 Millionen Personenjahren.</w:t>
      </w:r>
    </w:p>
    <w:p>
      <w:r>
        <w:rPr>
          <w:b/>
        </w:rPr>
        <w:t xml:space="preserve">Ergebnis: </w:t>
      </w:r>
      <w:r>
        <w:t>ADHS-Medikation vor 2020 stabil, danach deutlicher Anstieg. Größte Anstiege bei weiblichen Adoleszenten (15–24 Jahre): +19 Prozentpunkte (von 5,2% auf 24,4% jährlich). Männliche Jugendliche (15–24 Jahre): +9,0 Prozentpunkte (von 2,7% auf 11,7%). Der Anstieg blieb auch nach 2020 dauerhaft.</w:t>
      </w:r>
    </w:p>
    <w:p>
      <w:r>
        <w:rPr>
          <w:b/>
          <w:sz w:val="19"/>
        </w:rPr>
        <w:t xml:space="preserve">Übertragbarkeit: </w:t>
      </w:r>
      <w:r>
        <w:rPr>
          <w:sz w:val="19"/>
        </w:rPr>
        <w:t>Norwegen, nationale Verordnungsdatenbank, Fragestellung zur Versorgungspraxis systemübergreifend</w:t>
      </w:r>
    </w:p>
    <w:p>
      <w:r>
        <w:rPr>
          <w:color w:val="5A7D3A"/>
          <w:sz w:val="18"/>
        </w:rPr>
        <w:t>https://pubmed.ncbi.nlm.nih.gov/42847285/</w:t>
      </w:r>
    </w:p>
    <w:p>
      <w:pPr>
        <w:pStyle w:val="Heading2"/>
      </w:pPr>
      <w:r>
        <w:t>Agent-basiertes Modell der Demenzbetreuung in der Gemeinde: Validierte Baseline-Szenarien</w:t>
      </w:r>
    </w:p>
    <w:p>
      <w:r>
        <w:rPr>
          <w:i/>
          <w:color w:val="666666"/>
          <w:sz w:val="18"/>
        </w:rPr>
        <w:t>Zhu C et al.  ·  Front Public Health  ·  23.09.2026  ·  PMID 42846501</w:t>
      </w:r>
    </w:p>
    <w:p>
      <w:r>
        <w:t>Entwicklung und Validierung eines regelgestützten agentengestützten Modells (ABM) zur Simulation der Langzeitdynamiken in der gemeindlichen Demenzbetreuung mit evidenzgestützten Parametern.</w:t>
      </w:r>
    </w:p>
    <w:p>
      <w:r>
        <w:rPr>
          <w:b/>
        </w:rPr>
        <w:t xml:space="preserve">Ergebnis: </w:t>
      </w:r>
      <w:r>
        <w:t>BPSD-Prävalenz stieg von 75,6% (Start) auf 96,4% (Monat 60; Monte-Carlo 95% KI 96,3–96,5%). Durchschnittliche Betreuungslast erhöhte sich von 0,505 auf 0,782. Im Monat 60 befanden sich durchschnittlich 161 Betreuungseinheiten in institutioneller Betreuung. Lokale Sensitivitätsanalysen zeigten begrenzte Variabilität in Primäroutcomes über getestete Bereiche.</w:t>
      </w:r>
    </w:p>
    <w:p>
      <w:r>
        <w:rPr>
          <w:b/>
          <w:sz w:val="19"/>
        </w:rPr>
        <w:t xml:space="preserve">Übertragbarkeit: </w:t>
      </w:r>
      <w:r>
        <w:rPr>
          <w:sz w:val="19"/>
        </w:rPr>
        <w:t>China, strukturiertes Health Services Research-Modell für spezialisierte Versorgungsforschung</w:t>
      </w:r>
    </w:p>
    <w:p>
      <w:r>
        <w:rPr>
          <w:color w:val="5A7D3A"/>
          <w:sz w:val="18"/>
        </w:rPr>
        <w:t>https://pubmed.ncbi.nlm.nih.gov/42846501/</w:t>
      </w:r>
    </w:p>
    <w:p>
      <w:pPr>
        <w:pStyle w:val="Heading2"/>
      </w:pPr>
      <w:r>
        <w:t>Psychosoziales Wohlbefinden bei Long COVID: Patientenzentrierte Interventionsstrategien</w:t>
      </w:r>
    </w:p>
    <w:p>
      <w:r>
        <w:rPr>
          <w:i/>
          <w:color w:val="666666"/>
          <w:sz w:val="18"/>
        </w:rPr>
        <w:t>Martinez BD et al.  ·  Front Psychiatry  ·  23.09.2026  ·  PMID 42846347</w:t>
      </w:r>
    </w:p>
    <w:p>
      <w:r>
        <w:t>Qualitative Studie mit 19 semi-strukturierten Interviews und Community Advisory Team-Fokusgruppen zu Faktoren und patientengenerierten Strategien für psychosoziales Wohlbefinden bei Long COVID.</w:t>
      </w:r>
    </w:p>
    <w:p>
      <w:r>
        <w:rPr>
          <w:b/>
        </w:rPr>
        <w:t xml:space="preserve">Ergebnis: </w:t>
      </w:r>
      <w:r>
        <w:t>Drei Primärfaktoren beeinflussen negativ psychosoziales Wohlbefinden: Identitätsstörung (Verlust von Fähigkeiten, Selbstständigkeit), Isolation (reduzierte soziale Partizipation, Stigmatisierung), Unsicherheit (Krankheits-/Behandlungspfade, Invaliditätssysteme). Patienten identifizierten: Case-Management, strukturierte Peersupport, Public-Awareness-Kampagnen und persönliche Adaptationspraktiken als förderlich.</w:t>
      </w:r>
    </w:p>
    <w:p>
      <w:r>
        <w:rPr>
          <w:b/>
          <w:sz w:val="19"/>
        </w:rPr>
        <w:t xml:space="preserve">Übertragbarkeit: </w:t>
      </w:r>
      <w:r>
        <w:rPr>
          <w:sz w:val="19"/>
        </w:rPr>
        <w:t>USA, systemunabhängig – psychosoziale Versorgungsfragen krankheitsübergreifend relevant</w:t>
      </w:r>
    </w:p>
    <w:p>
      <w:r>
        <w:rPr>
          <w:color w:val="5A7D3A"/>
          <w:sz w:val="18"/>
        </w:rPr>
        <w:t>https://pubmed.ncbi.nlm.nih.gov/42846347/</w:t>
      </w:r>
    </w:p>
    <w:p>
      <w:pPr>
        <w:pStyle w:val="Heading1"/>
      </w:pPr>
      <w:r>
        <w:t>Aufgenommen am 08.10.2026</w:t>
      </w:r>
    </w:p>
    <w:p>
      <w:pPr>
        <w:pStyle w:val="Heading2"/>
      </w:pPr>
      <w:r>
        <w:t>Ärztevariabilität dominiert Schicht-Effekte in der ED</w:t>
      </w:r>
    </w:p>
    <w:p>
      <w:r>
        <w:rPr>
          <w:i/>
          <w:color w:val="666666"/>
          <w:sz w:val="18"/>
        </w:rPr>
        <w:t>Büyükkaya MŞ et al.  ·  Postgrad Med J  ·  07.10.2026  ·  PMID 42842596</w:t>
      </w:r>
    </w:p>
    <w:p>
      <w:r>
        <w:t>Retrospektive Beobachtungsstudie zu diagnostischer Ressourcentechnik (Labor, Bildgebung, Konsile) bei 11.032 niedrig-akuten ED-Besuchen in der Türkei nach Schichtzeit und Arzt.</w:t>
      </w:r>
    </w:p>
    <w:p>
      <w:r>
        <w:rPr>
          <w:b/>
        </w:rPr>
        <w:t xml:space="preserve">Ergebnis: </w:t>
      </w:r>
      <w:r>
        <w:t>Laborquoten 9,5% (p=0,997), Bildgebung 12,6–13,5% (p=0,485) zeigen keine signifikante Schicht-Variation. Arzt-Level-Variation deutlich größer: Labor 3,5–21,5%, Bildgebung 6,3–28,7%. Ärztliche Spezialisierung dominiert.</w:t>
      </w:r>
    </w:p>
    <w:p>
      <w:r>
        <w:rPr>
          <w:b/>
          <w:sz w:val="19"/>
        </w:rPr>
        <w:t xml:space="preserve">Übertragbarkeit: </w:t>
      </w:r>
      <w:r>
        <w:rPr>
          <w:sz w:val="19"/>
        </w:rPr>
        <w:t>Türkei, aber Frage zur Ärzte-Variabilität und Ressourcennutzung systemunabhängig</w:t>
      </w:r>
    </w:p>
    <w:p>
      <w:r>
        <w:rPr>
          <w:color w:val="5A7D3A"/>
          <w:sz w:val="18"/>
        </w:rPr>
        <w:t>https://pubmed.ncbi.nlm.nih.gov/42842596/</w:t>
      </w:r>
    </w:p>
    <w:p>
      <w:pPr>
        <w:pStyle w:val="Heading2"/>
      </w:pPr>
      <w:r>
        <w:t>Durst bei Herzinsuffizienz-Patienten auf Transplantwarteliste</w:t>
      </w:r>
    </w:p>
    <w:p>
      <w:r>
        <w:rPr>
          <w:i/>
          <w:color w:val="666666"/>
          <w:sz w:val="18"/>
        </w:rPr>
        <w:t>Wefer F et al.  ·  Nurs Crit Care  ·  Nov. 2026  ·  PMID 42841439</w:t>
      </w:r>
    </w:p>
    <w:p>
      <w:r>
        <w:t>Qualitative Mischmethod-Studie mit 10 Patienteninterviews und 2 Fokusgruppen (5 Pflegekräfte) sowie 59 Pflegekräfte-Befragung zur Erfahrung mit Durst bei hochgradig Herzkranken.</w:t>
      </w:r>
    </w:p>
    <w:p>
      <w:r>
        <w:rPr>
          <w:b/>
        </w:rPr>
        <w:t xml:space="preserve">Ergebnis: </w:t>
      </w:r>
      <w:r>
        <w:t>Patienten berichten heterogenes Durstserleben (mild bis schwer). Pflege hält es für relevant, nutzt aber sehr unterschiedliche Assessmentstrategien; &lt;50% bewerten Durst regelmäßig. Patienten und Pflegekräfte wünschen standardisierte Beratung.</w:t>
      </w:r>
    </w:p>
    <w:p>
      <w:r>
        <w:rPr>
          <w:b/>
          <w:sz w:val="19"/>
        </w:rPr>
        <w:t xml:space="preserve">Übertragbarkeit: </w:t>
      </w:r>
      <w:r>
        <w:rPr>
          <w:sz w:val="19"/>
        </w:rPr>
        <w:t>Deutschland (Ruhr-Universität Bochum, Bad Oeynhausen), direkt übertragbar</w:t>
      </w:r>
    </w:p>
    <w:p>
      <w:r>
        <w:rPr>
          <w:color w:val="5A7D3A"/>
          <w:sz w:val="18"/>
        </w:rPr>
        <w:t>https://pubmed.ncbi.nlm.nih.gov/42841439/</w:t>
      </w:r>
    </w:p>
    <w:p>
      <w:pPr>
        <w:pStyle w:val="Heading2"/>
      </w:pPr>
      <w:r>
        <w:t>Primary care accessibility reduces inappropriate ED attendance</w:t>
      </w:r>
    </w:p>
    <w:p>
      <w:r>
        <w:rPr>
          <w:i/>
          <w:color w:val="666666"/>
          <w:sz w:val="18"/>
        </w:rPr>
        <w:t>Koh JJE et al.  ·  Singapore Med J  ·  05.10.2026  ·  PMID 42839708</w:t>
      </w:r>
    </w:p>
    <w:p>
      <w:r>
        <w:t>Retrospektive Kohortenstudie untersuchte, wie Erreichbarkeit und Verfügbarkeit von Hausarztpraxen die unangemessene Notfallaufnahmebesuche (12,5% von 135.838 Besuchen) beeinflussen.</w:t>
      </w:r>
    </w:p>
    <w:p>
      <w:r>
        <w:rPr>
          <w:b/>
        </w:rPr>
        <w:t xml:space="preserve">Ergebnis: </w:t>
      </w:r>
      <w:r>
        <w:t>Reisezeit &gt;5 Min zu nächster Praxis erhöhte unangemessene ED-Besuche um 13–24%, Reisedistanz &gt;1 km um 10–33%. Mehr als 3 Praxen im 1-km-Radius reduzierten unangemessene Besuche um ≥12%.</w:t>
      </w:r>
    </w:p>
    <w:p>
      <w:r>
        <w:rPr>
          <w:b/>
          <w:sz w:val="19"/>
        </w:rPr>
        <w:t xml:space="preserve">Übertragbarkeit: </w:t>
      </w:r>
      <w:r>
        <w:rPr>
          <w:sz w:val="19"/>
        </w:rPr>
        <w:t>Singapur, aber Fragestellung systemunabhängig zur Primärversorgung</w:t>
      </w:r>
    </w:p>
    <w:p>
      <w:r>
        <w:rPr>
          <w:color w:val="5A7D3A"/>
          <w:sz w:val="18"/>
        </w:rPr>
        <w:t>https://pubmed.ncbi.nlm.nih.gov/42839708/</w:t>
      </w:r>
    </w:p>
    <w:p>
      <w:pPr>
        <w:pStyle w:val="Heading2"/>
      </w:pPr>
      <w:r>
        <w:t>Ärzt- und Praxis-Level-Variation in Studienteilnahme bei Krebs</w:t>
      </w:r>
    </w:p>
    <w:p>
      <w:r>
        <w:rPr>
          <w:i/>
          <w:color w:val="666666"/>
          <w:sz w:val="18"/>
        </w:rPr>
        <w:t>Jiang C et al.  ·  JAMA Netw Open  ·  01.10.2026  ·  PMID 42837155</w:t>
      </w:r>
    </w:p>
    <w:p>
      <w:r>
        <w:t>Kohortenstudie von 205.743 Patienten mit fortgeschrittenem Krebs (2011–2024) zur Klinische-Studien-Teilnahme in 1.664 Arzt-Praxen, 107 Zentren (Flatiron-Daten).</w:t>
      </w:r>
    </w:p>
    <w:p>
      <w:r>
        <w:rPr>
          <w:b/>
        </w:rPr>
        <w:t xml:space="preserve">Ergebnis: </w:t>
      </w:r>
      <w:r>
        <w:t>Studienteilnahme 5,2% (2011: 3,9%, 2024: 6,8%). 23,4% Ärzte mit 83,6% Einschlüssen; 19,6% Praxen mit 80,5% der Patienten. Arzt- (12,3%) und Praxis-Level (15,1%) erklären mehr Variation als beobachtbare Patientenfaktoren (11,4%).</w:t>
      </w:r>
    </w:p>
    <w:p>
      <w:r>
        <w:rPr>
          <w:b/>
          <w:sz w:val="19"/>
        </w:rPr>
        <w:t xml:space="preserve">Übertragbarkeit: </w:t>
      </w:r>
      <w:r>
        <w:rPr>
          <w:sz w:val="19"/>
        </w:rPr>
        <w:t>USA, aber Fragestellung zu System- und Anbieter-Barrieren in der Forschung systemunabhängig</w:t>
      </w:r>
    </w:p>
    <w:p>
      <w:r>
        <w:rPr>
          <w:color w:val="5A7D3A"/>
          <w:sz w:val="18"/>
        </w:rPr>
        <w:t>https://pubmed.ncbi.nlm.nih.gov/42837155/</w:t>
      </w:r>
    </w:p>
    <w:p>
      <w:pPr>
        <w:pStyle w:val="Heading2"/>
      </w:pPr>
      <w:r>
        <w:t>Person-zentrierte Demenzpflege durch Coaching umsetzen</w:t>
      </w:r>
    </w:p>
    <w:p>
      <w:r>
        <w:rPr>
          <w:i/>
          <w:color w:val="666666"/>
          <w:sz w:val="18"/>
        </w:rPr>
        <w:t>Moczygemba W et al.  ·  Gerontologist  ·  03.10.2026  ·  PMID 42830447</w:t>
      </w:r>
    </w:p>
    <w:p>
      <w:r>
        <w:t>Pre-post-Studie zur Implementierung des Care Community Coaching Program (CCCP) in 38 Langzeitpflegeeinrichtungen Ohios zur Umsetzung von Dementia Care Practice Recommendations.</w:t>
      </w:r>
    </w:p>
    <w:p>
      <w:r>
        <w:rPr>
          <w:b/>
        </w:rPr>
        <w:t xml:space="preserve">Ergebnis: </w:t>
      </w:r>
      <w:r>
        <w:t>Signifikante Verbesserungen in 8 von 9 Leitlinien-Bereichen für personenzentrierte Versorgung; Baseline-Implementationsrate 61,8%, Arbeitskräfte-Praktiken 78,3%. Barriers und Facilitators dokumentiert.</w:t>
      </w:r>
    </w:p>
    <w:p>
      <w:r>
        <w:rPr>
          <w:b/>
          <w:sz w:val="19"/>
        </w:rPr>
        <w:t xml:space="preserve">Übertragbarkeit: </w:t>
      </w:r>
      <w:r>
        <w:rPr>
          <w:sz w:val="19"/>
        </w:rPr>
        <w:t>USA, aber Fragestellung zur Implementierungsforschung systemübergreifend relevant</w:t>
      </w:r>
    </w:p>
    <w:p>
      <w:r>
        <w:rPr>
          <w:color w:val="5A7D3A"/>
          <w:sz w:val="18"/>
        </w:rPr>
        <w:t>https://pubmed.ncbi.nlm.nih.gov/42830447/</w:t>
      </w:r>
    </w:p>
    <w:p>
      <w:pPr>
        <w:pStyle w:val="Heading2"/>
      </w:pPr>
      <w:r>
        <w:t>Stressabbau senkt Blutdruck bei Normotensiven</w:t>
      </w:r>
    </w:p>
    <w:p>
      <w:r>
        <w:rPr>
          <w:i/>
          <w:color w:val="666666"/>
          <w:sz w:val="18"/>
        </w:rPr>
        <w:t>Kamijima J et al.  ·  J Hum Hypertens  ·  03.10.2026  ·  PMID 42829395</w:t>
      </w:r>
    </w:p>
    <w:p>
      <w:r>
        <w:t>Systematisches Review und Metaanalyse von 22 RCTs (n=3.089) zu Stressmanagement-Interventionen und Blutdruckveränderungen bei gesunden Erwachsenen ohne Hypertonie.</w:t>
      </w:r>
    </w:p>
    <w:p>
      <w:r>
        <w:rPr>
          <w:b/>
        </w:rPr>
        <w:t xml:space="preserve">Ergebnis: </w:t>
      </w:r>
      <w:r>
        <w:t>Mind-Body-Übung: −2,17 mmHg systolisch (95% KI −3,29 bis −1,05), −1,69 mmHg diastolisch; Meditation: −1,49/−1,00 mmHg; Relaxation: −4,76/−1,71 mmHg. Primärprävention möglich.</w:t>
      </w:r>
    </w:p>
    <w:p>
      <w:r>
        <w:rPr>
          <w:b/>
          <w:sz w:val="19"/>
        </w:rPr>
        <w:t xml:space="preserve">Übertragbarkeit: </w:t>
      </w:r>
      <w:r>
        <w:rPr>
          <w:sz w:val="19"/>
        </w:rPr>
        <w:t>Internationale Datenbasis, systemunabhängige Fragestellung zu Prävention</w:t>
      </w:r>
    </w:p>
    <w:p>
      <w:r>
        <w:rPr>
          <w:color w:val="5A7D3A"/>
          <w:sz w:val="18"/>
        </w:rPr>
        <w:t>https://pubmed.ncbi.nlm.nih.gov/42829395/</w:t>
      </w:r>
    </w:p>
    <w:p>
      <w:pPr>
        <w:pStyle w:val="Heading2"/>
      </w:pPr>
      <w:r>
        <w:t>Verweildauer bei Mundkrebs in Deutschland</w:t>
      </w:r>
    </w:p>
    <w:p>
      <w:r>
        <w:rPr>
          <w:i/>
          <w:color w:val="666666"/>
          <w:sz w:val="18"/>
        </w:rPr>
        <w:t>Cirkel LL et al.  ·  Reports (MDPI)  ·  02.09.2026  ·  PMID 42784021</w:t>
      </w:r>
    </w:p>
    <w:p>
      <w:r>
        <w:t>Retrospektive Multizenter-Analyse von 3.957 Krebshospitalisierungen (2019–2024) aus 34 deutschen Krankenhäusern zu Verweildauer und Einflussfaktoren.</w:t>
      </w:r>
    </w:p>
    <w:p>
      <w:r>
        <w:rPr>
          <w:b/>
        </w:rPr>
        <w:t xml:space="preserve">Ergebnis: </w:t>
      </w:r>
      <w:r>
        <w:t>Mediane Verweildauer 6 Tage (IQR 3–13), Mittel 10,2 Tage. 49,4% ≥7 Tage, 23,5% ≥14 Tage. Alter &gt;80 Jahre: Rate Ratio 1,17 (95% KI 1,13–1,21); hohe Komorbiditätslast: RR 1,58 (1,54–1,63); Bluttransfusion RR 1,80, komplexe Intensivbehandlung RR 1,70.</w:t>
      </w:r>
    </w:p>
    <w:p>
      <w:r>
        <w:rPr>
          <w:b/>
          <w:sz w:val="19"/>
        </w:rPr>
        <w:t xml:space="preserve">Übertragbarkeit: </w:t>
      </w:r>
      <w:r>
        <w:rPr>
          <w:sz w:val="19"/>
        </w:rPr>
        <w:t>Deutsche Routinedaten, 49 Krankenhäuser, direkt übertragbar</w:t>
      </w:r>
    </w:p>
    <w:p>
      <w:r>
        <w:rPr>
          <w:color w:val="5A7D3A"/>
          <w:sz w:val="18"/>
        </w:rPr>
        <w:t>https://pubmed.ncbi.nlm.nih.gov/42784021/</w:t>
      </w:r>
    </w:p>
    <w:p>
      <w:pPr>
        <w:pStyle w:val="Heading1"/>
      </w:pPr>
      <w:r>
        <w:t>Aufgenommen am 07.10.2026</w:t>
      </w:r>
    </w:p>
    <w:p>
      <w:pPr>
        <w:pStyle w:val="Heading2"/>
      </w:pPr>
      <w:r>
        <w:t>Reisebelastungen bei Methadon-Ambulanzbesuchen</w:t>
      </w:r>
    </w:p>
    <w:p>
      <w:r>
        <w:rPr>
          <w:i/>
          <w:color w:val="666666"/>
          <w:sz w:val="18"/>
        </w:rPr>
        <w:t>Austin EJ et al.  ·  JAMA Netw Open  ·  01.10.2026  ·  PMID 42837152</w:t>
      </w:r>
    </w:p>
    <w:p>
      <w:r>
        <w:t>Mixed-Methods-Studie (Befragung + qualitative Interviews) zu Reiseerfahrungen von 98 Patienten an Opioid-Behandlungsprogrammen in Washington State.</w:t>
      </w:r>
    </w:p>
    <w:p>
      <w:r>
        <w:rPr>
          <w:b/>
        </w:rPr>
        <w:t xml:space="preserve">Ergebnis: </w:t>
      </w:r>
      <w:r>
        <w:t>Mittlere Reisedauer 82,5 Min (Spannweite 10–330 Min) und durchschnittliche Kosten 15,80 USD pro Besuch. 55,1% fuhren selbst, 21,4% wurden gefahren, 12,3% nutzten ÖPNV. Kernproblem: Unpredictable Wartezeiten und Konflikte mit Beruf/Familie beeinträchtigen Adhärenz.</w:t>
      </w:r>
    </w:p>
    <w:p>
      <w:r>
        <w:rPr>
          <w:b/>
          <w:sz w:val="19"/>
        </w:rPr>
        <w:t xml:space="preserve">Übertragbarkeit: </w:t>
      </w:r>
      <w:r>
        <w:rPr>
          <w:sz w:val="19"/>
        </w:rPr>
        <w:t>USA-Kontext, aber Problematik der Behandlungszugang für marginalisierte Gruppen systemübergreifend</w:t>
      </w:r>
    </w:p>
    <w:p>
      <w:r>
        <w:rPr>
          <w:color w:val="5A7D3A"/>
          <w:sz w:val="18"/>
        </w:rPr>
        <w:t>https://pubmed.ncbi.nlm.nih.gov/42837152/</w:t>
      </w:r>
    </w:p>
    <w:p>
      <w:pPr>
        <w:pStyle w:val="Heading2"/>
      </w:pPr>
      <w:r>
        <w:t>Palliative care in chronic heart failure in the Netherlands</w:t>
      </w:r>
    </w:p>
    <w:p>
      <w:r>
        <w:rPr>
          <w:i/>
          <w:color w:val="666666"/>
          <w:sz w:val="18"/>
        </w:rPr>
        <w:t>Aertsen-van der Kuip MSA et al.  ·  Neth Heart J  ·  06.10.2026  ·  PMID 42837105</w:t>
      </w:r>
    </w:p>
    <w:p>
      <w:r>
        <w:t>Befragung von 120 niederländischen Fachleuten zur Implementierung von Palliativversorgung und Advance Care Planning bei chronischer Herzinsuffizienz.</w:t>
      </w:r>
    </w:p>
    <w:p>
      <w:r>
        <w:rPr>
          <w:b/>
        </w:rPr>
        <w:t xml:space="preserve">Ergebnis: </w:t>
      </w:r>
      <w:r>
        <w:t>97% der Fachleute bewerteten Palliativversorgung als (sehr) wichtig, aber nur etwa ein Drittel bot diese regelmäßig an. 78% konnten Palliativbedarf erkennen, nur 23% fühlten sich ausreichend qualifiziert. Hauptprobleme: fehlende Fähigkeiten und Zeitmangel.</w:t>
      </w:r>
    </w:p>
    <w:p>
      <w:r>
        <w:rPr>
          <w:b/>
          <w:sz w:val="19"/>
        </w:rPr>
        <w:t xml:space="preserve">Übertragbarkeit: </w:t>
      </w:r>
      <w:r>
        <w:rPr>
          <w:sz w:val="19"/>
        </w:rPr>
        <w:t>Niederlande, Sozialversicherungssystem, direkt übertragbar auf Deutschland</w:t>
      </w:r>
    </w:p>
    <w:p>
      <w:r>
        <w:rPr>
          <w:color w:val="5A7D3A"/>
          <w:sz w:val="18"/>
        </w:rPr>
        <w:t>https://pubmed.ncbi.nlm.nih.gov/42837105/</w:t>
      </w:r>
    </w:p>
    <w:p>
      <w:pPr>
        <w:pStyle w:val="Heading2"/>
      </w:pPr>
      <w:r>
        <w:t>Unterversorgung mit Kompressionstherapie bei Ulcus cruris venosum</w:t>
      </w:r>
    </w:p>
    <w:p>
      <w:r>
        <w:rPr>
          <w:i/>
          <w:color w:val="666666"/>
          <w:sz w:val="18"/>
        </w:rPr>
        <w:t>Stücker M et al.  ·  Int Wound J  ·  Okt. 2026  ·  PMID 42834577</w:t>
      </w:r>
    </w:p>
    <w:p>
      <w:r>
        <w:t>Retrospektive Kohortenanalyse von Routinedaten von 3,35 Millionen Versicherten zu Häufigkeit und Determinanten der Kompressionstherapie bei venösen Beindoloren und Ulzera.</w:t>
      </w:r>
    </w:p>
    <w:p>
      <w:r>
        <w:rPr>
          <w:b/>
        </w:rPr>
        <w:t xml:space="preserve">Ergebnis: </w:t>
      </w:r>
      <w:r>
        <w:t>Prävalenz: 0,50% für Ulcus cruris venosum (n=16.615), 7,27% für chronische Venenerkrankung (n=243.681). Über 5 Jahre: 75,85% mit Ulcus erhielten Kompression, aber 24,15% nicht – obwohl Kompression leitliniengerecht ist. Multimorbidität war höher bei Behandelten.</w:t>
      </w:r>
    </w:p>
    <w:p>
      <w:r>
        <w:rPr>
          <w:b/>
          <w:sz w:val="19"/>
        </w:rPr>
        <w:t xml:space="preserve">Übertragbarkeit: </w:t>
      </w:r>
      <w:r>
        <w:rPr>
          <w:sz w:val="19"/>
        </w:rPr>
        <w:t>Deutsche Routinedaten aus der gesetzlichen Krankenversicherung</w:t>
      </w:r>
    </w:p>
    <w:p>
      <w:r>
        <w:rPr>
          <w:color w:val="5A7D3A"/>
          <w:sz w:val="18"/>
        </w:rPr>
        <w:t>https://pubmed.ncbi.nlm.nih.gov/42834577/</w:t>
      </w:r>
    </w:p>
    <w:p>
      <w:pPr>
        <w:pStyle w:val="Heading2"/>
      </w:pPr>
      <w:r>
        <w:t>Qualität der Pflegeheimversorgung für Veteranen nach Hospitalisierung</w:t>
      </w:r>
    </w:p>
    <w:p>
      <w:r>
        <w:rPr>
          <w:i/>
          <w:color w:val="666666"/>
          <w:sz w:val="18"/>
        </w:rPr>
        <w:t>Burke RE et al.  ·  J Gen Intern Med  ·  30.09.2026  ·  PMID 42816723</w:t>
      </w:r>
    </w:p>
    <w:p>
      <w:r>
        <w:t>Retrospektive Kohortenstudie zur Verfügbarkeit und Nutzung hochqualitativer Pflegeheime (SNF) durch ältere Veteranen nach stationärer Aufnahme.</w:t>
      </w:r>
    </w:p>
    <w:p>
      <w:r>
        <w:rPr>
          <w:b/>
        </w:rPr>
        <w:t xml:space="preserve">Ergebnis: </w:t>
      </w:r>
      <w:r>
        <w:t>Von 926.860 Veteranen ≥66 Jahre nutzten &gt;92% private Medicare-Pflegeheime. Nur 34,4% wählten das bestbewertete SNF in der Nähe, 15,4% wählten das schlechteste. 64,5% hätten Zugang zu höher bewerteten Einrichtungen gehabt; 43,7% zu 5+ besseren Alternativen.</w:t>
      </w:r>
    </w:p>
    <w:p>
      <w:r>
        <w:rPr>
          <w:b/>
          <w:sz w:val="19"/>
        </w:rPr>
        <w:t xml:space="preserve">Übertragbarkeit: </w:t>
      </w:r>
      <w:r>
        <w:rPr>
          <w:sz w:val="19"/>
        </w:rPr>
        <w:t>USA-System, aber Frage der Qualitätssteuerung und Patientenwahl systemübergreifend relevant</w:t>
      </w:r>
    </w:p>
    <w:p>
      <w:r>
        <w:rPr>
          <w:color w:val="5A7D3A"/>
          <w:sz w:val="18"/>
        </w:rPr>
        <w:t>https://pubmed.ncbi.nlm.nih.gov/42816723/</w:t>
      </w:r>
    </w:p>
    <w:p>
      <w:pPr>
        <w:pStyle w:val="Heading2"/>
      </w:pPr>
      <w:r>
        <w:t>Partizipation nach Schlaganfall im jungen Erwachsenenalter</w:t>
      </w:r>
    </w:p>
    <w:p>
      <w:r>
        <w:rPr>
          <w:i/>
          <w:color w:val="666666"/>
          <w:sz w:val="18"/>
        </w:rPr>
        <w:t>Donnelly MR et al.  ·  Am J Occup Ther  ·  30.09.2026  ·  PMID 42813599</w:t>
      </w:r>
    </w:p>
    <w:p>
      <w:r>
        <w:t>Scoping Review von 15 Studien zur Partizipation junger Erwachsener (18–45 Jahre) nach Schlaganfall in Rollen und Aktivitäten des Erwachsenenlebens.</w:t>
      </w:r>
    </w:p>
    <w:p>
      <w:r>
        <w:rPr>
          <w:b/>
        </w:rPr>
        <w:t xml:space="preserve">Ergebnis: </w:t>
      </w:r>
      <w:r>
        <w:t>Schlaganfall führt zu Unterbrechung der beruflichen und sozialen Laufbahn; multi-dimensionale Effekte auf Rollen (Partner, Eltern), Bildung und Karriere. Rehabilitation fokussiert typischerweise auf motorische Funktionen, adressiert aber nicht die entwicklungsspezifischen Bedürfnisse junger Erwachsener.</w:t>
      </w:r>
    </w:p>
    <w:p>
      <w:r>
        <w:rPr>
          <w:b/>
          <w:sz w:val="19"/>
        </w:rPr>
        <w:t xml:space="preserve">Übertragbarkeit: </w:t>
      </w:r>
      <w:r>
        <w:rPr>
          <w:sz w:val="19"/>
        </w:rPr>
        <w:t>Qualitative HSR-Synthese, Erkenntnisse zur Versorgungsplanung systemunabhängig</w:t>
      </w:r>
    </w:p>
    <w:p>
      <w:r>
        <w:rPr>
          <w:color w:val="5A7D3A"/>
          <w:sz w:val="18"/>
        </w:rPr>
        <w:t>https://pubmed.ncbi.nlm.nih.gov/42813599/</w:t>
      </w:r>
    </w:p>
    <w:p>
      <w:pPr>
        <w:pStyle w:val="Heading2"/>
      </w:pPr>
      <w:r>
        <w:t>Atriale Kardiomyopathie und klinische Langzeitfolgen</w:t>
      </w:r>
    </w:p>
    <w:p>
      <w:r>
        <w:rPr>
          <w:i/>
          <w:color w:val="666666"/>
          <w:sz w:val="18"/>
        </w:rPr>
        <w:t>Kazi K et al.  ·  Europace  ·  02.09.2026  ·  PMID 42809232</w:t>
      </w:r>
    </w:p>
    <w:p>
      <w:r>
        <w:t>Kohortenstudie zu Assoziationen zwischen echokardiographischen Merkmalen atrialerKardiomyopathie und Inzidenz von Vorhofflimmern, Herzinsuffizienz und Schlaganfall. (Abstract ohne konkrete Ergebnisse verfügbar)</w:t>
      </w:r>
    </w:p>
    <w:p>
      <w:r>
        <w:rPr>
          <w:b/>
        </w:rPr>
        <w:t xml:space="preserve">Ergebnis: </w:t>
      </w:r>
      <w:r>
        <w:t>Abstract enthält keine benennbaren Zahlen oder Ergebnisse; nur Studiendesign beschrieben. Ausschluss.</w:t>
      </w:r>
    </w:p>
    <w:p>
      <w:r>
        <w:rPr>
          <w:b/>
          <w:sz w:val="19"/>
        </w:rPr>
        <w:t xml:space="preserve">Übertragbarkeit: </w:t>
      </w:r>
      <w:r>
        <w:rPr>
          <w:sz w:val="19"/>
        </w:rPr>
        <w:t>Ausgeschlossen</w:t>
      </w:r>
    </w:p>
    <w:p>
      <w:r>
        <w:rPr>
          <w:color w:val="5A7D3A"/>
          <w:sz w:val="18"/>
        </w:rPr>
        <w:t>https://pubmed.ncbi.nlm.nih.gov/42809232/</w:t>
      </w:r>
    </w:p>
    <w:p>
      <w:pPr>
        <w:pStyle w:val="Heading1"/>
      </w:pPr>
      <w:r>
        <w:t>Aufgenommen am 06.10.2026</w:t>
      </w:r>
    </w:p>
    <w:p>
      <w:pPr>
        <w:pStyle w:val="Heading2"/>
      </w:pPr>
      <w:r>
        <w:t>Zugang zu sexueller und reproduktiver Gesundheit bei Jugendlichen in Mogadischu: Qualitative Studie</w:t>
      </w:r>
    </w:p>
    <w:p>
      <w:r>
        <w:rPr>
          <w:i/>
          <w:color w:val="666666"/>
          <w:sz w:val="18"/>
        </w:rPr>
        <w:t>Asowe HA et al.  ·  Sex Health  ·  20.10.2026  ·  PMID 42833641</w:t>
      </w:r>
    </w:p>
    <w:p>
      <w:r>
        <w:t>Qualitative Mixed-Methods-Studie zu Zugang und Inanspruchnahme von Sexual- und Reproduktionsgesundheits-Dienstleistungen bei Jugendlichen in Mogadischu, Somalia.</w:t>
      </w:r>
    </w:p>
    <w:p>
      <w:r>
        <w:rPr>
          <w:b/>
        </w:rPr>
        <w:t xml:space="preserve">Ergebnis: </w:t>
      </w:r>
      <w:r>
        <w:t>21 Gesundheitseinrichtungen identifiziert, aber Dienste nicht auf Jugendliche zugeschnitten. Hauptbarrieren: Stigma, soziale Normen, Geschlechterdynamiken (männliche Zustimmung erforderlich), finanzielle und logistische Hindernisse. Dringend Bedarf für jugendfreundliche, geschlechtssensible Dienste und Norm-Veränderungsaktivitäten.</w:t>
      </w:r>
    </w:p>
    <w:p>
      <w:r>
        <w:rPr>
          <w:b/>
          <w:sz w:val="19"/>
        </w:rPr>
        <w:t xml:space="preserve">Übertragbarkeit: </w:t>
      </w:r>
      <w:r>
        <w:rPr>
          <w:sz w:val="19"/>
        </w:rPr>
        <w:t>Humanitarian-setting, Systemkontext sehr unterschiedlich, Befunde zu Zugangsbarrieren aber international relevant</w:t>
      </w:r>
    </w:p>
    <w:p>
      <w:r>
        <w:rPr>
          <w:color w:val="5A7D3A"/>
          <w:sz w:val="18"/>
        </w:rPr>
        <w:t>https://pubmed.ncbi.nlm.nih.gov/42833641/</w:t>
      </w:r>
    </w:p>
    <w:p>
      <w:pPr>
        <w:pStyle w:val="Heading2"/>
      </w:pPr>
      <w:r>
        <w:t>Expert Agreement on Palliative Reasoning and Monitoring in Heart Failure: International Delphi Study</w:t>
      </w:r>
    </w:p>
    <w:p>
      <w:r>
        <w:rPr>
          <w:i/>
          <w:color w:val="666666"/>
          <w:sz w:val="18"/>
        </w:rPr>
        <w:t>De Leeuw JCB et al.  ·  J Pain Symptom Manage  ·  05.10.2026  ·  PMID 42833597</w:t>
      </w:r>
    </w:p>
    <w:p>
      <w:r>
        <w:t>Internationale Delphi-Studie zur Etablierung von Expertenkonsens über palliative Versorgung bei Herzinsuffizienz aus neun europäischen Ländern.</w:t>
      </w:r>
    </w:p>
    <w:p>
      <w:r>
        <w:rPr>
          <w:b/>
        </w:rPr>
        <w:t xml:space="preserve">Ergebnis: </w:t>
      </w:r>
      <w:r>
        <w:t>156 Experten (Runde 1) und 121 (Runde 2, 78,1% Retention) erreichten Konsens über alle Schritte der palliativen Versorgung (I-CVI 0,82–0,95). Von 33 Symptomen erreichtenÂ 76% Übereinstimmung zu Relevanz und Formulierung. Monitoring-Instrument für Symptome, Wünsche und Bedarf entwickelt.</w:t>
      </w:r>
    </w:p>
    <w:p>
      <w:r>
        <w:rPr>
          <w:b/>
          <w:sz w:val="19"/>
        </w:rPr>
        <w:t xml:space="preserve">Übertragbarkeit: </w:t>
      </w:r>
      <w:r>
        <w:rPr>
          <w:sz w:val="19"/>
        </w:rPr>
        <w:t>Niederländische/europäische Leitung, neun europäische Länder, systemvergleichbar</w:t>
      </w:r>
    </w:p>
    <w:p>
      <w:r>
        <w:rPr>
          <w:color w:val="5A7D3A"/>
          <w:sz w:val="18"/>
        </w:rPr>
        <w:t>https://pubmed.ncbi.nlm.nih.gov/42833597/</w:t>
      </w:r>
    </w:p>
    <w:p>
      <w:pPr>
        <w:pStyle w:val="Heading2"/>
      </w:pPr>
      <w:r>
        <w:t>FOCUS-Tool zur Priorisierung von Guideline-Empfehlungen für Shared Decision Making</w:t>
      </w:r>
    </w:p>
    <w:p>
      <w:r>
        <w:rPr>
          <w:i/>
          <w:color w:val="666666"/>
          <w:sz w:val="18"/>
        </w:rPr>
        <w:t>Orduhan C et al.  ·  J Clin Epidemiol  ·  05.10.2026  ·  PMID 42833371</w:t>
      </w:r>
    </w:p>
    <w:p>
      <w:r>
        <w:t>Entwicklung und Test des FOCUS-Tools zur systematischen Identifikation von Guideline-Empfehlungen, die sich für Shared Decision Making eignen.</w:t>
      </w:r>
    </w:p>
    <w:p>
      <w:r>
        <w:rPr>
          <w:b/>
        </w:rPr>
        <w:t xml:space="preserve">Ergebnis: </w:t>
      </w:r>
      <w:r>
        <w:t>Fünf Items definiert: (1) multiple Optionen mit unterschiedlichen Nutzen-Schaden-Profilen, (2) Entscheidung mit Auswirkungen, (3) potenzielle Diskrepanz in Werten/Vorlieben, (4) Behandlungslast und finanzielle Aspekte, (5) Unsicherheit der Evidenz. Mittelwerte ≥3,38 auf 5-Punkt-Skala für Verständlichkeit, Anwendbarkeit und Nützlichkeit. 12 Teilnehmer aus acht Ländern, gute Akzeptanz.</w:t>
      </w:r>
    </w:p>
    <w:p>
      <w:r>
        <w:rPr>
          <w:b/>
          <w:sz w:val="19"/>
        </w:rPr>
        <w:t xml:space="preserve">Übertragbarkeit: </w:t>
      </w:r>
      <w:r>
        <w:rPr>
          <w:sz w:val="19"/>
        </w:rPr>
        <w:t>Deutsche Beteiligung, internationale Guideline-Entwicklung, systemunabhängige Methode</w:t>
      </w:r>
    </w:p>
    <w:p>
      <w:r>
        <w:rPr>
          <w:color w:val="5A7D3A"/>
          <w:sz w:val="18"/>
        </w:rPr>
        <w:t>https://pubmed.ncbi.nlm.nih.gov/42833371/</w:t>
      </w:r>
    </w:p>
    <w:p>
      <w:pPr>
        <w:pStyle w:val="Heading2"/>
      </w:pPr>
      <w:r>
        <w:t>National Ovarian Cancer Audit (NOCA) 2026: Qualitätsverbesserung der Ovarialkarzinom-Versorgung</w:t>
      </w:r>
    </w:p>
    <w:p>
      <w:r>
        <w:rPr>
          <w:i/>
          <w:color w:val="666666"/>
          <w:sz w:val="18"/>
        </w:rPr>
        <w:t>Zachou G et al.  ·  Clin Oncol (R Coll Radiol)  ·  10.09.2026  ·  PMID 42828886</w:t>
      </w:r>
    </w:p>
    <w:p>
      <w:r>
        <w:t>Nationale englisch-walisische Auditberichte zu Struktur-, Prozess- und Outcome-Qualität in der Ovarialkarzinom-Behandlung mit Quality-Improvement-Empfehlungen.</w:t>
      </w:r>
    </w:p>
    <w:p>
      <w:r>
        <w:rPr>
          <w:b/>
        </w:rPr>
        <w:t xml:space="preserve">Ergebnis: </w:t>
      </w:r>
      <w:r>
        <w:t>Daten nicht im Abstract verfügbar, aber Audit mit anschließenden Qualitätsverbesserungs-Interventionen durchgeführt. Fokus auf Standardisierung der Versorgung und Reduktion von Variabilität.</w:t>
      </w:r>
    </w:p>
    <w:p>
      <w:r>
        <w:rPr>
          <w:b/>
          <w:sz w:val="19"/>
        </w:rPr>
        <w:t xml:space="preserve">Übertragbarkeit: </w:t>
      </w:r>
      <w:r>
        <w:rPr>
          <w:sz w:val="19"/>
        </w:rPr>
        <w:t>Englisch-walisisches System, aber Audit-Methodologie und Qualitätsziele auf deutsches System übertragbar</w:t>
      </w:r>
    </w:p>
    <w:p>
      <w:r>
        <w:rPr>
          <w:color w:val="5A7D3A"/>
          <w:sz w:val="18"/>
        </w:rPr>
        <w:t>https://pubmed.ncbi.nlm.nih.gov/42828886/</w:t>
      </w:r>
    </w:p>
    <w:p>
      <w:pPr>
        <w:pStyle w:val="Heading2"/>
      </w:pPr>
      <w:r>
        <w:t>Langfristiges Rezidivrisiko nach Hysterektomie zur Prolaps-Behandlung</w:t>
      </w:r>
    </w:p>
    <w:p>
      <w:r>
        <w:rPr>
          <w:i/>
          <w:color w:val="666666"/>
          <w:sz w:val="18"/>
        </w:rPr>
        <w:t>Latack KR et al.  ·  Int Urogynecol J  ·  01.10.2026  ·  PMID 42821111</w:t>
      </w:r>
    </w:p>
    <w:p>
      <w:r>
        <w:t>Retrospektive Versicherungsanspruchsanalyse zu Prolaps-Retreatment nach Hysterektomie bei Prolaps-Diagnose, stratifiziert nach chirurgischem Zugang und Begleitverfahren.</w:t>
      </w:r>
    </w:p>
    <w:p>
      <w:r>
        <w:rPr>
          <w:b/>
        </w:rPr>
        <w:t xml:space="preserve">Ergebnis: </w:t>
      </w:r>
      <w:r>
        <w:t>7017 Patienten (Durchschnittsalter 51,3 Jahre). Concurrent Prolaps-Verfahren in 82%. Nach 24.129 Personenjahren: 399 Patienten (5,7%) retreated. Inzidenzrate 16,5 pro 1000 Personenjahre (95% CI 14,9–18,2). Vaginal vs. laparoskopisch: kein signifikanter Unterschied nach Adjustierung (aHR 1,39). Mit Colpopexy: abdominaler Zugang deutlich höheres Risiko.</w:t>
      </w:r>
    </w:p>
    <w:p>
      <w:r>
        <w:rPr>
          <w:b/>
          <w:sz w:val="19"/>
        </w:rPr>
        <w:t xml:space="preserve">Übertragbarkeit: </w:t>
      </w:r>
      <w:r>
        <w:rPr>
          <w:sz w:val="19"/>
        </w:rPr>
        <w:t>US-Versicherungsdaten, aber gynäkologische Fragestellung zur Prozessoptimierung systemunabhängig übertragbar</w:t>
      </w:r>
    </w:p>
    <w:p>
      <w:r>
        <w:rPr>
          <w:color w:val="5A7D3A"/>
          <w:sz w:val="18"/>
        </w:rPr>
        <w:t>https://pubmed.ncbi.nlm.nih.gov/42821111/</w:t>
      </w:r>
    </w:p>
    <w:p>
      <w:pPr>
        <w:pStyle w:val="Heading2"/>
      </w:pPr>
      <w:r>
        <w:t>Nachbarschafts-Umgebung und Präeklampsie-Risiko: Machine-Learning-Analyse</w:t>
      </w:r>
    </w:p>
    <w:p>
      <w:r>
        <w:rPr>
          <w:i/>
          <w:color w:val="666666"/>
          <w:sz w:val="18"/>
        </w:rPr>
        <w:t>Paris CF et al.  ·  Pregnancy (Hoboken)  ·  29.09.2026  ·  PMID 42819622</w:t>
      </w:r>
    </w:p>
    <w:p>
      <w:r>
        <w:t>Matched-Case-Control-Studie mit Machine Learning zur Bestimmung der relativen Bedeutung von Nachbarschaftsfaktoren (soziale Vulnerabilität, gebaute Umgebung) für Präeklampsie-Risiko in Philadelphia.</w:t>
      </w:r>
    </w:p>
    <w:p>
      <w:r>
        <w:rPr>
          <w:b/>
        </w:rPr>
        <w:t xml:space="preserve">Ergebnis: </w:t>
      </w:r>
      <w:r>
        <w:t>18.754 Teilnehmer (4.689 Präeklampsie-Fälle, 14.065 Kontrollen). Drei Nachbarschafts-Gesundheits-Vulnerabilitätsfaktoren am wichtigsten: Prävalenz von Adipositas, hohem Blutdruck und kurzer Schlafdauer bei Erwachsenen. Assoziationen mit Nachbarschafts-Hypertonie-Prävalenz besonders relevant für Präeklampsie-Prävention.</w:t>
      </w:r>
    </w:p>
    <w:p>
      <w:r>
        <w:rPr>
          <w:b/>
          <w:sz w:val="19"/>
        </w:rPr>
        <w:t xml:space="preserve">Übertragbarkeit: </w:t>
      </w:r>
      <w:r>
        <w:rPr>
          <w:sz w:val="19"/>
        </w:rPr>
        <w:t>US-Daten aus Philadelphia, aber sozialstrukturelle Fragestellung und Risiko-Identifikation systemunabhängig relevant</w:t>
      </w:r>
    </w:p>
    <w:p>
      <w:r>
        <w:rPr>
          <w:color w:val="5A7D3A"/>
          <w:sz w:val="18"/>
        </w:rPr>
        <w:t>https://pubmed.ncbi.nlm.nih.gov/42819622/</w:t>
      </w:r>
    </w:p>
    <w:p>
      <w:pPr>
        <w:pStyle w:val="Heading1"/>
      </w:pPr>
      <w:r>
        <w:t>Aufgenommen am 05.10.2026</w:t>
      </w:r>
    </w:p>
    <w:p>
      <w:pPr>
        <w:pStyle w:val="Heading2"/>
      </w:pPr>
      <w:r>
        <w:t>TALK-Debriefing-Methode verbessert Interprofessionalität und Patientensicherheit</w:t>
      </w:r>
    </w:p>
    <w:p>
      <w:r>
        <w:rPr>
          <w:i/>
          <w:color w:val="666666"/>
          <w:sz w:val="18"/>
        </w:rPr>
        <w:t>Targino JSO et al.  ·  J Eval Clin Pract  ·  Okt. 2026  ·  PMID 42829905</w:t>
      </w:r>
    </w:p>
    <w:p>
      <w:r>
        <w:t>Qualitative Aktionsforschung mit 12 Gesundheitsfachpersonen untersuchte Auswirkungen der TALK-Debriefing-Methode auf interprofessionelle Kommunikation und Patientensicherheit in brasilianischer Sekundärversorgung.</w:t>
      </w:r>
    </w:p>
    <w:p>
      <w:r>
        <w:rPr>
          <w:b/>
        </w:rPr>
        <w:t xml:space="preserve">Ergebnis: </w:t>
      </w:r>
      <w:r>
        <w:t>TALK-Methode funktionierte als strukturierendes Instrument für reflektive Praxis und reorganisierte interprofessionelle Interaktionen. Teilnehmer berichteten Verbesserungen in Kommunikation, Teamintegration und Versorgungsplanung sowie psychologisch sichere, nicht-punitives Umfeld. Barrieren: Zeitknappheit, Arbeitsbelastung, variable Engagement, begrenzte institutionelle Unterstützung.</w:t>
      </w:r>
    </w:p>
    <w:p>
      <w:r>
        <w:rPr>
          <w:b/>
          <w:sz w:val="19"/>
        </w:rPr>
        <w:t xml:space="preserve">Übertragbarkeit: </w:t>
      </w:r>
      <w:r>
        <w:rPr>
          <w:sz w:val="19"/>
        </w:rPr>
        <w:t>Qualitatives Design, systemunabhängige Fragestellung zu Kommunikation und Teamentwicklung</w:t>
      </w:r>
    </w:p>
    <w:p>
      <w:r>
        <w:rPr>
          <w:color w:val="5A7D3A"/>
          <w:sz w:val="18"/>
        </w:rPr>
        <w:t>https://pubmed.ncbi.nlm.nih.gov/42829905/</w:t>
      </w:r>
    </w:p>
    <w:p>
      <w:pPr>
        <w:pStyle w:val="Heading2"/>
      </w:pPr>
      <w:r>
        <w:t>Ernährungsberatung reduziert Alkoholkonsum bei mild kognitiver Beeinträchtigung</w:t>
      </w:r>
    </w:p>
    <w:p>
      <w:r>
        <w:rPr>
          <w:i/>
          <w:color w:val="666666"/>
          <w:sz w:val="18"/>
        </w:rPr>
        <w:t>Scheuermann JS et al.  ·  BMC Public Health  ·  03.10.2026  ·  PMID 42829430</w:t>
      </w:r>
    </w:p>
    <w:p>
      <w:r>
        <w:t>Sekundäranalyse eines RCT untersuchte, ob Ernährungsberatung (WFPB oder DGE-Richtlinien) den Alkoholkonsum bei 189 Personen mit milder kognitiver Beeinträchtigung über 12 Monate reduziert.</w:t>
      </w:r>
    </w:p>
    <w:p>
      <w:r>
        <w:rPr>
          <w:b/>
        </w:rPr>
        <w:t xml:space="preserve">Ergebnis: </w:t>
      </w:r>
      <w:r>
        <w:t>Beide Interventionen führten zu signifikanter Reduktion des Alkoholkonsums (Cohens d = 0,30 für WFPB; d = 0,39 für DGE). Frauen profitierten substanziell nur von DGE-Beratung (d = 0,33). Höherer Baseline-Alkoholkonsum, höheres Alter und bessere Adhärenz waren Prädiktoren für stärkere Reduktion.</w:t>
      </w:r>
    </w:p>
    <w:p>
      <w:r>
        <w:rPr>
          <w:b/>
          <w:sz w:val="19"/>
        </w:rPr>
        <w:t xml:space="preserve">Übertragbarkeit: </w:t>
      </w:r>
      <w:r>
        <w:rPr>
          <w:sz w:val="19"/>
        </w:rPr>
        <w:t>Deutsche RCT mit deutschen Interventionen (DGE-Richtlinien), Routine-Datenerfassung übertragbar</w:t>
      </w:r>
    </w:p>
    <w:p>
      <w:r>
        <w:rPr>
          <w:color w:val="5A7D3A"/>
          <w:sz w:val="18"/>
        </w:rPr>
        <w:t>https://pubmed.ncbi.nlm.nih.gov/42829430/</w:t>
      </w:r>
    </w:p>
    <w:p>
      <w:pPr>
        <w:pStyle w:val="Heading2"/>
      </w:pPr>
      <w:r>
        <w:t>Telehealth-Coaching für periphere arterielle Verschlusskrankheit kosteneffektiv unter günstigen Bedingungen</w:t>
      </w:r>
    </w:p>
    <w:p>
      <w:r>
        <w:rPr>
          <w:i/>
          <w:color w:val="666666"/>
          <w:sz w:val="18"/>
        </w:rPr>
        <w:t>Heider D et al.  ·  Am J Prev Cardiol  ·  14.07.2026  ·  PMID 42828241</w:t>
      </w:r>
    </w:p>
    <w:p>
      <w:r>
        <w:t>Kosteneffektivitätsanalyse eines 12-Monatigen Telehealth-Coaching- und Remote-Monitoring-Programms (TeGeCoach) für 394 PAD-Patienten basierend auf Krankenkassendaten und Fragebögen.</w:t>
      </w:r>
    </w:p>
    <w:p>
      <w:r>
        <w:rPr>
          <w:b/>
        </w:rPr>
        <w:t xml:space="preserve">Ergebnis: </w:t>
      </w:r>
      <w:r>
        <w:t>Bei WTP-Schwellenwert von 50.000 Euro: ITT 30% Wahrscheinlichkeit kosteneffektiv; mITT 79%; PP 95%. Interventionskosten 672 Euro. Unter PP-Analyse kosteneffektiv, aber ITT-Szenario nicht. Anpassung der Implementierung notwendig.</w:t>
      </w:r>
    </w:p>
    <w:p>
      <w:r>
        <w:rPr>
          <w:b/>
          <w:sz w:val="19"/>
        </w:rPr>
        <w:t xml:space="preserve">Übertragbarkeit: </w:t>
      </w:r>
      <w:r>
        <w:rPr>
          <w:sz w:val="19"/>
        </w:rPr>
        <w:t>Deutsche Krankenversicherungsdaten, praktische Implementierungsfrage für deutsche Versorgung</w:t>
      </w:r>
    </w:p>
    <w:p>
      <w:r>
        <w:rPr>
          <w:color w:val="5A7D3A"/>
          <w:sz w:val="18"/>
        </w:rPr>
        <w:t>https://pubmed.ncbi.nlm.nih.gov/42828241/</w:t>
      </w:r>
    </w:p>
    <w:p>
      <w:pPr>
        <w:pStyle w:val="Heading2"/>
      </w:pPr>
      <w:r>
        <w:t>Wiederholte pulmonale Rehabilitation bei COPD bleibt wirksam trotz kleinerer Gewinne</w:t>
      </w:r>
    </w:p>
    <w:p>
      <w:r>
        <w:rPr>
          <w:i/>
          <w:color w:val="666666"/>
          <w:sz w:val="18"/>
        </w:rPr>
        <w:t>Mohammed J et al.  ·  Can J Respir Ther  ·  30.09.2026  ·  PMID 42828082</w:t>
      </w:r>
    </w:p>
    <w:p>
      <w:r>
        <w:t>Retrospektive Analyse von 429 COPD-Patienten, die zwei Rehabilitationsprogramme (PR1 und PR2) an Ciro (Niederlande) zwischen 2005 und 2022 absolvierten.</w:t>
      </w:r>
    </w:p>
    <w:p>
      <w:r>
        <w:rPr>
          <w:b/>
        </w:rPr>
        <w:t xml:space="preserve">Ergebnis: </w:t>
      </w:r>
      <w:r>
        <w:t>Nach PR1 und PR2 signifikante Verbesserungen: 6MWD (PR1: 37,0 m [29,2–44,8]; PR2: 27,0 m [19,2–34,8]), Quadrizeps-Kraft (PR1: 10,4 Nm; PR2: 8,6 Nm), CAT, SGRQ, HADS und COPM. Gewinne nach PR2 kleiner, aber klinisch bedeutsam. Alle Outcomes zwischen PR1 und PR2 signifikant rückläufig.</w:t>
      </w:r>
    </w:p>
    <w:p>
      <w:r>
        <w:rPr>
          <w:b/>
          <w:sz w:val="19"/>
        </w:rPr>
        <w:t xml:space="preserve">Übertragbarkeit: </w:t>
      </w:r>
      <w:r>
        <w:rPr>
          <w:sz w:val="19"/>
        </w:rPr>
        <w:t>Niederländisches spezialisiertes Rehabilitationszentrum, vergleichbares System, Ergebnisse übertragbar</w:t>
      </w:r>
    </w:p>
    <w:p>
      <w:r>
        <w:rPr>
          <w:color w:val="5A7D3A"/>
          <w:sz w:val="18"/>
        </w:rPr>
        <w:t>https://pubmed.ncbi.nlm.nih.gov/42828082/</w:t>
      </w:r>
    </w:p>
    <w:p>
      <w:pPr>
        <w:pStyle w:val="Heading2"/>
      </w:pPr>
      <w:r>
        <w:t>Theory of Mind: kognitives Endophänotyp bei juveniler myoklonischer Epilepsie?</w:t>
      </w:r>
    </w:p>
    <w:p>
      <w:r>
        <w:rPr>
          <w:i/>
          <w:color w:val="666666"/>
          <w:sz w:val="18"/>
        </w:rPr>
        <w:t>Crespo-Pimentel B et al.  ·  Epilepsia  ·  01.10.2026  ·  PMID 42821310</w:t>
      </w:r>
    </w:p>
    <w:p>
      <w:r>
        <w:t>Prospektive Querschnittsstudie mit 52 Patienten mit juveniler myoklonischer Epilepsie (JME), 13 nicht-betroffenen Geschwistern und 64 gesunden Kontrollen untersuchte soziale Kognition als mögliches Endophänotyp.</w:t>
      </w:r>
    </w:p>
    <w:p>
      <w:r>
        <w:rPr>
          <w:b/>
        </w:rPr>
        <w:t xml:space="preserve">Ergebnis: </w:t>
      </w:r>
      <w:r>
        <w:t>JME-Patienten zeigten reduzierte Leistung bei Aufgaben zu Mentalisieren über Überzeugungen (Faux Pas Test, Reading Mind in the Eyes). Geschwister unterschieden sich nicht signifikant von JME-Patienten oder Kontrollen. Selektive Beeinträchtigung des Mentalisierens über Überzeugungen in JME, aber keine Evidenz für Endophänotyp-Rolle in dieser Stichprobe.</w:t>
      </w:r>
    </w:p>
    <w:p>
      <w:r>
        <w:rPr>
          <w:b/>
          <w:sz w:val="19"/>
        </w:rPr>
        <w:t xml:space="preserve">Übertragbarkeit: </w:t>
      </w:r>
      <w:r>
        <w:rPr>
          <w:sz w:val="19"/>
        </w:rPr>
        <w:t>Österreich-basierte Studie, systemunabhängige neuropsychologische Fragestellung</w:t>
      </w:r>
    </w:p>
    <w:p>
      <w:r>
        <w:rPr>
          <w:color w:val="5A7D3A"/>
          <w:sz w:val="18"/>
        </w:rPr>
        <w:t>https://pubmed.ncbi.nlm.nih.gov/42821310/</w:t>
      </w:r>
    </w:p>
    <w:p>
      <w:pPr>
        <w:pStyle w:val="Heading2"/>
      </w:pPr>
      <w:r>
        <w:t>Schlechte Adhärenz zu evidenzbasierter kardiovaskulärer Prävention bei schweren psychischen Erkrankungen in Norwegen</w:t>
      </w:r>
    </w:p>
    <w:p>
      <w:r>
        <w:rPr>
          <w:i/>
          <w:color w:val="666666"/>
          <w:sz w:val="18"/>
        </w:rPr>
        <w:t>Larsen S et al.  ·  Nord J Psychiatry  ·  30.09.2026  ·  PMID 42813764</w:t>
      </w:r>
    </w:p>
    <w:p>
      <w:r>
        <w:t>Multizenter-Studie mit 230 Patienten (Schizophrenie/bipolare Störung oder Antipsychotika-Nutzer) untersuchte Adhärenz zu evidenzbasierter kardiovaskulärer Prävention mittels Fidelity Scale.</w:t>
      </w:r>
    </w:p>
    <w:p>
      <w:r>
        <w:rPr>
          <w:b/>
        </w:rPr>
        <w:t xml:space="preserve">Ergebnis: </w:t>
      </w:r>
      <w:r>
        <w:t>Seiten zeigten geringe Fidelity-Scores (höher bei Richtlinien als bei Praktiken). Alle Risikofaktoren hochprevalent: tägliches Rauchen/Schnuff 58,1%. Zwischen Fidelity und Patientenergebnissen keine signifikanten Assoziationen nach Adjustierung. Spezialistische Versorgungsanbieter zeigten niedrige Adhärenz zu evidenzbasierter kardiovaskulärer Risikomanagement-Praxis.</w:t>
      </w:r>
    </w:p>
    <w:p>
      <w:r>
        <w:rPr>
          <w:b/>
          <w:sz w:val="19"/>
        </w:rPr>
        <w:t xml:space="preserve">Übertragbarkeit: </w:t>
      </w:r>
      <w:r>
        <w:rPr>
          <w:sz w:val="19"/>
        </w:rPr>
        <w:t>Norwegische spezialisierte psychische Gesundheitsversorgung, vergleichbar mit deutschem System</w:t>
      </w:r>
    </w:p>
    <w:p>
      <w:r>
        <w:rPr>
          <w:color w:val="5A7D3A"/>
          <w:sz w:val="18"/>
        </w:rPr>
        <w:t>https://pubmed.ncbi.nlm.nih.gov/42813764/</w:t>
      </w:r>
    </w:p>
    <w:p>
      <w:pPr>
        <w:pStyle w:val="Heading1"/>
      </w:pPr>
      <w:r>
        <w:t>Aufgenommen am 04.10.2026</w:t>
      </w:r>
    </w:p>
    <w:p>
      <w:pPr>
        <w:pStyle w:val="Heading2"/>
      </w:pPr>
      <w:r>
        <w:t>Längere MOUD-Dauer senkt postpartales Überdosis- und Sterblichkeitsrisiko</w:t>
      </w:r>
    </w:p>
    <w:p>
      <w:r>
        <w:rPr>
          <w:i/>
          <w:color w:val="666666"/>
          <w:sz w:val="18"/>
        </w:rPr>
        <w:t>Kim A et al.  ·  JAMA Netw Open  ·  01.10.2026  ·  PMID 42826020</w:t>
      </w:r>
    </w:p>
    <w:p>
      <w:r>
        <w:t>Retrospektive Kohorte mit Tennessee-Medicaid-Daten zu Schwangerschaften mit Medikamentöser Opioid-Abhängigkeitsbehandlung (MOUD) und postpartalem Überdosis-/Mortalitätsrisiko.</w:t>
      </w:r>
    </w:p>
    <w:p>
      <w:r>
        <w:rPr>
          <w:b/>
        </w:rPr>
        <w:t xml:space="preserve">Ergebnis: </w:t>
      </w:r>
      <w:r>
        <w:t>Unter 9.360 Schwangerschaften betrug die 1-Jahres-Postpartum-Mortalität/-Überdosisrate 1,58% (148 Fälle). Längere MOUD-Dauer während Schwangerschaft assoziiert mit niedrigerem Risiko: adjustierte Hazard Ratio für 132 vs. 1 Tag MOUD-Versorgung 0,52 (95%-KI 0,31–0,88).</w:t>
      </w:r>
    </w:p>
    <w:p>
      <w:r>
        <w:rPr>
          <w:b/>
          <w:sz w:val="19"/>
        </w:rPr>
        <w:t xml:space="preserve">Übertragbarkeit: </w:t>
      </w:r>
      <w:r>
        <w:rPr>
          <w:sz w:val="19"/>
        </w:rPr>
        <w:t>US-Medicaid-Daten; Fragestellung zur kontinuierlichen Opioid-Substitutionsbehandlung systemunabhängig relevant.</w:t>
      </w:r>
    </w:p>
    <w:p>
      <w:r>
        <w:rPr>
          <w:color w:val="5A7D3A"/>
          <w:sz w:val="18"/>
        </w:rPr>
        <w:t>https://pubmed.ncbi.nlm.nih.gov/42826020/</w:t>
      </w:r>
    </w:p>
    <w:p>
      <w:pPr>
        <w:pStyle w:val="Heading2"/>
      </w:pPr>
      <w:r>
        <w:t>Regionale Disparitäten beim direkten Rettungsdienst-Transport zu geriatrischen Notfallstationen</w:t>
      </w:r>
    </w:p>
    <w:p>
      <w:r>
        <w:rPr>
          <w:i/>
          <w:color w:val="666666"/>
          <w:sz w:val="18"/>
        </w:rPr>
        <w:t>Varg S et al.  ·  BMC Geriatr  ·  02.10.2026  ·  PMID 42823763</w:t>
      </w:r>
    </w:p>
    <w:p>
      <w:r>
        <w:t>Schwedische Register-Studie zu geografischen Unterschieden bei direkter Rettungsdienst-Zuweisung älterer Patienten (≥65J.) zu Notaufnahmen versus geriatrischen Spezialstationen.</w:t>
      </w:r>
    </w:p>
    <w:p>
      <w:r>
        <w:rPr>
          <w:b/>
        </w:rPr>
        <w:t xml:space="preserve">Ergebnis: </w:t>
      </w:r>
      <w:r>
        <w:t>Von 8.208 älteren Patienten wurden 7% (603) direkt zu geriatrischen Stationen transportiert. Zwischen Krankenhauseinzugsgebieten stark variierend (4–21%). Nach Adjustierung reduzierte sich Varianz um 41%, aber erhebliche regionale Unterschiede blieben (MOR=1,54).</w:t>
      </w:r>
    </w:p>
    <w:p>
      <w:r>
        <w:rPr>
          <w:b/>
          <w:sz w:val="19"/>
        </w:rPr>
        <w:t xml:space="preserve">Übertragbarkeit: </w:t>
      </w:r>
      <w:r>
        <w:rPr>
          <w:sz w:val="19"/>
        </w:rPr>
        <w:t>Schweden (Steuerfinanzierung); Prozessqualität und Zugangssteuerung in Primärversorgung auf deutsche Kontexte nur eingeschränkt übertragbar.</w:t>
      </w:r>
    </w:p>
    <w:p>
      <w:r>
        <w:rPr>
          <w:color w:val="5A7D3A"/>
          <w:sz w:val="18"/>
        </w:rPr>
        <w:t>https://pubmed.ncbi.nlm.nih.gov/42823763/</w:t>
      </w:r>
    </w:p>
    <w:p>
      <w:pPr>
        <w:pStyle w:val="Heading2"/>
      </w:pPr>
      <w:r>
        <w:t>Aktualisiertes WHO-STEPS-Modul zur Mundhygiene-Surveillance in der Bevölkerung</w:t>
      </w:r>
    </w:p>
    <w:p>
      <w:r>
        <w:rPr>
          <w:i/>
          <w:color w:val="666666"/>
          <w:sz w:val="18"/>
        </w:rPr>
        <w:t>Rendell N et al.  ·  Bull World Health Organ  ·  01.10.2026  ·  PMID 42820175</w:t>
      </w:r>
    </w:p>
    <w:p>
      <w:r>
        <w:t>WHO-Entwicklung eines aktualisierten Moduls zur Routine-Überwachung von Mundhygieneproblemen in Bevölkerungsumfragen zu nichtübertragbaren Erkrankungen.</w:t>
      </w:r>
    </w:p>
    <w:p>
      <w:r>
        <w:rPr>
          <w:b/>
        </w:rPr>
        <w:t xml:space="preserve">Ergebnis: </w:t>
      </w:r>
      <w:r>
        <w:t>Neues STEPS-Modul ergänzt bisherige Selbstangaben durch klinische Bewertungskomponente. Kann von Zahn- und Nicht-Zahnfachpersonal nach kurzer Schulung durchgeführt werden. Praktisch skalierbar zur Schließung persistierender Überwachungslücken.</w:t>
      </w:r>
    </w:p>
    <w:p>
      <w:r>
        <w:rPr>
          <w:b/>
          <w:sz w:val="19"/>
        </w:rPr>
        <w:t xml:space="preserve">Übertragbarkeit: </w:t>
      </w:r>
      <w:r>
        <w:rPr>
          <w:sz w:val="19"/>
        </w:rPr>
        <w:t>WHO-Empfehlung für globale Anwendbarkeit; für deutsche Public-Health-Surveillance relevant.</w:t>
      </w:r>
    </w:p>
    <w:p>
      <w:r>
        <w:rPr>
          <w:color w:val="5A7D3A"/>
          <w:sz w:val="18"/>
        </w:rPr>
        <w:t>https://pubmed.ncbi.nlm.nih.gov/42820175/</w:t>
      </w:r>
    </w:p>
    <w:p>
      <w:pPr>
        <w:pStyle w:val="Heading2"/>
      </w:pPr>
      <w:r>
        <w:t>Standardisierte Entlassungskriterien von Intensivstationen: Pilotimplementierung</w:t>
      </w:r>
    </w:p>
    <w:p>
      <w:r>
        <w:rPr>
          <w:i/>
          <w:color w:val="666666"/>
          <w:sz w:val="18"/>
        </w:rPr>
        <w:t>Hiller M et al.  ·  BMC Health Serv Res  ·  28.09.2026  ·  PMID 42811355</w:t>
      </w:r>
    </w:p>
    <w:p>
      <w:r>
        <w:t>Deutsche prospektive Pilotstudie zur Implementierbarkeit und klinischen Nutzbarkeit eines standardisierten Satzes von ICU-Entlassungskriterien in zwei Kliniken.</w:t>
      </w:r>
    </w:p>
    <w:p>
      <w:r>
        <w:rPr>
          <w:b/>
        </w:rPr>
        <w:t xml:space="preserve">Ergebnis: </w:t>
      </w:r>
      <w:r>
        <w:t>Elf patientenspezifische und organisationsspezifische Kriterien zeigten &gt;80% Completion bei Entlassungsentscheidungen und wurden als Kern-Set definiert. Organisationsspezifische Kriterien sollten je Klinik, Patientengruppen und Empfängerabteilungen angepasst werden.</w:t>
      </w:r>
    </w:p>
    <w:p>
      <w:r>
        <w:rPr>
          <w:b/>
          <w:sz w:val="19"/>
        </w:rPr>
        <w:t xml:space="preserve">Übertragbarkeit: </w:t>
      </w:r>
      <w:r>
        <w:rPr>
          <w:sz w:val="19"/>
        </w:rPr>
        <w:t>Deutsche Routinedaten aus zwei ICU-Stationen; direkt auf deutsches Versorgungssystem übertragbar.</w:t>
      </w:r>
    </w:p>
    <w:p>
      <w:r>
        <w:rPr>
          <w:color w:val="5A7D3A"/>
          <w:sz w:val="18"/>
        </w:rPr>
        <w:t>https://pubmed.ncbi.nlm.nih.gov/42811355/</w:t>
      </w:r>
    </w:p>
    <w:p>
      <w:pPr>
        <w:pStyle w:val="Heading2"/>
      </w:pPr>
      <w:r>
        <w:t>Arbeitgeberperspektiven auf Arbeitsplatzinklusion bei psychischen Erkrankungen</w:t>
      </w:r>
    </w:p>
    <w:p>
      <w:r>
        <w:rPr>
          <w:i/>
          <w:color w:val="666666"/>
          <w:sz w:val="18"/>
        </w:rPr>
        <w:t>Krumm S et al.  ·  BMC Health Serv Res  ·  28.09.2026  ·  PMID 42811348</w:t>
      </w:r>
    </w:p>
    <w:p>
      <w:r>
        <w:t>Qualitative Interview-Studie mit 29 deutschen Arbeitgebern zu Sichtweisen auf Inklusion von Arbeitnehmern mit psychischen Problemen.</w:t>
      </w:r>
    </w:p>
    <w:p>
      <w:r>
        <w:rPr>
          <w:b/>
        </w:rPr>
        <w:t xml:space="preserve">Ergebnis: </w:t>
      </w:r>
      <w:r>
        <w:t>Arbeitgeber beschrieben ambivalente Orientierungen: Normalisierungstrends einerseits, aber Verunsicherung bei Arbeitsorganisation, Teamdynamiken und Vorhersehbarkeit andererseits. Offenbarung, Eigenverantwortung und gegenseitiges Vertrauen wurden als zentral für Unterstützung betont.</w:t>
      </w:r>
    </w:p>
    <w:p>
      <w:r>
        <w:rPr>
          <w:b/>
          <w:sz w:val="19"/>
        </w:rPr>
        <w:t xml:space="preserve">Übertragbarkeit: </w:t>
      </w:r>
      <w:r>
        <w:rPr>
          <w:sz w:val="19"/>
        </w:rPr>
        <w:t>Deutsche Qualitätsstudie; direkt für deutsche Arbeitsmarkt- und Versorgungspolitik relevant.</w:t>
      </w:r>
    </w:p>
    <w:p>
      <w:r>
        <w:rPr>
          <w:color w:val="5A7D3A"/>
          <w:sz w:val="18"/>
        </w:rPr>
        <w:t>https://pubmed.ncbi.nlm.nih.gov/42811348/</w:t>
      </w:r>
    </w:p>
    <w:p>
      <w:pPr>
        <w:pStyle w:val="Heading2"/>
      </w:pPr>
      <w:r>
        <w:t>Radiotherapie-Personalnotstand UK: Reforming der Zertifizierung zur Schließung der Lücke</w:t>
      </w:r>
    </w:p>
    <w:p>
      <w:r>
        <w:rPr>
          <w:i/>
          <w:color w:val="666666"/>
          <w:sz w:val="18"/>
        </w:rPr>
        <w:t>Vulpe H et al.  ·  Eur J Cancer  ·  16.09.2026  ·  PMID 42810149</w:t>
      </w:r>
    </w:p>
    <w:p>
      <w:r>
        <w:t>Politische Analyse zur Personalknappheit in der klinischen Onkologie/Strahlentherapie im UK und Vorschlag für Regulierungsreform zur internationalen Rekrutierung.</w:t>
      </w:r>
    </w:p>
    <w:p>
      <w:r>
        <w:rPr>
          <w:b/>
        </w:rPr>
        <w:t xml:space="preserve">Ergebnis: </w:t>
      </w:r>
      <w:r>
        <w:t>17% Unterbesetzung in klinischer Onkologie heute, 26% prognostiziert bis 2030. UK-Dualausbildung (Radiotherapie + Systemtherapie) behindert Rekrutierung international trainierter Radiation Oncologists aus Systemen mit separaten Fachrichtungen.</w:t>
      </w:r>
    </w:p>
    <w:p>
      <w:r>
        <w:rPr>
          <w:b/>
          <w:sz w:val="19"/>
        </w:rPr>
        <w:t xml:space="preserve">Übertragbarkeit: </w:t>
      </w:r>
      <w:r>
        <w:rPr>
          <w:sz w:val="19"/>
        </w:rPr>
        <w:t>UK-Healthcare-System mit NHS; Regulierungsfragen systemabhängig, aber Workforceplanung grundsätzlich relevant.</w:t>
      </w:r>
    </w:p>
    <w:p>
      <w:r>
        <w:rPr>
          <w:color w:val="5A7D3A"/>
          <w:sz w:val="18"/>
        </w:rPr>
        <w:t>https://pubmed.ncbi.nlm.nih.gov/42810149/</w:t>
      </w:r>
    </w:p>
    <w:p>
      <w:pPr>
        <w:pStyle w:val="Heading2"/>
      </w:pPr>
      <w:r>
        <w:t>Geschlechter- und Diversitätsfaktoren in psychiatrischer Krankenhausbehandlung: Studienprotokoll PSY-DIVER</w:t>
      </w:r>
    </w:p>
    <w:p>
      <w:r>
        <w:rPr>
          <w:i/>
          <w:color w:val="666666"/>
          <w:sz w:val="18"/>
        </w:rPr>
        <w:t>Peters SJ et al.  ·  BMC Psychiatry  ·  24.09.2026  ·  PMID 42806324</w:t>
      </w:r>
    </w:p>
    <w:p>
      <w:r>
        <w:t>Deutsches Studienprotokoll zur Untersuchung von Geschlechts- und Diversitätsfaktoren (Alter, Migration, sexuelle Orientierung, Religion, SES) in der stationären psychiatrischen Versorgung.</w:t>
      </w:r>
    </w:p>
    <w:p>
      <w:r>
        <w:rPr>
          <w:b/>
        </w:rPr>
        <w:t xml:space="preserve">Ergebnis: </w:t>
      </w:r>
      <w:r>
        <w:t>Geplantes Mixed-Methods-Design mit Routinedaten-Analyse (500.000 stationäre Fälle 2015–2024), 31 Interviews und Online-Befragungen, Delphi-Prozess. NLP-gestützte Extraktion von Diversitätsvariablen aus klinischen Texten.</w:t>
      </w:r>
    </w:p>
    <w:p>
      <w:r>
        <w:rPr>
          <w:b/>
          <w:sz w:val="19"/>
        </w:rPr>
        <w:t xml:space="preserve">Übertragbarkeit: </w:t>
      </w:r>
      <w:r>
        <w:rPr>
          <w:sz w:val="19"/>
        </w:rPr>
        <w:t>Deutsche Studienplanung, neun psychiatrische LVR-Kliniken; hochgradig auf deutsches System übertragbar.</w:t>
      </w:r>
    </w:p>
    <w:p>
      <w:r>
        <w:rPr>
          <w:color w:val="5A7D3A"/>
          <w:sz w:val="18"/>
        </w:rPr>
        <w:t>https://pubmed.ncbi.nlm.nih.gov/42806324/</w:t>
      </w:r>
    </w:p>
    <w:p>
      <w:pPr>
        <w:pStyle w:val="Heading1"/>
      </w:pPr>
      <w:r>
        <w:t>Aufgenommen am 03.10.2026</w:t>
      </w:r>
    </w:p>
    <w:p>
      <w:pPr>
        <w:pStyle w:val="Heading2"/>
      </w:pPr>
      <w:r>
        <w:t>Rural medical students in China: nur 23% planen längerfristiges Bleiben im Landdienst</w:t>
      </w:r>
    </w:p>
    <w:p>
      <w:r>
        <w:rPr>
          <w:i/>
          <w:color w:val="666666"/>
          <w:sz w:val="18"/>
        </w:rPr>
        <w:t>Zhang X et al.  ·  BMC Health Serv Res  ·  21.09.2026  ·  PMID 42823771</w:t>
      </w:r>
    </w:p>
    <w:p>
      <w:r>
        <w:t>Qualitative Studie zu Bleibechancen ländlich ausgebildeter Medizinstudierender in chinesischen Stadtgesundheitszentren nach Pflichtdienst.</w:t>
      </w:r>
    </w:p>
    <w:p>
      <w:r>
        <w:rPr>
          <w:b/>
        </w:rPr>
        <w:t xml:space="preserve">Ergebnis: </w:t>
      </w:r>
      <w:r>
        <w:t>Von 26 befragten Studierenden wollten nur 23,1% (6/26) über die vorgeschriebene Dienstzeit hinaus bleiben. Führungsunterstützung erwies sich als prominentester Faktor für Unterschiede zwischen Bleibern und Weggehern. Work-Family-Balance war Erleichterungsfaktor. Karrieremobilitätsmechanismen wurden als unterentwickelt wahrgenommen.</w:t>
      </w:r>
    </w:p>
    <w:p>
      <w:r>
        <w:rPr>
          <w:b/>
          <w:sz w:val="19"/>
        </w:rPr>
        <w:t xml:space="preserve">Übertragbarkeit: </w:t>
      </w:r>
      <w:r>
        <w:rPr>
          <w:sz w:val="19"/>
        </w:rPr>
        <w:t>Nur bedingt: ländliche Kontexte in China; Fachkräftemangel aber global relevant.</w:t>
      </w:r>
    </w:p>
    <w:p>
      <w:r>
        <w:rPr>
          <w:color w:val="5A7D3A"/>
          <w:sz w:val="18"/>
        </w:rPr>
        <w:t>https://pubmed.ncbi.nlm.nih.gov/42823771/</w:t>
      </w:r>
    </w:p>
    <w:p>
      <w:pPr>
        <w:pStyle w:val="Heading2"/>
      </w:pPr>
      <w:r>
        <w:t>Specialist-led interprofessional weaning program reduces failed weaning in high-risk ICU patients</w:t>
      </w:r>
    </w:p>
    <w:p>
      <w:r>
        <w:rPr>
          <w:i/>
          <w:color w:val="666666"/>
          <w:sz w:val="18"/>
        </w:rPr>
        <w:t>Trudzinski FC et al.  ·  Crit Care  ·  30.09.2026  ·  PMID 42823746</w:t>
      </w:r>
    </w:p>
    <w:p>
      <w:r>
        <w:t>Deutsche Studie zur Wirksamkeit eines spezialisierten, interprofessionellen Beatmungsentwöhnungsprogramms bei intensivpflichtigen Patienten mit hohemRisiko.</w:t>
      </w:r>
    </w:p>
    <w:p>
      <w:r>
        <w:rPr>
          <w:b/>
        </w:rPr>
        <w:t xml:space="preserve">Ergebnis: </w:t>
      </w:r>
      <w:r>
        <w:t>In der propensity-score-matched Analyse wiesen Interventionspatienten höhere Quoten erfolgreicher Beatmungsentwöhnung auf (58,3% vs. 46,4%, OR 2,90; 95%-KI 1,61–5,24; p&lt;0,001). Im unadjustierten primären Analyseplan erreichte der Unterschied keine statistische Signifikanz (OR 1,46; p=0,057). Die Machbarkeit wurde demonstriert, mit 16,3% der Patienten in spezialisierte Weaning-Zentren verlegt.</w:t>
      </w:r>
    </w:p>
    <w:p>
      <w:r>
        <w:rPr>
          <w:b/>
          <w:sz w:val="19"/>
        </w:rPr>
        <w:t xml:space="preserve">Übertragbarkeit: </w:t>
      </w:r>
      <w:r>
        <w:rPr>
          <w:sz w:val="19"/>
        </w:rPr>
        <w:t>Deutsche Daten, ICU-Verweildauer und Beatmungsdauer sind zentrale Versorgungsergebnisse.</w:t>
      </w:r>
    </w:p>
    <w:p>
      <w:r>
        <w:rPr>
          <w:color w:val="5A7D3A"/>
          <w:sz w:val="18"/>
        </w:rPr>
        <w:t>https://pubmed.ncbi.nlm.nih.gov/42823746/</w:t>
      </w:r>
    </w:p>
    <w:p>
      <w:pPr>
        <w:pStyle w:val="Heading2"/>
      </w:pPr>
      <w:r>
        <w:t>Globale ökonomische Last der Schizophrenie: 243 Milliarden USD im Jahr 2019</w:t>
      </w:r>
    </w:p>
    <w:p>
      <w:r>
        <w:rPr>
          <w:i/>
          <w:color w:val="666666"/>
          <w:sz w:val="18"/>
        </w:rPr>
        <w:t>Welter LS et al.  ·  Int J Ment Health Syst  ·  29.09.2026  ·  PMID 42823740</w:t>
      </w:r>
    </w:p>
    <w:p>
      <w:r>
        <w:t>Health-Economic-Modeling-Studie zur globalen sozioökonomischen Last der Schizophrenie 2019 über 204 Länder (direkte, indirekte und informale Pflegekosten).</w:t>
      </w:r>
    </w:p>
    <w:p>
      <w:r>
        <w:rPr>
          <w:b/>
        </w:rPr>
        <w:t xml:space="preserve">Ergebnis: </w:t>
      </w:r>
      <w:r>
        <w:t>22,1 Millionen Erwachsene (0,39% Prävalenz) lebten mit Schizophrenie 2019. Gesamtkosten: 243,2 Milliarden USD (Kaufkraftparität): 47% direkte Kosten, 29% indirekt (Produktivitätsverluste), 24% informale Pflege. Obere-Mittel-Länder trugen proportional zu BIP am meisten, Hocheinkommensländer in absoluten und Pro-Kopf-Kosten am meisten. Regionale Heterogenität erheblich.</w:t>
      </w:r>
    </w:p>
    <w:p>
      <w:r>
        <w:rPr>
          <w:b/>
          <w:sz w:val="19"/>
        </w:rPr>
        <w:t xml:space="preserve">Übertragbarkeit: </w:t>
      </w:r>
      <w:r>
        <w:rPr>
          <w:sz w:val="19"/>
        </w:rPr>
        <w:t>Globale Modellierung; für Versorgungsforschung Deutschland relevant zur Kostenlast-Abschätzung.</w:t>
      </w:r>
    </w:p>
    <w:p>
      <w:r>
        <w:rPr>
          <w:color w:val="5A7D3A"/>
          <w:sz w:val="18"/>
        </w:rPr>
        <w:t>https://pubmed.ncbi.nlm.nih.gov/42823740/</w:t>
      </w:r>
    </w:p>
    <w:p>
      <w:pPr>
        <w:pStyle w:val="Heading2"/>
      </w:pPr>
      <w:r>
        <w:t>Muskel-Selbstmanagement und virtuelle Physiotherapie in Saudi-Arabien: Kulturelle Anpassungen erforderlich</w:t>
      </w:r>
    </w:p>
    <w:p>
      <w:r>
        <w:rPr>
          <w:i/>
          <w:color w:val="666666"/>
          <w:sz w:val="18"/>
        </w:rPr>
        <w:t>AlMuhana N et al.  ·  BMC Health Serv Res  ·  28.09.2026  ·  PMID 42823682</w:t>
      </w:r>
    </w:p>
    <w:p>
      <w:r>
        <w:t>Qualitative Studie (8 Fokusgruppen, n=36) zu Muskel-Selbstmanagement und Akzeptanz virtueller Physiotherapie in Saudi-Arabien.</w:t>
      </w:r>
    </w:p>
    <w:p>
      <w:r>
        <w:rPr>
          <w:b/>
        </w:rPr>
        <w:t xml:space="preserve">Ergebnis: </w:t>
      </w:r>
      <w:r>
        <w:t>Patienten praktizieren selbstgesteuertes Management wegen verzögerter professioneller Versorgung. Barrieren: strukturelle, psychologische, relationale Faktoren. Neu: Kulturelle Lücke – Patienten brauchten Anleitung zum Anpassen von Salah (islamisches Gebet) bei Muskelschmerzen. Hybrida Versorgung wurde bevorzugt (virtuelle Nachsorge nach In-Person-Assessment), nicht virtuell von Anfang an.</w:t>
      </w:r>
    </w:p>
    <w:p>
      <w:r>
        <w:rPr>
          <w:b/>
          <w:sz w:val="19"/>
        </w:rPr>
        <w:t xml:space="preserve">Übertragbarkeit: </w:t>
      </w:r>
      <w:r>
        <w:rPr>
          <w:sz w:val="19"/>
        </w:rPr>
        <w:t>Saudi-Arabien; systemische Übertragbarkeit limitiert, aber Befunde zu Selbstmanagement und virtueller Versorgung aussagekräftig.</w:t>
      </w:r>
    </w:p>
    <w:p>
      <w:r>
        <w:rPr>
          <w:color w:val="5A7D3A"/>
          <w:sz w:val="18"/>
        </w:rPr>
        <w:t>https://pubmed.ncbi.nlm.nih.gov/42823682/</w:t>
      </w:r>
    </w:p>
    <w:p>
      <w:pPr>
        <w:pStyle w:val="Heading2"/>
      </w:pPr>
      <w:r>
        <w:t>mHealth-gestützte Integrated Care für ältere Vorhofflimmernpatienten: Kein Vorteil bei optimaler Baseline</w:t>
      </w:r>
    </w:p>
    <w:p>
      <w:r>
        <w:rPr>
          <w:i/>
          <w:color w:val="666666"/>
          <w:sz w:val="18"/>
        </w:rPr>
        <w:t>Lip GYH et al.  ·  Lancet Reg Health Eur  ·  30.08.2026  ·  PMID 42819749</w:t>
      </w:r>
    </w:p>
    <w:p>
      <w:r>
        <w:t>AFFIRMO cluster-RCT in 6 europäischen Ländern zu iABC-System (Integrated Care mit CGA) vs. usual care bei älteren multimorbiden Vorhofflimmernpatienten.</w:t>
      </w:r>
    </w:p>
    <w:p>
      <w:r>
        <w:rPr>
          <w:b/>
        </w:rPr>
        <w:t xml:space="preserve">Ergebnis: </w:t>
      </w:r>
      <w:r>
        <w:t>1.260 Patienten (Alter 74 Jahre, CHA₂DS₂-VASc 4). Primärer Endpunkt ungeplante Hospitalisierung: 17,1% (Intervention) vs. 18,2% (usual care), OR 0,95 (95%-KI 0,61–1,49; p=0,84). App-Nutzung suboptimal (68,5% nur 1/3 der Beobachtungszeit). Günstige Baseline-Compliance (97,3% Antikoagulation).</w:t>
      </w:r>
    </w:p>
    <w:p>
      <w:r>
        <w:rPr>
          <w:b/>
          <w:sz w:val="19"/>
        </w:rPr>
        <w:t xml:space="preserve">Übertragbarkeit: </w:t>
      </w:r>
      <w:r>
        <w:rPr>
          <w:sz w:val="19"/>
        </w:rPr>
        <w:t>Mehrländer-Studie mit europäischem Kontext, aber System steuerfinanziert; begrenzte Übertragbarkeit auf deutsches Sozialversicherungssystem.</w:t>
      </w:r>
    </w:p>
    <w:p>
      <w:r>
        <w:rPr>
          <w:color w:val="5A7D3A"/>
          <w:sz w:val="18"/>
        </w:rPr>
        <w:t>https://pubmed.ncbi.nlm.nih.gov/42819749/</w:t>
      </w:r>
    </w:p>
    <w:p>
      <w:pPr>
        <w:pStyle w:val="Heading2"/>
      </w:pPr>
      <w:r>
        <w:t>Blutbasierte Screening-Programme am Arbeitsplatz: Ökonomische Ergebnisse inkonsistent</w:t>
      </w:r>
    </w:p>
    <w:p>
      <w:r>
        <w:rPr>
          <w:i/>
          <w:color w:val="666666"/>
          <w:sz w:val="18"/>
        </w:rPr>
        <w:t>Swadźba D et al.  ·  BMC Health Serv Res  ·  29.09.2026  ·  PMID 42816856</w:t>
      </w:r>
    </w:p>
    <w:p>
      <w:r>
        <w:t>Systematischer Review (56 Studien, überwiegend US-Beobachtungsdaten) zu wirtschaftlichen und Produktivitätsergebnissen von Workplace-Health-Programmen mit Blutscreening.</w:t>
      </w:r>
    </w:p>
    <w:p>
      <w:r>
        <w:rPr>
          <w:b/>
        </w:rPr>
        <w:t xml:space="preserve">Ergebnis: </w:t>
      </w:r>
      <w:r>
        <w:t>Gesundheitskosten: 21 von 29 Studien zeigten günstige Ergebnisse. Return-on-Investment: einheitlich positiv (20 Studien), ohne Abschwächung mit Studienqualität. Absenteeismus: 23 Studien, inkonsistent. Präsentismus/Fluktuation: selten gemessen. Günstiger Effekt nur bei strukturiert begleiteten Programmen, nicht Screening allein.</w:t>
      </w:r>
    </w:p>
    <w:p>
      <w:r>
        <w:rPr>
          <w:b/>
          <w:sz w:val="19"/>
        </w:rPr>
        <w:t xml:space="preserve">Übertragbarkeit: </w:t>
      </w:r>
      <w:r>
        <w:rPr>
          <w:sz w:val="19"/>
        </w:rPr>
        <w:t>Überwiegend US-Daten; Fragestellung aber systemunabhängig relevant für Betriebliche Gesundheitsförderung.</w:t>
      </w:r>
    </w:p>
    <w:p>
      <w:r>
        <w:rPr>
          <w:color w:val="5A7D3A"/>
          <w:sz w:val="18"/>
        </w:rPr>
        <w:t>https://pubmed.ncbi.nlm.nih.gov/42816856/</w:t>
      </w:r>
    </w:p>
    <w:p>
      <w:pPr>
        <w:pStyle w:val="Heading2"/>
      </w:pPr>
      <w:r>
        <w:t>Palliativmedizin bei fortgeschrittenem Krebs: MA-Versicherte nutzen mehr, aber bekommen weniger Chemotherapie</w:t>
      </w:r>
    </w:p>
    <w:p>
      <w:r>
        <w:rPr>
          <w:i/>
          <w:color w:val="666666"/>
          <w:sz w:val="18"/>
        </w:rPr>
        <w:t>Hu X et al.  ·  JAMA Netw Open  ·  01.09.2026  ·  PMID 42814462</w:t>
      </w:r>
    </w:p>
    <w:p>
      <w:r>
        <w:t>Kohortenstudie mit SEER/Medicare-Daten zu Palliativmedizin-, Systemtherapie- und Hospiz-Nutzung bei fortgeschrittenem Krebs (Mammakarzinom, CRC, Lungenkarzinom, Pankreaskarzinom, Prostatakarzinom) in Medicare Advantage (MA) vs. Traditional Medicare (TM), 2016–2021.</w:t>
      </w:r>
    </w:p>
    <w:p>
      <w:r>
        <w:rPr>
          <w:b/>
        </w:rPr>
        <w:t xml:space="preserve">Ergebnis: </w:t>
      </w:r>
      <w:r>
        <w:t>135.402 Patienten (32,3% MA, 67,7% TM). MA-Patienten: höhere 6-Monats-Kumulativ-Inzidenz Palliativmedizin (13,3% vs. 9,3%; aHR 1,39 [95%-KI 1,35–1,44]; p&lt;0,001), vor allem HMO-Pläne (aHR 1,66). Nach Oncologist-Matching: PA-Unterschied aufgelöst (aHR 1,05; p=0,19), aber MA-Patienten hatten weniger Systemtherapie (−5,4 Prozentpunkte) und mehr Hospiz (+3,4 Prozentpunkte), persistent nach Matching.</w:t>
      </w:r>
    </w:p>
    <w:p>
      <w:r>
        <w:rPr>
          <w:b/>
          <w:sz w:val="19"/>
        </w:rPr>
        <w:t xml:space="preserve">Übertragbarkeit: </w:t>
      </w:r>
      <w:r>
        <w:rPr>
          <w:sz w:val="19"/>
        </w:rPr>
        <w:t>US-Daten; Frage zur Versorgungssteuerung systemabhängig, aber Palliativmedizin-Integration relevant.</w:t>
      </w:r>
    </w:p>
    <w:p>
      <w:r>
        <w:rPr>
          <w:color w:val="5A7D3A"/>
          <w:sz w:val="18"/>
        </w:rPr>
        <w:t>https://pubmed.ncbi.nlm.nih.gov/42814462/</w:t>
      </w:r>
    </w:p>
    <w:p>
      <w:pPr>
        <w:pStyle w:val="Heading1"/>
      </w:pPr>
      <w:r>
        <w:t>Aufgenommen am 02.10.2026</w:t>
      </w:r>
    </w:p>
    <w:p>
      <w:pPr>
        <w:pStyle w:val="Heading2"/>
      </w:pPr>
      <w:r>
        <w:t>Kosteffektivität konservativer Sauerstofftherapie bei beatmeten Intensivpatienten</w:t>
      </w:r>
    </w:p>
    <w:p>
      <w:r>
        <w:rPr>
          <w:i/>
          <w:color w:val="666666"/>
          <w:sz w:val="18"/>
        </w:rPr>
        <w:t>Zhu Z et al.  ·  Value Health  ·  01.10.2026  ·  PMID 42822832</w:t>
      </w:r>
    </w:p>
    <w:p>
      <w:r>
        <w:t>Eine ökonomische Evaluation der UK-ROX-Studie verglich konservative versus übliche Sauerstofftherapie bei invasiv beatmeten Patienten hinsichtlich Kosten, Lebensqualität und QALY-Gewinne über 90 Tage.</w:t>
      </w:r>
    </w:p>
    <w:p>
      <w:r>
        <w:rPr>
          <w:b/>
        </w:rPr>
        <w:t xml:space="preserve">Ergebnis: </w:t>
      </w:r>
      <w:r>
        <w:t>Konservative Sauerstofftherapie war kostensparend (inkrementelle Kosten −968 £, 95% KI −2279–342 £) mit ähnlichen QALY-Gewinnen (inkrementell 0,001, 95% KI −0,002–0,003); das inkrementelle Nettomonetäre Benefit betrug 979 £, beide Schätzungen aber mit erheblicher Unsicherheit.</w:t>
      </w:r>
    </w:p>
    <w:p>
      <w:r>
        <w:rPr>
          <w:b/>
          <w:sz w:val="19"/>
        </w:rPr>
        <w:t xml:space="preserve">Übertragbarkeit: </w:t>
      </w:r>
      <w:r>
        <w:rPr>
          <w:sz w:val="19"/>
        </w:rPr>
        <w:t>UK-Daten; Fragestellung zu ICU-Managementprozessen und Kosteneffektivität systemunabhängig bedeutsam</w:t>
      </w:r>
    </w:p>
    <w:p>
      <w:r>
        <w:rPr>
          <w:color w:val="5A7D3A"/>
          <w:sz w:val="18"/>
        </w:rPr>
        <w:t>https://pubmed.ncbi.nlm.nih.gov/42822832/</w:t>
      </w:r>
    </w:p>
    <w:p>
      <w:pPr>
        <w:pStyle w:val="Heading2"/>
      </w:pPr>
      <w:r>
        <w:t>Sonelokimab bei moderater bis schwerer Hidradenitis suppurativa</w:t>
      </w:r>
    </w:p>
    <w:p>
      <w:r>
        <w:rPr>
          <w:i/>
          <w:color w:val="666666"/>
          <w:sz w:val="18"/>
        </w:rPr>
        <w:t>Kimball AB et al.  ·  J Am Acad Dermatol  ·  01.10.2026  ·  PMID 42822776</w:t>
      </w:r>
    </w:p>
    <w:p>
      <w:r>
        <w:t>Phase-2-Studie (MIRA) zur Wirksamkeit und Sicherheit des IL-17A/F-inhibierenden Nanobody Sonelokimab versus Placebo bei 234 Patienten mit Hidradenitis suppurativa.</w:t>
      </w:r>
    </w:p>
    <w:p>
      <w:r>
        <w:rPr>
          <w:b/>
        </w:rPr>
        <w:t xml:space="preserve">Ergebnis: </w:t>
      </w:r>
      <w:r>
        <w:t>Sonelokimab 120 mg erreichte HiSCR75 bei 43% (p&lt;0,001) und 240 mg bei 35% (p=0,007) versus Placebo 15%; Placebo-adjustierte Response bei Woche 12 und Erhalt oder Verbesserung bis Woche 24; keine neuen Sicherheitssignale.</w:t>
      </w:r>
    </w:p>
    <w:p>
      <w:r>
        <w:rPr>
          <w:b/>
          <w:sz w:val="19"/>
        </w:rPr>
        <w:t xml:space="preserve">Übertragbarkeit: </w:t>
      </w:r>
      <w:r>
        <w:rPr>
          <w:sz w:val="19"/>
        </w:rPr>
        <w:t>Internationale Studie; neue therapeutische Option, Fragestellung zur klinischen Wirksamkeit systemunabhängig</w:t>
      </w:r>
    </w:p>
    <w:p>
      <w:r>
        <w:rPr>
          <w:color w:val="5A7D3A"/>
          <w:sz w:val="18"/>
        </w:rPr>
        <w:t>https://pubmed.ncbi.nlm.nih.gov/42822776/</w:t>
      </w:r>
    </w:p>
    <w:p>
      <w:pPr>
        <w:pStyle w:val="Heading2"/>
      </w:pPr>
      <w:r>
        <w:t>Insulindosierung im Alltag: Kohlenhydratberechnung bei Typ-1-Diabetes</w:t>
      </w:r>
    </w:p>
    <w:p>
      <w:r>
        <w:rPr>
          <w:i/>
          <w:color w:val="666666"/>
          <w:sz w:val="18"/>
        </w:rPr>
        <w:t>Everett EM et al.  ·  Endocr Pract  ·  01.10.2026  ·  PMID 42822598</w:t>
      </w:r>
    </w:p>
    <w:p>
      <w:r>
        <w:t>Versorgungsforschungsstudie mit 903 Erwachsenen mit Typ-1-Diabetes zur Charakterisierung realer Insulindosierungsstrategien, Abweichungen zwischen Patientenangaben und dokumentierten Vorgaben sowie Nutzung von Smartphone-Apps zur Kohlenhydratberechnung.</w:t>
      </w:r>
    </w:p>
    <w:p>
      <w:r>
        <w:rPr>
          <w:b/>
        </w:rPr>
        <w:t xml:space="preserve">Ergebnis: </w:t>
      </w:r>
      <w:r>
        <w:t>54% berichteten Kohlenhydratberechnung, 39% erfahrungsbasierte Schätzung, 2% Festdosierung; HbA1c unterschied sich nicht zwischen Strategien; 51% nutzten Apps niemals; Hauptbarrieren waren Memorisation häufiger Lebensmittel und wahrgenommene Zeitbelastung.</w:t>
      </w:r>
    </w:p>
    <w:p>
      <w:r>
        <w:rPr>
          <w:b/>
          <w:sz w:val="19"/>
        </w:rPr>
        <w:t xml:space="preserve">Übertragbarkeit: </w:t>
      </w:r>
      <w:r>
        <w:rPr>
          <w:sz w:val="19"/>
        </w:rPr>
        <w:t>USA, aber Versorgungsforschung zu praktischen Diabetesmanagement-Strategien und Patient-Reported-Outcomes übertragbar</w:t>
      </w:r>
    </w:p>
    <w:p>
      <w:r>
        <w:rPr>
          <w:color w:val="5A7D3A"/>
          <w:sz w:val="18"/>
        </w:rPr>
        <w:t>https://pubmed.ncbi.nlm.nih.gov/42822598/</w:t>
      </w:r>
    </w:p>
    <w:p>
      <w:pPr>
        <w:pStyle w:val="Heading2"/>
      </w:pPr>
      <w:r>
        <w:t>Virtual Nursing in der Notaufnahme: Dokumentation und Unterbrechungen</w:t>
      </w:r>
    </w:p>
    <w:p>
      <w:r>
        <w:rPr>
          <w:i/>
          <w:color w:val="666666"/>
          <w:sz w:val="18"/>
        </w:rPr>
        <w:t>Khairat S et al.  ·  J Am Med Inform Assoc  ·  01.10.2026  ·  PMID 42821433</w:t>
      </w:r>
    </w:p>
    <w:p>
      <w:r>
        <w:t>Nicht-randomisierte Kohortenstudie zur Auswirkung von Virtual Nursing auf Dokumentationsvollständigkeit, Aufnahmeuntersuchungsdauer und Arbeitsunterbrechungen bei stationär aufgenommenen Patienten.</w:t>
      </w:r>
    </w:p>
    <w:p>
      <w:r>
        <w:rPr>
          <w:b/>
        </w:rPr>
        <w:t xml:space="preserve">Ergebnis: </w:t>
      </w:r>
      <w:r>
        <w:t>Virtual Nursing war mit 3,16 Minuten längerer Aufnahmedauer verbunden, aber signifikant mehr abgeschlossenen Aufnahmeuntersuchungsaufgaben und signifikant weniger Unterbrechungen im Vergleich zu persönlichen Aufnahmen.</w:t>
      </w:r>
    </w:p>
    <w:p>
      <w:r>
        <w:rPr>
          <w:b/>
          <w:sz w:val="19"/>
        </w:rPr>
        <w:t xml:space="preserve">Übertragbarkeit: </w:t>
      </w:r>
      <w:r>
        <w:rPr>
          <w:sz w:val="19"/>
        </w:rPr>
        <w:t>USA; Versorgungsprozess und Workflow-Optimierung systemunabhängig relevant</w:t>
      </w:r>
    </w:p>
    <w:p>
      <w:r>
        <w:rPr>
          <w:color w:val="5A7D3A"/>
          <w:sz w:val="18"/>
        </w:rPr>
        <w:t>https://pubmed.ncbi.nlm.nih.gov/42821433/</w:t>
      </w:r>
    </w:p>
    <w:p>
      <w:pPr>
        <w:pStyle w:val="Heading2"/>
      </w:pPr>
      <w:r>
        <w:t>Tuberkulöse Spondylodiszitis in Deutschland: Epidemiologie und Verlauf</w:t>
      </w:r>
    </w:p>
    <w:p>
      <w:r>
        <w:rPr>
          <w:i/>
          <w:color w:val="666666"/>
          <w:sz w:val="18"/>
        </w:rPr>
        <w:t>Lang S et al.  ·  Global Spine J  ·  01.10.2026  ·  PMID 42820646</w:t>
      </w:r>
    </w:p>
    <w:p>
      <w:r>
        <w:t>Bevölkerungsgestützte DRG-Analyse zur stationären Last, Behandlungsmuster und Krankenhaussterblichkeit der spinalen Tuberkulose in Deutschland 2019–2025 während demografischen Wandels.</w:t>
      </w:r>
    </w:p>
    <w:p>
      <w:r>
        <w:rPr>
          <w:b/>
        </w:rPr>
        <w:t xml:space="preserve">Ergebnis: </w:t>
      </w:r>
      <w:r>
        <w:t>Stabile Hospitalisierungsraten (ASR 0,11–0,14/100.000; APC −3,1%, p=0,14); überwiegend männliche Patienten (70,3%), Alter 18–39 Jahre (56–69%); Krankenhausfallletalität &lt;0,5%; keine Erhöhung trotz 43% Anstieg der ausländischen Bevölkerung; operative DRG-Zuweisung variabel (13,5–42,2%).</w:t>
      </w:r>
    </w:p>
    <w:p>
      <w:r>
        <w:rPr>
          <w:b/>
          <w:sz w:val="19"/>
        </w:rPr>
        <w:t xml:space="preserve">Übertragbarkeit: </w:t>
      </w:r>
      <w:r>
        <w:rPr>
          <w:sz w:val="19"/>
        </w:rPr>
        <w:t>Deutsche Routinedaten; epidemiologisch und systemisch direkt anwendbar</w:t>
      </w:r>
    </w:p>
    <w:p>
      <w:r>
        <w:rPr>
          <w:color w:val="5A7D3A"/>
          <w:sz w:val="18"/>
        </w:rPr>
        <w:t>https://pubmed.ncbi.nlm.nih.gov/42820646/</w:t>
      </w:r>
    </w:p>
    <w:p>
      <w:pPr>
        <w:pStyle w:val="Heading2"/>
      </w:pPr>
      <w:r>
        <w:t>Psychische Anpassung an Stigma bei Hauterkrankungen im jungen Erwachsenenalter</w:t>
      </w:r>
    </w:p>
    <w:p>
      <w:r>
        <w:rPr>
          <w:i/>
          <w:color w:val="666666"/>
          <w:sz w:val="18"/>
        </w:rPr>
        <w:t>Stuhlmann CFZ et al.  ·  Br J Health Psychol  ·  Nov. 2026  ·  PMID 42820641</w:t>
      </w:r>
    </w:p>
    <w:p>
      <w:r>
        <w:t>Querschnittstudie mit 195 jungen Erwachsenen (Psoriasis 55%, atopische Dermatitis 23%, Hidradenitis suppurativa 22%) zu indirekten Effekten internalisierter Stigma in der Beziehung zwischen sozialer Stigma und psychosozialer Anpassung.</w:t>
      </w:r>
    </w:p>
    <w:p>
      <w:r>
        <w:rPr>
          <w:b/>
        </w:rPr>
        <w:t xml:space="preserve">Ergebnis: </w:t>
      </w:r>
      <w:r>
        <w:t>Signifikante indirekte Effekte internalisierter Stigma auf Beziehungen zwischen sozialer Stigma und allen Anpassungsergebnissen (p's&lt;0,01, R²=0,10–0,64); internalisierte Stigma als zentraler Treiber psychischer Belastung, Sozialsymptome und Aktivitätsreduktion.</w:t>
      </w:r>
    </w:p>
    <w:p>
      <w:r>
        <w:rPr>
          <w:b/>
          <w:sz w:val="19"/>
        </w:rPr>
        <w:t xml:space="preserve">Übertragbarkeit: </w:t>
      </w:r>
      <w:r>
        <w:rPr>
          <w:sz w:val="19"/>
        </w:rPr>
        <w:t>Deutschland (Hamburg); hochgradig übertragbar auf deutsches Versorgungssystem</w:t>
      </w:r>
    </w:p>
    <w:p>
      <w:r>
        <w:rPr>
          <w:color w:val="5A7D3A"/>
          <w:sz w:val="18"/>
        </w:rPr>
        <w:t>https://pubmed.ncbi.nlm.nih.gov/42820641/</w:t>
      </w:r>
    </w:p>
    <w:p>
      <w:pPr>
        <w:pStyle w:val="Heading1"/>
      </w:pPr>
      <w:r>
        <w:t>Aufgenommen am 01.10.2026</w:t>
      </w:r>
    </w:p>
    <w:p>
      <w:pPr>
        <w:pStyle w:val="Heading2"/>
      </w:pPr>
      <w:r>
        <w:t>Psychometric validation of German Self-efficacy Scale in hip arthroplasty patients</w:t>
      </w:r>
    </w:p>
    <w:p>
      <w:r>
        <w:rPr>
          <w:i/>
          <w:color w:val="666666"/>
          <w:sz w:val="18"/>
        </w:rPr>
        <w:t>Mooiweer Y et al.  ·  Z Evid Fortbild Qual Gesundhwes  ·  30.09.2026  ·  PMID 42816197</w:t>
      </w:r>
    </w:p>
    <w:p>
      <w:r>
        <w:t>Studie validierte die German Self-efficacy Expectation Scale (SES-G) als Messinstrument für Selbsteffizienz bei Patienten mit Hüftgelenksersatz.</w:t>
      </w:r>
    </w:p>
    <w:p>
      <w:r>
        <w:rPr>
          <w:b/>
        </w:rPr>
        <w:t xml:space="preserve">Ergebnis: </w:t>
      </w:r>
      <w:r>
        <w:t>Exploratory Faktor-Analyse zeigte 3 Komponenten, erklärt 75% der Varianz; interne Konsistenz (MacDonald's Omega = 0,81) und Test-Retest-Reliabilität (ICC 0,71) waren gut; 80% der Hypothesen zur Konstruktvalidität bestätigt. SES-G ist valides und reliables Instrument.</w:t>
      </w:r>
    </w:p>
    <w:p>
      <w:r>
        <w:rPr>
          <w:b/>
          <w:sz w:val="19"/>
        </w:rPr>
        <w:t xml:space="preserve">Übertragbarkeit: </w:t>
      </w:r>
      <w:r>
        <w:rPr>
          <w:sz w:val="19"/>
        </w:rPr>
        <w:t>Deutschland, validierte Messskala für deutschsprachige Patienten</w:t>
      </w:r>
    </w:p>
    <w:p>
      <w:r>
        <w:rPr>
          <w:color w:val="5A7D3A"/>
          <w:sz w:val="18"/>
        </w:rPr>
        <w:t>https://pubmed.ncbi.nlm.nih.gov/42816197/</w:t>
      </w:r>
    </w:p>
    <w:p>
      <w:pPr>
        <w:pStyle w:val="Heading2"/>
      </w:pPr>
      <w:r>
        <w:t>Quality improvement für Familienplanung im Wochenbett in Äthiopien</w:t>
      </w:r>
    </w:p>
    <w:p>
      <w:r>
        <w:rPr>
          <w:i/>
          <w:color w:val="666666"/>
          <w:sz w:val="18"/>
        </w:rPr>
        <w:t>Tesfaye B et al.  ·  BMJ Open Qual  ·  30.09.2026  ·  PMID 42816055</w:t>
      </w:r>
    </w:p>
    <w:p>
      <w:r>
        <w:t>Qualitätsverbesserungsprojekt mit PDSA-Zyklen zur Steigerung der unmittelbaren postpartalen Familienplanung in einem äthiopischen Lehrkrankenhaus.</w:t>
      </w:r>
    </w:p>
    <w:p>
      <w:r>
        <w:rPr>
          <w:b/>
        </w:rPr>
        <w:t xml:space="preserve">Ergebnis: </w:t>
      </w:r>
      <w:r>
        <w:t>Uptake der postpartalen Familienplanung stieg von 10,2% auf 45,8% über 14 Wochen; Implantate waren die häufigste Methode (54,2%); Hürden waren mangelhafte Beratung, begrenzte Fortbildung und schlechte Dokumentation.</w:t>
      </w:r>
    </w:p>
    <w:p>
      <w:r>
        <w:rPr>
          <w:b/>
          <w:sz w:val="19"/>
        </w:rPr>
        <w:t xml:space="preserve">Übertragbarkeit: </w:t>
      </w:r>
      <w:r>
        <w:rPr>
          <w:sz w:val="19"/>
        </w:rPr>
        <w:t>Nur bedingt übertragbar, Gesundheitssystem mit stark unterschiedlicher Ressourcenlage</w:t>
      </w:r>
    </w:p>
    <w:p>
      <w:r>
        <w:rPr>
          <w:color w:val="5A7D3A"/>
          <w:sz w:val="18"/>
        </w:rPr>
        <w:t>https://pubmed.ncbi.nlm.nih.gov/42816055/</w:t>
      </w:r>
    </w:p>
    <w:p>
      <w:pPr>
        <w:pStyle w:val="Heading2"/>
      </w:pPr>
      <w:r>
        <w:t>Generative KI-Adoption in psychotherapeutischer Praxis</w:t>
      </w:r>
    </w:p>
    <w:p>
      <w:r>
        <w:rPr>
          <w:i/>
          <w:color w:val="666666"/>
          <w:sz w:val="18"/>
        </w:rPr>
        <w:t>Blease C et al.  ·  JMIR Ment Health  ·  30.09.2026  ·  PMID 42815888</w:t>
      </w:r>
    </w:p>
    <w:p>
      <w:r>
        <w:t>Internationale Querschnittsstudie zu aktueller Nutzung von Generative-AI-Tools (ChatGPT, Gemini, Copilot) durch Psychotherapeuten in 30 Ländern.</w:t>
      </w:r>
    </w:p>
    <w:p>
      <w:r>
        <w:rPr>
          <w:b/>
        </w:rPr>
        <w:t xml:space="preserve">Ergebnis: </w:t>
      </w:r>
      <w:r>
        <w:t>54,6% (n=418/766) nutzen mindestens ein GenAI-Tool klinisch; ChatGPT am häufigsten (84,7%); Top-Anwendungen: Behandlungsplanung (41,9%), Administrative Aufgaben (41,4%), Psychoedukation (39,7%); 82,8% berichten Arbeitsbelastungsreduktion; nur 18,1% erhielten institutionelle Förderung; 81,1% erhielten keine AI-Fortbildung.</w:t>
      </w:r>
    </w:p>
    <w:p>
      <w:r>
        <w:rPr>
          <w:b/>
          <w:sz w:val="19"/>
        </w:rPr>
        <w:t xml:space="preserve">Übertragbarkeit: </w:t>
      </w:r>
      <w:r>
        <w:rPr>
          <w:sz w:val="19"/>
        </w:rPr>
        <w:t>Systemunabhängig, Fachfrage zu Technologieeinsatz in Praxis global relevant</w:t>
      </w:r>
    </w:p>
    <w:p>
      <w:r>
        <w:rPr>
          <w:color w:val="5A7D3A"/>
          <w:sz w:val="18"/>
        </w:rPr>
        <w:t>https://pubmed.ncbi.nlm.nih.gov/42815888/</w:t>
      </w:r>
    </w:p>
    <w:p>
      <w:pPr>
        <w:pStyle w:val="Heading2"/>
      </w:pPr>
      <w:r>
        <w:t>Discrete Choice Experiment zu Präferenzen für Carrier Screening in Singapur</w:t>
      </w:r>
    </w:p>
    <w:p>
      <w:r>
        <w:rPr>
          <w:i/>
          <w:color w:val="666666"/>
          <w:sz w:val="18"/>
        </w:rPr>
        <w:t>Blythe R et al.  ·  Patient  ·  30.09.2026  ·  PMID 42814378</w:t>
      </w:r>
    </w:p>
    <w:p>
      <w:r>
        <w:t>Stated-Preference-Studie mit 500 Singapurern zu bevorzugten Merkmalen eines nationalen Carrier-Screening-Programms für genetische Erkrankungen.</w:t>
      </w:r>
    </w:p>
    <w:p>
      <w:r>
        <w:rPr>
          <w:b/>
        </w:rPr>
        <w:t xml:space="preserve">Ergebnis: </w:t>
      </w:r>
      <w:r>
        <w:t>Bevorzugte niedrigere Kosten, breitere Krankheitspanels und kürzere Wartezeiten; vorhergesagte Uptake 85-90% kostenlos, 61-69% bei Zuzahlung von $1.200; nationale Budgetauswirkungen &lt;$13,1 Mio./Jahr abhängig von Programmdesign.</w:t>
      </w:r>
    </w:p>
    <w:p>
      <w:r>
        <w:rPr>
          <w:b/>
          <w:sz w:val="19"/>
        </w:rPr>
        <w:t xml:space="preserve">Übertragbarkeit: </w:t>
      </w:r>
      <w:r>
        <w:rPr>
          <w:sz w:val="19"/>
        </w:rPr>
        <w:t>Singapur, transferierbar für Screening-Programmgestaltung in ähnlichen Systemen</w:t>
      </w:r>
    </w:p>
    <w:p>
      <w:r>
        <w:rPr>
          <w:color w:val="5A7D3A"/>
          <w:sz w:val="18"/>
        </w:rPr>
        <w:t>https://pubmed.ncbi.nlm.nih.gov/42814378/</w:t>
      </w:r>
    </w:p>
    <w:p>
      <w:pPr>
        <w:pStyle w:val="Heading2"/>
      </w:pPr>
      <w:r>
        <w:t>Migräne-Versorgungslücke: qualitative Patientenperspektive</w:t>
      </w:r>
    </w:p>
    <w:p>
      <w:r>
        <w:rPr>
          <w:i/>
          <w:color w:val="666666"/>
          <w:sz w:val="18"/>
        </w:rPr>
        <w:t>Göbel CH et al.  ·  Pain Ther  ·  30.09.2026  ·  PMID 42814346</w:t>
      </w:r>
    </w:p>
    <w:p>
      <w:r>
        <w:t>Qualitative reflexive thematische Analyse von 446 Instagram/Facebook-Kommentaren zur Wahrnehmung von Migräne-Versorgung über 12 Jahre.</w:t>
      </w:r>
    </w:p>
    <w:p>
      <w:r>
        <w:rPr>
          <w:b/>
        </w:rPr>
        <w:t xml:space="preserve">Ergebnis: </w:t>
      </w:r>
      <w:r>
        <w:t>Patienten bestätigen medizinische Fortschritte (Migräne-spezifische Therapien, CGRP-Inhibitoren, spezialisierte Services), erleben diese aber als unvollständig umgesetzt; persistente Barrieren: Diagnoseverzögerung, ungleicher Zugang zu Spezialisten, Rückerstattungsbeschränkungen, Stigma, begrenzte gesellschaftliche Anerkennung. Kernkonzept: Migraine Care Gap zwischen biomedizinischer Innovation und Versorgungspraxis.</w:t>
      </w:r>
    </w:p>
    <w:p>
      <w:r>
        <w:rPr>
          <w:b/>
          <w:sz w:val="19"/>
        </w:rPr>
        <w:t xml:space="preserve">Übertragbarkeit: </w:t>
      </w:r>
      <w:r>
        <w:rPr>
          <w:sz w:val="19"/>
        </w:rPr>
        <w:t>Deutschland, Versorgungsforschung zu Patientenerleben von Innovationstransfer</w:t>
      </w:r>
    </w:p>
    <w:p>
      <w:r>
        <w:rPr>
          <w:color w:val="5A7D3A"/>
          <w:sz w:val="18"/>
        </w:rPr>
        <w:t>https://pubmed.ncbi.nlm.nih.gov/42814346/</w:t>
      </w:r>
    </w:p>
    <w:p>
      <w:pPr>
        <w:pStyle w:val="Heading2"/>
      </w:pPr>
      <w:r>
        <w:t>Kontextfaktoren und depressive Symptome: Postleitzahl-Datenverknüpfung in Deutschland</w:t>
      </w:r>
    </w:p>
    <w:p>
      <w:r>
        <w:rPr>
          <w:i/>
          <w:color w:val="666666"/>
          <w:sz w:val="18"/>
        </w:rPr>
        <w:t>Schoenweger P et al.  ·  Eur Arch Psychiatry Clin Neurosci  ·  30.09.2026  ·  PMID 42814112</w:t>
      </w:r>
    </w:p>
    <w:p>
      <w:r>
        <w:t>Querschnittsstudie, die individuelle POKAL-Umfragedaten (n=2.323) mit deutschen Routinedaten auf Postleitzahl-Ebene zu Depression verknüpfte.</w:t>
      </w:r>
    </w:p>
    <w:p>
      <w:r>
        <w:rPr>
          <w:b/>
        </w:rPr>
        <w:t xml:space="preserve">Ergebnis: </w:t>
      </w:r>
      <w:r>
        <w:t>Kontextfaktoren verbesserten Modellfit (AICc=13.640,80 vs. 13.718,24 nur Demografie); Area-level Deprivation zeigte beste einzelne Anpassung; Datenverknüpfung ist ressourcenschonend und technisch umsetzbar in German health research infrastructure. Räumliche Auflösung entscheidend für Assoziation.</w:t>
      </w:r>
    </w:p>
    <w:p>
      <w:r>
        <w:rPr>
          <w:b/>
          <w:sz w:val="19"/>
        </w:rPr>
        <w:t xml:space="preserve">Übertragbarkeit: </w:t>
      </w:r>
      <w:r>
        <w:rPr>
          <w:sz w:val="19"/>
        </w:rPr>
        <w:t>Deutsche Routinedaten, gesetzlich Versicherte, Versorgungsforschungs-Infrastruktur</w:t>
      </w:r>
    </w:p>
    <w:p>
      <w:r>
        <w:rPr>
          <w:color w:val="5A7D3A"/>
          <w:sz w:val="18"/>
        </w:rPr>
        <w:t>https://pubmed.ncbi.nlm.nih.gov/42814112/</w:t>
      </w:r>
    </w:p>
    <w:p>
      <w:pPr>
        <w:pStyle w:val="Heading1"/>
      </w:pPr>
      <w:r>
        <w:t>Aufgenommen am 30.09.2026</w:t>
      </w:r>
    </w:p>
    <w:p>
      <w:pPr>
        <w:pStyle w:val="Heading2"/>
      </w:pPr>
      <w:r>
        <w:t>Digitalisierung und Krankenhausperformance: Einfluss der elektronischen Dokumentation</w:t>
      </w:r>
    </w:p>
    <w:p>
      <w:r>
        <w:rPr>
          <w:i/>
          <w:color w:val="666666"/>
          <w:sz w:val="18"/>
        </w:rPr>
        <w:t>Remus P et al.  ·  J Med Internet Res  ·  29.09.2026  ·  PMID 42809839</w:t>
      </w:r>
    </w:p>
    <w:p>
      <w:r>
        <w:t>Longitudinale Analyse der Zusammenhänge zwischen technischer Digitalisierungsreife und finanziellen, operativen und Personalindikatoren in 70 niederländischen Krankenhäusern (2017–2023).</w:t>
      </w:r>
    </w:p>
    <w:p>
      <w:r>
        <w:rPr>
          <w:b/>
        </w:rPr>
        <w:t xml:space="preserve">Ergebnis: </w:t>
      </w:r>
      <w:r>
        <w:t>Fortgeschrittene digitale Reife war nicht signifikant mit verbesserter Profitabilität, Patientenvolumen oder Mitarbeiterfluktuation assoziiert (alle p&gt;0,05 nach Bonferroni-Korrektur); die Daten stützen das IT-Produktivitätsparadox.</w:t>
      </w:r>
    </w:p>
    <w:p>
      <w:r>
        <w:rPr>
          <w:b/>
          <w:sz w:val="19"/>
        </w:rPr>
        <w:t xml:space="preserve">Übertragbarkeit: </w:t>
      </w:r>
      <w:r>
        <w:rPr>
          <w:sz w:val="19"/>
        </w:rPr>
        <w:t>Niederlande, Sozialversicherungssystem mit Beitragsfinanzierung, vergleichbar mit Deutschland.</w:t>
      </w:r>
    </w:p>
    <w:p>
      <w:r>
        <w:rPr>
          <w:color w:val="5A7D3A"/>
          <w:sz w:val="18"/>
        </w:rPr>
        <w:t>https://pubmed.ncbi.nlm.nih.gov/42809839/</w:t>
      </w:r>
    </w:p>
    <w:p>
      <w:pPr>
        <w:pStyle w:val="Heading2"/>
      </w:pPr>
      <w:r>
        <w:t>Zeitbelastung (Time Toxicity) in der Krebsversorgung: Systematische Übersicht</w:t>
      </w:r>
    </w:p>
    <w:p>
      <w:r>
        <w:rPr>
          <w:i/>
          <w:color w:val="666666"/>
          <w:sz w:val="18"/>
        </w:rPr>
        <w:t>Wee IJY et al.  ·  Support Care Cancer  ·  29.09.2026  ·  PMID 42809115</w:t>
      </w:r>
    </w:p>
    <w:p>
      <w:r>
        <w:t>Systematische Übersicht von 56 Studien zur Definition und Messung der Zeitbelastung in der Krebsbehandlung (Inception bis März 2026).</w:t>
      </w:r>
    </w:p>
    <w:p>
      <w:r>
        <w:rPr>
          <w:b/>
        </w:rPr>
        <w:t xml:space="preserve">Ergebnis: </w:t>
      </w:r>
      <w:r>
        <w:t>Definitionen waren heterogen; 55,4 % definierten Zeitbelastung als direkte Gesundheitszeiten (Klinikbesuche, Behandlungen), 35,7 % als Zeit ohne Gesundheitswesen; nur 0 Studien nutzten Patientenperspektiven; systematisch sind noch prozessorientierte und patientenzentrierte Dimensionen unterrepräsentiert.</w:t>
      </w:r>
    </w:p>
    <w:p>
      <w:r>
        <w:rPr>
          <w:b/>
          <w:sz w:val="19"/>
        </w:rPr>
        <w:t xml:space="preserve">Übertragbarkeit: </w:t>
      </w:r>
      <w:r>
        <w:rPr>
          <w:sz w:val="19"/>
        </w:rPr>
        <w:t>Systemübergreifend relevant; Konzeptualisierung und Messqualität unabhängig von Landkontext.</w:t>
      </w:r>
    </w:p>
    <w:p>
      <w:r>
        <w:rPr>
          <w:color w:val="5A7D3A"/>
          <w:sz w:val="18"/>
        </w:rPr>
        <w:t>https://pubmed.ncbi.nlm.nih.gov/42809115/</w:t>
      </w:r>
    </w:p>
    <w:p>
      <w:pPr>
        <w:pStyle w:val="Heading2"/>
      </w:pPr>
      <w:r>
        <w:t>Kompetenzbasiertes Curriculum Allgemeinmedizin im Block-Praktikum: Lückenanalyse</w:t>
      </w:r>
    </w:p>
    <w:p>
      <w:r>
        <w:rPr>
          <w:i/>
          <w:color w:val="666666"/>
          <w:sz w:val="18"/>
        </w:rPr>
        <w:t>Schüle D et al.  ·  GMS J Med Educ  ·  15.09.2026  ·  PMID 42807621</w:t>
      </w:r>
    </w:p>
    <w:p>
      <w:r>
        <w:t>Gemischte Methoden-Studie an einem deutschen Universitätskrankenhaus zur Bewertung und Neukonzeption eines zweiwöchigen Allgemeinmedizin-Blockpraktikums anhand von NKLM 2.0 und EPAs.</w:t>
      </w:r>
    </w:p>
    <w:p>
      <w:r>
        <w:rPr>
          <w:b/>
        </w:rPr>
        <w:t xml:space="preserve">Ergebnis: </w:t>
      </w:r>
      <w:r>
        <w:t>Aktuelles Praktikum erreichte Gesamtnote 1,8 (SD 1,06), erhöhte das Interesse an Allgemeinmedizin aber nicht signifikant; fehlten: interprofessionelle Zusammenarbeit, Führungskompetenzen; vorgeschlagen wurde sechswöchiges longitudinales Modell mit Simulation und Hospitationen.</w:t>
      </w:r>
    </w:p>
    <w:p>
      <w:r>
        <w:rPr>
          <w:b/>
          <w:sz w:val="19"/>
        </w:rPr>
        <w:t xml:space="preserve">Übertragbarkeit: </w:t>
      </w:r>
      <w:r>
        <w:rPr>
          <w:sz w:val="19"/>
        </w:rPr>
        <w:t>Deutschland, Fokus auf medizinische Ausbildung und Lehrqualität.</w:t>
      </w:r>
    </w:p>
    <w:p>
      <w:r>
        <w:rPr>
          <w:color w:val="5A7D3A"/>
          <w:sz w:val="18"/>
        </w:rPr>
        <w:t>https://pubmed.ncbi.nlm.nih.gov/42807621/</w:t>
      </w:r>
    </w:p>
    <w:p>
      <w:pPr>
        <w:pStyle w:val="Heading2"/>
      </w:pPr>
      <w:r>
        <w:t>VISIONARA: Dezentrales kompetenzbasiertes Lernmodell in Hausarztpraxen</w:t>
      </w:r>
    </w:p>
    <w:p>
      <w:r>
        <w:rPr>
          <w:i/>
          <w:color w:val="666666"/>
          <w:sz w:val="18"/>
        </w:rPr>
        <w:t>Lübbert J et al.  ·  GMS J Med Educ  ·  15.09.2026  ·  PMID 42807235</w:t>
      </w:r>
    </w:p>
    <w:p>
      <w:r>
        <w:t>Konzeptentwicklung und geplante Pilotierung eines Programms für akademische Lehrpraxen (MRC-Framework), das strukturiertes kompetenzbasiertes Lernen direkt in den Versorgungsalltag der Allgemeinmedizin integriert.</w:t>
      </w:r>
    </w:p>
    <w:p>
      <w:r>
        <w:rPr>
          <w:b/>
        </w:rPr>
        <w:t xml:space="preserve">Ergebnis: </w:t>
      </w:r>
      <w:r>
        <w:t>Konzeptphase abgeschlossen; geplante Pilotphase wird Machbarkeit, Akzeptanz und Integrierbarkeit in Routinepraxen prüfen sowie personelle Ressourcen, Patientenzustimmung und logistische Hürden evaluieren.</w:t>
      </w:r>
    </w:p>
    <w:p>
      <w:r>
        <w:rPr>
          <w:b/>
          <w:sz w:val="19"/>
        </w:rPr>
        <w:t xml:space="preserve">Übertragbarkeit: </w:t>
      </w:r>
      <w:r>
        <w:rPr>
          <w:sz w:val="19"/>
        </w:rPr>
        <w:t>Deutschland, Modell für Primärversorgung und ärztliche Ausbildung direkt vor Ort.</w:t>
      </w:r>
    </w:p>
    <w:p>
      <w:r>
        <w:rPr>
          <w:color w:val="5A7D3A"/>
          <w:sz w:val="18"/>
        </w:rPr>
        <w:t>https://pubmed.ncbi.nlm.nih.gov/42807235/</w:t>
      </w:r>
    </w:p>
    <w:p>
      <w:pPr>
        <w:pStyle w:val="Heading2"/>
      </w:pPr>
      <w:r>
        <w:t>Facharztprüfung Allgemeinmedizin: Perspektiven von Prüfenden</w:t>
      </w:r>
    </w:p>
    <w:p>
      <w:r>
        <w:rPr>
          <w:i/>
          <w:color w:val="666666"/>
          <w:sz w:val="18"/>
        </w:rPr>
        <w:t>Dreher AC et al.  ·  GMS J Med Educ  ·  15.09.2026  ·  PMID 42807223</w:t>
      </w:r>
    </w:p>
    <w:p>
      <w:r>
        <w:t>Qualitative Explorationsstudie mit 12 Prüfenden aus 6 Bundesländern zu Stärken, Schwächen und Weiterentwicklungspotenzial der mündlichen Facharztprüfung.</w:t>
      </w:r>
    </w:p>
    <w:p>
      <w:r>
        <w:rPr>
          <w:b/>
        </w:rPr>
        <w:t xml:space="preserve">Ergebnis: </w:t>
      </w:r>
      <w:r>
        <w:t>Prüfende beschrieben Stärken: Mindeststandard-Sicherung, Effizienz; Schwächen: begrenzte Aussagekraft für komplexe Handlungskompetenzen; Verbesserungen: Prüfendenschulungen, gemeinsame Erwartungshorizonte, praktische Prüfungskomponenten, longitudinale Assessments.</w:t>
      </w:r>
    </w:p>
    <w:p>
      <w:r>
        <w:rPr>
          <w:b/>
          <w:sz w:val="19"/>
        </w:rPr>
        <w:t xml:space="preserve">Übertragbarkeit: </w:t>
      </w:r>
      <w:r>
        <w:rPr>
          <w:sz w:val="19"/>
        </w:rPr>
        <w:t>Deutschland, direkt auf Facharztausbildung und Qualitätssicherung bezogen.</w:t>
      </w:r>
    </w:p>
    <w:p>
      <w:r>
        <w:rPr>
          <w:color w:val="5A7D3A"/>
          <w:sz w:val="18"/>
        </w:rPr>
        <w:t>https://pubmed.ncbi.nlm.nih.gov/42807223/</w:t>
      </w:r>
    </w:p>
    <w:p>
      <w:pPr>
        <w:pStyle w:val="Heading2"/>
      </w:pPr>
      <w:r>
        <w:t>Früherkennung und Reha bei Muskelskelettstörungen reduzieren Arbeitsunfähigkeit?</w:t>
      </w:r>
    </w:p>
    <w:p>
      <w:r>
        <w:rPr>
          <w:i/>
          <w:color w:val="666666"/>
          <w:sz w:val="18"/>
        </w:rPr>
        <w:t>Bornhöft L et al.  ·  BMC Health Serv Res  ·  26.09.2026  ·  PMID 42806350</w:t>
      </w:r>
    </w:p>
    <w:p>
      <w:r>
        <w:t>Ökonomische Analyse eines randomisierten Vergleichs zwischen teambasierter Primärversorgungsrehabilitation und Standardversorgung für Patienten mit erhöhtem Fehlzeitrisiko in Schweden (N=526).</w:t>
      </w:r>
    </w:p>
    <w:p>
      <w:r>
        <w:rPr>
          <w:b/>
        </w:rPr>
        <w:t xml:space="preserve">Ergebnis: </w:t>
      </w:r>
      <w:r>
        <w:t>Team-Rehabilitation und Standardversorgung führten zu ähnlichen QALYs über ein Jahr; die Wahrscheinlichkeit der Kosteneffektivität lag bei etwa 50 % (schwedische Schwellenwerte 43.000–86.000 €/QALY); Selektion bedürftiger Patienten muss verbessert werden.</w:t>
      </w:r>
    </w:p>
    <w:p>
      <w:r>
        <w:rPr>
          <w:b/>
          <w:sz w:val="19"/>
        </w:rPr>
        <w:t xml:space="preserve">Übertragbarkeit: </w:t>
      </w:r>
      <w:r>
        <w:rPr>
          <w:sz w:val="19"/>
        </w:rPr>
        <w:t>Schweden, steuerfinanziert und hausarztgesteuert, aber Prozesse und Arbeitsfähigkeit sind übertragbar.</w:t>
      </w:r>
    </w:p>
    <w:p>
      <w:r>
        <w:rPr>
          <w:color w:val="5A7D3A"/>
          <w:sz w:val="18"/>
        </w:rPr>
        <w:t>https://pubmed.ncbi.nlm.nih.gov/42806350/</w:t>
      </w:r>
    </w:p>
    <w:p>
      <w:pPr>
        <w:pStyle w:val="Heading1"/>
      </w:pPr>
      <w:r>
        <w:t>Aufgenommen am 29.09.2026</w:t>
      </w:r>
    </w:p>
    <w:p>
      <w:pPr>
        <w:pStyle w:val="Heading2"/>
      </w:pPr>
      <w:r>
        <w:t>Kosteneffektivität eines Diabetes-Präventionsprogramms in Kanada</w:t>
      </w:r>
    </w:p>
    <w:p>
      <w:r>
        <w:rPr>
          <w:i/>
          <w:color w:val="666666"/>
          <w:sz w:val="18"/>
        </w:rPr>
        <w:t>Gupta N et al.  ·  CMAJ  ·  27.09.2026  ·  PMID 42805627</w:t>
      </w:r>
    </w:p>
    <w:p>
      <w:r>
        <w:t>Gesundheitsökonomisches Modell zum NHS-England-DPP in Quebec und Ontario über 35 Jahre.</w:t>
      </w:r>
    </w:p>
    <w:p>
      <w:r>
        <w:rPr>
          <w:b/>
        </w:rPr>
        <w:t xml:space="preserve">Ergebnis: </w:t>
      </w:r>
      <w:r>
        <w:t>DPP sparte 244 CAD pro Teilnehmer in Quebec und 242 CAD in Ontario (95% UI -1.017 bis 408). Gewinn: 0,060 QALYs pro Person (95% UI 0,024-0,094). In 74,8% der Simulationen war DPP kostengünstiger und wirksamer.</w:t>
      </w:r>
    </w:p>
    <w:p>
      <w:r>
        <w:rPr>
          <w:b/>
          <w:sz w:val="19"/>
        </w:rPr>
        <w:t xml:space="preserve">Übertragbarkeit: </w:t>
      </w:r>
      <w:r>
        <w:rPr>
          <w:sz w:val="19"/>
        </w:rPr>
        <w:t>Kanada ähnlich deutschem Sozialversicherungssystem, vergleichbare Kostenkalkulation möglich.</w:t>
      </w:r>
    </w:p>
    <w:p>
      <w:r>
        <w:rPr>
          <w:color w:val="5A7D3A"/>
          <w:sz w:val="18"/>
        </w:rPr>
        <w:t>https://pubmed.ncbi.nlm.nih.gov/42805627/</w:t>
      </w:r>
    </w:p>
    <w:p>
      <w:pPr>
        <w:pStyle w:val="Heading2"/>
      </w:pPr>
      <w:r>
        <w:t>Physiotherapie nach COVID-19 in der niederländischen Primärversorgung: Inanspruchnahme und Trends</w:t>
      </w:r>
    </w:p>
    <w:p>
      <w:r>
        <w:rPr>
          <w:i/>
          <w:color w:val="666666"/>
          <w:sz w:val="18"/>
        </w:rPr>
        <w:t>Veldkamp R et al.  ·  JMIR Public Health Surveill  ·  28.09.2026  ·  PMID 42804191</w:t>
      </w:r>
    </w:p>
    <w:p>
      <w:r>
        <w:t>Retrospektive Kohortenstudie zur Inanspruchnahme von Physiotherapie nach COVID-19 in niederländischen Hausarztpraxen über 2,5 Jahre der Pandemie.</w:t>
      </w:r>
    </w:p>
    <w:p>
      <w:r>
        <w:rPr>
          <w:b/>
        </w:rPr>
        <w:t xml:space="preserve">Ergebnis: </w:t>
      </w:r>
      <w:r>
        <w:t>Unter 71.152 Behandlungsverläufen hatten abgeschlossene Fälle eine mediane Dauer von 24 Wochen mit 28 Konsultationen. Die Physiotherapie-Inanspruchnahme sank signifikant über die Zeit (p&lt;0,001), mit maximalen Konsultationen bei 60-79-Jährigen und 1,5 Wochen längerer Behandlung bei Frauen (p&lt;0,001). In 83% waren Baseline-Werte auf Outcome-Messungen erfasst (6-Minuten-Gehtest: 420 m [340-490]).</w:t>
      </w:r>
    </w:p>
    <w:p>
      <w:r>
        <w:rPr>
          <w:b/>
          <w:sz w:val="19"/>
        </w:rPr>
        <w:t xml:space="preserve">Übertragbarkeit: </w:t>
      </w:r>
      <w:r>
        <w:rPr>
          <w:sz w:val="19"/>
        </w:rPr>
        <w:t>Niederländische Routinedaten aus Primärversorgung, direkt auf deutsches System übertragbar.</w:t>
      </w:r>
    </w:p>
    <w:p>
      <w:r>
        <w:rPr>
          <w:color w:val="5A7D3A"/>
          <w:sz w:val="18"/>
        </w:rPr>
        <w:t>https://pubmed.ncbi.nlm.nih.gov/42804191/</w:t>
      </w:r>
    </w:p>
    <w:p>
      <w:pPr>
        <w:pStyle w:val="Heading2"/>
      </w:pPr>
      <w:r>
        <w:t>Telepharmacy-Services und Notfallaufnahme-Inanspruchnahme: Systematische Übersicht</w:t>
      </w:r>
    </w:p>
    <w:p>
      <w:r>
        <w:rPr>
          <w:i/>
          <w:color w:val="666666"/>
          <w:sz w:val="18"/>
        </w:rPr>
        <w:t>Barwick AL et al.  ·  J Telemed Telecare  ·  28.09.2026  ·  PMID 42804181</w:t>
      </w:r>
    </w:p>
    <w:p>
      <w:r>
        <w:t>Metaanalyse von 17 RCTs zur Wirksamkeit von Telepharmacy-Interventionen auf Notaufnahme-Besuche und Wiederaufnahmen.</w:t>
      </w:r>
    </w:p>
    <w:p>
      <w:r>
        <w:rPr>
          <w:b/>
        </w:rPr>
        <w:t xml:space="preserve">Ergebnis: </w:t>
      </w:r>
      <w:r>
        <w:t>Telepharmacy war mit einer 6% absoluten Reduktion von 30-Tage-Notaufnahme-Besuchen assoziiert (Risikodifferenz=0,06, 95% CI: 0,02-0,10; p=0,005). Keine signifikante Reduktion bei ungeplanten Wiederaufnahmen.</w:t>
      </w:r>
    </w:p>
    <w:p>
      <w:r>
        <w:rPr>
          <w:b/>
          <w:sz w:val="19"/>
        </w:rPr>
        <w:t xml:space="preserve">Übertragbarkeit: </w:t>
      </w:r>
      <w:r>
        <w:rPr>
          <w:sz w:val="19"/>
        </w:rPr>
        <w:t>Heterogene RCTs international, Fragestellung zum Einsatz von Telemedizin systemunabhängig relevant.</w:t>
      </w:r>
    </w:p>
    <w:p>
      <w:r>
        <w:rPr>
          <w:color w:val="5A7D3A"/>
          <w:sz w:val="18"/>
        </w:rPr>
        <w:t>https://pubmed.ncbi.nlm.nih.gov/42804181/</w:t>
      </w:r>
    </w:p>
    <w:p>
      <w:pPr>
        <w:pStyle w:val="Heading2"/>
      </w:pPr>
      <w:r>
        <w:t>Intra-Session-Reliabilität des Imagined Timed Up and Go Tests bei älteren Erwachsenen</w:t>
      </w:r>
    </w:p>
    <w:p>
      <w:r>
        <w:rPr>
          <w:i/>
          <w:color w:val="666666"/>
          <w:sz w:val="18"/>
        </w:rPr>
        <w:t>Inamura T et al.  ·  Physiother Theory Pract  ·  28.09.2026  ·  PMID 42802900</w:t>
      </w:r>
    </w:p>
    <w:p>
      <w:r>
        <w:t>Reliabilitätsstudie (85 Probanden) zum Imagined Timed Up and Go Test zur Erfassung von Schätzfehlern der physischen Leistung.</w:t>
      </w:r>
    </w:p>
    <w:p>
      <w:r>
        <w:rPr>
          <w:b/>
        </w:rPr>
        <w:t xml:space="preserve">Ergebnis: </w:t>
      </w:r>
      <w:r>
        <w:t>Intra-Rater-Reliabilität moderat (ICC_A,1: 0,69-0,73); simultane Inter-Rater-Reliabilität exzellent (ICC_2,2≈0,994; ICC_2,1: 0,982-0,984). Intra-Rater MDC95: 2,3 s (35,1%); Inter-Rater MDC95: 0,3 s (4,9%). Probanden übersch ätzen ihre Fähigkeiten (TUG 6,0 s vs. ITUG 4,0 s).</w:t>
      </w:r>
    </w:p>
    <w:p>
      <w:r>
        <w:rPr>
          <w:b/>
          <w:sz w:val="19"/>
        </w:rPr>
        <w:t xml:space="preserve">Übertragbarkeit: </w:t>
      </w:r>
      <w:r>
        <w:rPr>
          <w:sz w:val="19"/>
        </w:rPr>
        <w:t>Japanische Daten, klinische Metriken systemunabhängig, Validierung vor Routineeinsatz relevant.</w:t>
      </w:r>
    </w:p>
    <w:p>
      <w:r>
        <w:rPr>
          <w:color w:val="5A7D3A"/>
          <w:sz w:val="18"/>
        </w:rPr>
        <w:t>https://pubmed.ncbi.nlm.nih.gov/42802900/</w:t>
      </w:r>
    </w:p>
    <w:p>
      <w:pPr>
        <w:pStyle w:val="Heading2"/>
      </w:pPr>
      <w:r>
        <w:t>Krankenhaus-Management-Modelle und Krebsergebnisse in São Paulo</w:t>
      </w:r>
    </w:p>
    <w:p>
      <w:r>
        <w:rPr>
          <w:i/>
          <w:color w:val="666666"/>
          <w:sz w:val="18"/>
        </w:rPr>
        <w:t>Delpino FM et al.  ·  Int J Health Plann Manage  ·  26.09.2026  ·  PMID 42800063</w:t>
      </w:r>
    </w:p>
    <w:p>
      <w:r>
        <w:t>Staggered Difference-in-Differences-Analyse zu 652.734 Brust-, Prostata- und Darmkrebs-Fällen (2000-2023) unter Vergleich von Social Health Organisations vs. direkt verwalteten Häusern.</w:t>
      </w:r>
    </w:p>
    <w:p>
      <w:r>
        <w:rPr>
          <w:b/>
        </w:rPr>
        <w:t xml:space="preserve">Ergebnis: </w:t>
      </w:r>
      <w:r>
        <w:t>SHO-Adoption assoziiert mit unpräzisen Änderungen: Diagnose-bis-Behandlung -155,3 Tage (95% CI -350,0 bis 39,4); Konsultation-bis-Diagnose -96,3 Tage (95% CI -237,7 bis 45,1); 30-Tage-Mortalität +0,8 Prozentpunkte (95% CI -4,0 bis 5,5). Kontrolle und Gewichtung materialverändernd.</w:t>
      </w:r>
    </w:p>
    <w:p>
      <w:r>
        <w:rPr>
          <w:b/>
          <w:sz w:val="19"/>
        </w:rPr>
        <w:t xml:space="preserve">Übertragbarkeit: </w:t>
      </w:r>
      <w:r>
        <w:rPr>
          <w:sz w:val="19"/>
        </w:rPr>
        <w:t>Brasilien, unterschiedliches Ressourcen-Setting; Fragestellung zu Managementmodellen kontextabhängig.</w:t>
      </w:r>
    </w:p>
    <w:p>
      <w:r>
        <w:rPr>
          <w:color w:val="5A7D3A"/>
          <w:sz w:val="18"/>
        </w:rPr>
        <w:t>https://pubmed.ncbi.nlm.nih.gov/42800063/</w:t>
      </w:r>
    </w:p>
    <w:p>
      <w:pPr>
        <w:pStyle w:val="Heading1"/>
      </w:pPr>
      <w:r>
        <w:t>Aufgenommen am 28.09.2026</w:t>
      </w:r>
    </w:p>
    <w:p>
      <w:pPr>
        <w:pStyle w:val="Heading2"/>
      </w:pPr>
      <w:r>
        <w:t>Wirksamkeit familienorientierter Intervention für Kinder psychisch erkrankter Eltern</w:t>
      </w:r>
    </w:p>
    <w:p>
      <w:r>
        <w:rPr>
          <w:i/>
          <w:color w:val="666666"/>
          <w:sz w:val="18"/>
        </w:rPr>
        <w:t>Paumen T et al.  ·  Child Adolesc Psychiatry Ment Health  ·  25.09.2026  ·  PMID 42800877</w:t>
      </w:r>
    </w:p>
    <w:p>
      <w:r>
        <w:t>Cluster-randomisierte Studie zur Wirksamkeit des CHIMPS-Programms (psychodynamische transdiagnostische Familienintervention) auf psychische Gesundheit und Lebensqualität bei 215 Kindern psychisch erkrankter Eltern in Deutschland und der Schweiz.</w:t>
      </w:r>
    </w:p>
    <w:p>
      <w:r>
        <w:rPr>
          <w:b/>
        </w:rPr>
        <w:t xml:space="preserve">Ergebnis: </w:t>
      </w:r>
      <w:r>
        <w:t>Odds Ratio 0,52 (95%-KI: 0,25-1,09) für diagnostische Remission in der Interventionsgruppe versus Kontrollgruppe – statistisch nicht signifikant. Keine klinisch relevanten Unterschiede in Sekundäroutcomes (Verhaltensauffälligkeiten, Lebensqualität). Geringe Erreichbarkeit und Adhärenz der Zielgruppe erschwerten Umsetzung.</w:t>
      </w:r>
    </w:p>
    <w:p>
      <w:r>
        <w:rPr>
          <w:b/>
          <w:sz w:val="19"/>
        </w:rPr>
        <w:t xml:space="preserve">Übertragbarkeit: </w:t>
      </w:r>
      <w:r>
        <w:rPr>
          <w:sz w:val="19"/>
        </w:rPr>
        <w:t>Deutsche Daten aus Universitätskliniken, gesetzlich versicherte Population</w:t>
      </w:r>
    </w:p>
    <w:p>
      <w:r>
        <w:rPr>
          <w:color w:val="5A7D3A"/>
          <w:sz w:val="18"/>
        </w:rPr>
        <w:t>https://pubmed.ncbi.nlm.nih.gov/42800877/</w:t>
      </w:r>
    </w:p>
    <w:p>
      <w:pPr>
        <w:pStyle w:val="Heading2"/>
      </w:pPr>
      <w:r>
        <w:t>Tamil-Validierung des Diabetes Quality-of-Life Brief Clinical Inventory</w:t>
      </w:r>
    </w:p>
    <w:p>
      <w:r>
        <w:rPr>
          <w:i/>
          <w:color w:val="666666"/>
          <w:sz w:val="18"/>
        </w:rPr>
        <w:t>Darshana N et al.  ·  BMC Health Serv Res  ·  14.09.2026  ·  PMID 42791544</w:t>
      </w:r>
    </w:p>
    <w:p>
      <w:r>
        <w:t>Kulturelle Adaptation und Validierung eines Instruments zur Messung der diabetesspezifischen Lebensqualität bei tamilsprachigen Erwachsenen mit Typ-2-Diabetes in Sri Lanka (n=165).</w:t>
      </w:r>
    </w:p>
    <w:p>
      <w:r>
        <w:rPr>
          <w:b/>
        </w:rPr>
        <w:t xml:space="preserve">Ergebnis: </w:t>
      </w:r>
      <w:r>
        <w:t>Cronbachs α=0,682, signifikante negative Korrelation mit WHOQOL-BREF (r=-0,559, p&lt;0,001), signifikant niedrigere Lebensqualität bei Patienten mit Mikrovaskularisierungskomplikationen (p=0,040). KMO=0,729, Faktorenanalyse erklärt 72% der Gesamtvarianz.</w:t>
      </w:r>
    </w:p>
    <w:p>
      <w:r>
        <w:rPr>
          <w:b/>
          <w:sz w:val="19"/>
        </w:rPr>
        <w:t xml:space="preserve">Übertragbarkeit: </w:t>
      </w:r>
      <w:r>
        <w:rPr>
          <w:sz w:val="19"/>
        </w:rPr>
        <w:t>Nur begrenzt: Südasiatische Bevölkerung, anderes Gesundheitssystem</w:t>
      </w:r>
    </w:p>
    <w:p>
      <w:r>
        <w:rPr>
          <w:color w:val="5A7D3A"/>
          <w:sz w:val="18"/>
        </w:rPr>
        <w:t>https://pubmed.ncbi.nlm.nih.gov/42791544/</w:t>
      </w:r>
    </w:p>
    <w:p>
      <w:pPr>
        <w:pStyle w:val="Heading2"/>
      </w:pPr>
      <w:r>
        <w:t>Gesundheitskompetenz und Versorgungsintegration bei Kindern mit Spezialversorgungsbedarfen</w:t>
      </w:r>
    </w:p>
    <w:p>
      <w:r>
        <w:rPr>
          <w:i/>
          <w:color w:val="666666"/>
          <w:sz w:val="18"/>
        </w:rPr>
        <w:t>Skoss R et al.  ·  BMC Health Serv Res  ·  11.08.2026  ·  PMID 42791541</w:t>
      </w:r>
    </w:p>
    <w:p>
      <w:r>
        <w:t>Querschnittstudie zur Beziehung zwischen Gesundheitskompetenz von Eltern, Erfahrungen mit Versorgungsintegration und Elternbelastung bei 126 australischen Eltern von Kindern mit Spezialversorgungsbedarfen.</w:t>
      </w:r>
    </w:p>
    <w:p>
      <w:r>
        <w:rPr>
          <w:b/>
        </w:rPr>
        <w:t xml:space="preserve">Ergebnis: </w:t>
      </w:r>
      <w:r>
        <w:t>Clusteranalyse identifizierte drei Gesundheitskompetenz-Profile; höhere Kompetenz assoziiert mit besseren Erfahrungen bei Versorgungsintegration und niedrigerem Elternstress. Mehrheitlich Eltern mit Behinderungs-(53,7%) und Atemwegserkrankungen (38,9%) vertreten.</w:t>
      </w:r>
    </w:p>
    <w:p>
      <w:r>
        <w:rPr>
          <w:b/>
          <w:sz w:val="19"/>
        </w:rPr>
        <w:t xml:space="preserve">Übertragbarkeit: </w:t>
      </w:r>
      <w:r>
        <w:rPr>
          <w:sz w:val="19"/>
        </w:rPr>
        <w:t>Steuerfinanziert, englischsprachig – begrenzte Übertragbarkeit auf deutsches SV-System</w:t>
      </w:r>
    </w:p>
    <w:p>
      <w:r>
        <w:rPr>
          <w:color w:val="5A7D3A"/>
          <w:sz w:val="18"/>
        </w:rPr>
        <w:t>https://pubmed.ncbi.nlm.nih.gov/42791541/</w:t>
      </w:r>
    </w:p>
    <w:p>
      <w:pPr>
        <w:pStyle w:val="Heading2"/>
      </w:pPr>
      <w:r>
        <w:t>Zivilgesellschaftliche Organisationen in Gesundheitsversorgung für Migranten auf der Balkanroute</w:t>
      </w:r>
    </w:p>
    <w:p>
      <w:r>
        <w:rPr>
          <w:i/>
          <w:color w:val="666666"/>
          <w:sz w:val="18"/>
        </w:rPr>
        <w:t>Link F et al.  ·  Int J Equity Health  ·  24.09.2026  ·  PMID 42791536</w:t>
      </w:r>
    </w:p>
    <w:p>
      <w:r>
        <w:t>Qualitative Studie mit 15 CSO-Mitarbeitern aus 11 Ländern (März–Mai 2024) zu Barrieren, Erleichterungen und Rollen von Zivilgesellschaft bei Gesundheitsversorgung für Menschen in Migrationsprozessen.</w:t>
      </w:r>
    </w:p>
    <w:p>
      <w:r>
        <w:rPr>
          <w:b/>
        </w:rPr>
        <w:t xml:space="preserve">Ergebnis: </w:t>
      </w:r>
      <w:r>
        <w:t>Vier Hauptkategorien identifiziert: fragmentierte Migrationspolitik, begrenzte Systemkapazitäten, Diskriminierung und Rechtsbarrieren. CSO erfüllen kritische Lückenfüllungsfunktion durch Mediation und Advocacy; jedoch chronische Finanzierungsunsicherheit, Personalengpässe und ethische Spannungen. Vertrauen zwischen CSO, Gesundheitssystem und Behörden essentiell.</w:t>
      </w:r>
    </w:p>
    <w:p>
      <w:r>
        <w:rPr>
          <w:b/>
          <w:sz w:val="19"/>
        </w:rPr>
        <w:t xml:space="preserve">Übertragbarkeit: </w:t>
      </w:r>
      <w:r>
        <w:rPr>
          <w:sz w:val="19"/>
        </w:rPr>
        <w:t>Europäischer Kontext (11 Länder), Mehrländer-Perspektive – Migrationsstrukturen relevant</w:t>
      </w:r>
    </w:p>
    <w:p>
      <w:r>
        <w:rPr>
          <w:color w:val="5A7D3A"/>
          <w:sz w:val="18"/>
        </w:rPr>
        <w:t>https://pubmed.ncbi.nlm.nih.gov/42791536/</w:t>
      </w:r>
    </w:p>
    <w:p>
      <w:pPr>
        <w:pStyle w:val="Heading2"/>
      </w:pPr>
      <w:r>
        <w:t>Präklinische Halswirbelimmobilisierung und Mortalität bei Traumapatienten</w:t>
      </w:r>
    </w:p>
    <w:p>
      <w:r>
        <w:rPr>
          <w:i/>
          <w:color w:val="666666"/>
          <w:sz w:val="18"/>
        </w:rPr>
        <w:t>Häske D et al.  ·  World J Emerg Surg  ·  22.09.2026  ·  PMID 42786484</w:t>
      </w:r>
    </w:p>
    <w:p>
      <w:r>
        <w:t>Retrospektive Beobachtungsstudie aus deutschem Traumaregister (TraumaRegister DGU, 2020–2022) mit Propensity-Score-Matching zu Effekt präklinischer Halswirbelimmobilisierung auf Krankenhausmortalität und neurologische Outcomes (n=31.055, davon 16.922 gematched).</w:t>
      </w:r>
    </w:p>
    <w:p>
      <w:r>
        <w:rPr>
          <w:b/>
        </w:rPr>
        <w:t xml:space="preserve">Ergebnis: </w:t>
      </w:r>
      <w:r>
        <w:t>Mortalität gematched: 12,0% mit Immobilisierung vs. 13,6% ohne (p=0,001), kein klinisch bedeutsamer Unterschied. Bei bestätigter Halswirbelverletztung (n=1.362): Mortalität 17,9% vs. 18,2% (p=0,888), Glasgow Outcome Scale zeigt kein signifikanten Unterschied. GCS-Verbesserung Einsatzstelle-Hospital marginal höher mit Immobilisierung (15,7% vs. 12,8%, p&lt;0,001).</w:t>
      </w:r>
    </w:p>
    <w:p>
      <w:r>
        <w:rPr>
          <w:b/>
          <w:sz w:val="19"/>
        </w:rPr>
        <w:t xml:space="preserve">Übertragbarkeit: </w:t>
      </w:r>
      <w:r>
        <w:rPr>
          <w:sz w:val="19"/>
        </w:rPr>
        <w:t>Deutsche Routinedaten aus standardisiertem Traumaregister, System vergleichbar</w:t>
      </w:r>
    </w:p>
    <w:p>
      <w:r>
        <w:rPr>
          <w:color w:val="5A7D3A"/>
          <w:sz w:val="18"/>
        </w:rPr>
        <w:t>https://pubmed.ncbi.nlm.nih.gov/42786484/</w:t>
      </w:r>
    </w:p>
    <w:p>
      <w:pPr>
        <w:pStyle w:val="Heading2"/>
      </w:pPr>
      <w:r>
        <w:t>Empagliflozin-Effekte auf kardiovaskuläre Outcomes in sociodemografischen Subgruppen</w:t>
      </w:r>
    </w:p>
    <w:p>
      <w:r>
        <w:rPr>
          <w:i/>
          <w:color w:val="666666"/>
          <w:sz w:val="18"/>
        </w:rPr>
        <w:t>Cromer SJ et al.  ·  Diabetes Care  ·  21.09.2026  ·  PMID 42765974</w:t>
      </w:r>
    </w:p>
    <w:p>
      <w:r>
        <w:t>Real-World-Analyse aus US-Medicare-Daten (2014–2020) zur Heterogenität der Effekte von Empagliflozin auf MACE, Herzinsuffizienz-Hospitalisierung und Mortalität bei älteren Erwachsenen mit Typ-2-Diabetes (n propensity-matched: 16.922).</w:t>
      </w:r>
    </w:p>
    <w:p>
      <w:r>
        <w:rPr>
          <w:b/>
        </w:rPr>
        <w:t xml:space="preserve">Ergebnis: </w:t>
      </w:r>
      <w:r>
        <w:t>Empagliflozin vs. DPP4-Inhibitoren: MACE HR 0,77 (99,9%-KI 0,69–0,85, IRD –10,3), HHF HR 0,72 (0,67–0,79, IRD –18,3), Mortalität HR 0,66 (0,57–0,76, IRD –8,6). Konsistente Effekte über sociodemografische Gruppen, höherer absoluter Nutzen mit prävalenter kardiovaskulärer Erkrankung.</w:t>
      </w:r>
    </w:p>
    <w:p>
      <w:r>
        <w:rPr>
          <w:b/>
          <w:sz w:val="19"/>
        </w:rPr>
        <w:t xml:space="preserve">Übertragbarkeit: </w:t>
      </w:r>
      <w:r>
        <w:rPr>
          <w:sz w:val="19"/>
        </w:rPr>
        <w:t>US-Daten – Fragestellung aber systemunabhängig, kardiometabolisch relevant</w:t>
      </w:r>
    </w:p>
    <w:p>
      <w:r>
        <w:rPr>
          <w:color w:val="5A7D3A"/>
          <w:sz w:val="18"/>
        </w:rPr>
        <w:t>https://pubmed.ncbi.nlm.nih.gov/42765974/</w:t>
      </w:r>
    </w:p>
    <w:p>
      <w:pPr>
        <w:pStyle w:val="Heading1"/>
      </w:pPr>
      <w:r>
        <w:t>Aufgenommen am 27.09.2026</w:t>
      </w:r>
    </w:p>
    <w:p>
      <w:pPr>
        <w:pStyle w:val="Heading2"/>
      </w:pPr>
      <w:r>
        <w:t>Geschlechtsspezifische Depressionsdiagnostik: Validierung des DESY-PC in der Primärversorgung</w:t>
      </w:r>
    </w:p>
    <w:p>
      <w:r>
        <w:rPr>
          <w:i/>
          <w:color w:val="666666"/>
          <w:sz w:val="18"/>
        </w:rPr>
        <w:t>Schäffler L et al.  ·  Eur Arch Psychiatry Clin Neurosci  ·  26.09.2026  ·  PMID 42799905</w:t>
      </w:r>
    </w:p>
    <w:p>
      <w:r>
        <w:t>Sekundäranalyse einer diagnostischen Querschnittsstudie mit 431 Primärversorgungspatienten (61% Frauen) zur Testgüte des neuen DESY-PC-Fragebogens versus PHQ-9 mit strukturiertem klinischem Interview als Goldstandard.</w:t>
      </w:r>
    </w:p>
    <w:p>
      <w:r>
        <w:rPr>
          <w:b/>
        </w:rPr>
        <w:t xml:space="preserve">Ergebnis: </w:t>
      </w:r>
      <w:r>
        <w:t>DESY-PC zeigte vergleichbare diagnostische Genauigkeit bei Frauen (AUC 0,85, 95% CI 0,80-0,91) und Männern (AUC 0,90, 95% CI 0,83-0,97, p=0,340). Sensitivität und Spezifität waren ausgeglichen (Cut-off 16: Sensitivität Frauen 74%, Männer 83%, p=0,422; Spezifität Frauen 82%, Männer 87%, p=0,220). Messinvarianz über Geschlechter bestätigt.</w:t>
      </w:r>
    </w:p>
    <w:p>
      <w:r>
        <w:rPr>
          <w:b/>
          <w:sz w:val="19"/>
        </w:rPr>
        <w:t xml:space="preserve">Übertragbarkeit: </w:t>
      </w:r>
      <w:r>
        <w:rPr>
          <w:sz w:val="19"/>
        </w:rPr>
        <w:t>Deutsche Akademische Primärversorgungspraxis in München; Screening-Instrument systemunabhängig</w:t>
      </w:r>
    </w:p>
    <w:p>
      <w:r>
        <w:rPr>
          <w:color w:val="5A7D3A"/>
          <w:sz w:val="18"/>
        </w:rPr>
        <w:t>https://pubmed.ncbi.nlm.nih.gov/42799905/</w:t>
      </w:r>
    </w:p>
    <w:p>
      <w:pPr>
        <w:pStyle w:val="Heading2"/>
      </w:pPr>
      <w:r>
        <w:t>Psychische Gesundheitsdiagnosen bei Kindern und Jugendlichen vor und während COVID-19 in Niedersachsen</w:t>
      </w:r>
    </w:p>
    <w:p>
      <w:r>
        <w:rPr>
          <w:i/>
          <w:color w:val="666666"/>
          <w:sz w:val="18"/>
        </w:rPr>
        <w:t>Jobski K et al.  ·  Children (Basel)  ·  14.09.2026  ·  PMID 42794265</w:t>
      </w:r>
    </w:p>
    <w:p>
      <w:r>
        <w:t>Trends-Analyse mit Routinedaten der AOK Niedersachsen 2018-2022 bei etwa 500.000 Versicherten unter 18 Jahren zur Inzidenz und Prävalenz von Angststörungen, depressiven Störungen, Essstörungen und ADHS.</w:t>
      </w:r>
    </w:p>
    <w:p>
      <w:r>
        <w:rPr>
          <w:b/>
        </w:rPr>
        <w:t xml:space="preserve">Ergebnis: </w:t>
      </w:r>
      <w:r>
        <w:t>2021 höchste Inzidenz für Angststörungen (34,7/1.000), gefolgt von ADHS (18,0/1.000), Depression (13,7/1.000) und Essstörungen (2,7/1.000). Vergleich 2019 zu 2021: Inzidenzen stiegen alle, besonders bei Mädchen 15-17 Jahre (Angst +23%, Depression +25%, ADHS +54%, Essstörungen +90%). 2022 Rückgang, aber Prävalenz bei Mädchen nicht auf Vor-Pandemie-Niveau.</w:t>
      </w:r>
    </w:p>
    <w:p>
      <w:r>
        <w:rPr>
          <w:b/>
          <w:sz w:val="19"/>
        </w:rPr>
        <w:t xml:space="preserve">Übertragbarkeit: </w:t>
      </w:r>
      <w:r>
        <w:rPr>
          <w:sz w:val="19"/>
        </w:rPr>
        <w:t>Deutsche Routinedaten, gesetzlich versicherte Kinder und Jugendliche Niedersachsen</w:t>
      </w:r>
    </w:p>
    <w:p>
      <w:r>
        <w:rPr>
          <w:color w:val="5A7D3A"/>
          <w:sz w:val="18"/>
        </w:rPr>
        <w:t>https://pubmed.ncbi.nlm.nih.gov/42794265/</w:t>
      </w:r>
    </w:p>
    <w:p>
      <w:pPr>
        <w:pStyle w:val="Heading2"/>
      </w:pPr>
      <w:r>
        <w:t>Schlaganfallzertifizierung und Prozessqualität in der akuten ischämischen Schlaganfallbehandlung</w:t>
      </w:r>
    </w:p>
    <w:p>
      <w:r>
        <w:rPr>
          <w:i/>
          <w:color w:val="666666"/>
          <w:sz w:val="18"/>
        </w:rPr>
        <w:t>Boehl M et al.  ·  Neurol Res Pract  ·  25.09.2026  ·  PMID 42791587</w:t>
      </w:r>
    </w:p>
    <w:p>
      <w:r>
        <w:t>Retrospektive Registeranalyse zur Assoziation zwischen Schlaganfalleinheitszertifizierung und Qualitätsindikatoren der intravenösen Thrombolyse in Hessen 2021-2024.</w:t>
      </w:r>
    </w:p>
    <w:p>
      <w:r>
        <w:rPr>
          <w:b/>
        </w:rPr>
        <w:t xml:space="preserve">Ergebnis: </w:t>
      </w:r>
      <w:r>
        <w:t>Zertifizierte Schlaganfalleinheiten führten signifikant häufiger Thrombolyse durch (primär 4,5 h: OR 2,32, 95% CI 1,65-3,27 für pSU; OR 2,19, 95% CI 1,57-3,07 für cSU). Door-to-needle ≤60 min wurden häufiger erreicht (pSU OR 3,13, 95% CI 2,13-4,61; cSU OR 2,60, 95% CI 1,80-3,75). Zertifizierung ist mit besseren Prozessqualitätsindikatoren assoziiert.</w:t>
      </w:r>
    </w:p>
    <w:p>
      <w:r>
        <w:rPr>
          <w:b/>
          <w:sz w:val="19"/>
        </w:rPr>
        <w:t xml:space="preserve">Übertragbarkeit: </w:t>
      </w:r>
      <w:r>
        <w:rPr>
          <w:sz w:val="19"/>
        </w:rPr>
        <w:t>Deutsche Routinedaten aus Hessen, gesetzlich versicherte Schlaganfallpatienten</w:t>
      </w:r>
    </w:p>
    <w:p>
      <w:r>
        <w:rPr>
          <w:color w:val="5A7D3A"/>
          <w:sz w:val="18"/>
        </w:rPr>
        <w:t>https://pubmed.ncbi.nlm.nih.gov/42791587/</w:t>
      </w:r>
    </w:p>
    <w:p>
      <w:pPr>
        <w:pStyle w:val="Heading2"/>
      </w:pPr>
      <w:r>
        <w:t>Patient-reported Experience und psychische Gesundheit: Unterschiede zwischen Immigrant*innen und norwegischer Bevölkerung in der Psychiatrie</w:t>
      </w:r>
    </w:p>
    <w:p>
      <w:r>
        <w:rPr>
          <w:i/>
          <w:color w:val="666666"/>
          <w:sz w:val="18"/>
        </w:rPr>
        <w:t>Ellingsen-Dalskau LH et al.  ·  BMC Health Serv Res  ·  12.09.2026  ·  PMID 42791573</w:t>
      </w:r>
    </w:p>
    <w:p>
      <w:r>
        <w:t>Nationale Befragung (2020-2022) von 8.184 Patienten in norwegischen psychiatrischen Stationen mit gemischten Methoden zu Unterschieden in Patientenerfahrung und Zwangsmaßnahmen zwischen Immigrant*innen und Mehrheitsbevölkerung.</w:t>
      </w:r>
    </w:p>
    <w:p>
      <w:r>
        <w:rPr>
          <w:b/>
        </w:rPr>
        <w:t xml:space="preserve">Ergebnis: </w:t>
      </w:r>
      <w:r>
        <w:t>Einige Immigrant*innengruppen berichteten höhere Zwangsanwendung und geringere Verbesserung der psychischen Gesundheit; qualitative Analyse zeigte unterschiedliche Erwartungen, Vertrauen, Kommunikation und Informationszugang als Einflussfaktoren. Insgesamt ähnliche Erfahrungswerte, aber kontextabhängige Unterschiede.</w:t>
      </w:r>
    </w:p>
    <w:p>
      <w:r>
        <w:rPr>
          <w:b/>
          <w:sz w:val="19"/>
        </w:rPr>
        <w:t xml:space="preserve">Übertragbarkeit: </w:t>
      </w:r>
      <w:r>
        <w:rPr>
          <w:sz w:val="19"/>
        </w:rPr>
        <w:t>Norwegen, Skandinavien mit ähnlichem Sozialversicherungssystem; Patientenperspektive übertragbar</w:t>
      </w:r>
    </w:p>
    <w:p>
      <w:r>
        <w:rPr>
          <w:color w:val="5A7D3A"/>
          <w:sz w:val="18"/>
        </w:rPr>
        <w:t>https://pubmed.ncbi.nlm.nih.gov/42791573/</w:t>
      </w:r>
    </w:p>
    <w:p>
      <w:pPr>
        <w:pStyle w:val="Heading2"/>
      </w:pPr>
      <w:r>
        <w:t>Bedeutung von Präsenzberatung in TIA-Kliniken aus Patienten- und Fachperspektive</w:t>
      </w:r>
    </w:p>
    <w:p>
      <w:r>
        <w:rPr>
          <w:i/>
          <w:color w:val="666666"/>
          <w:sz w:val="18"/>
        </w:rPr>
        <w:t>Heath J et al.  ·  BMC Health Serv Res  ·  14.09.2026  ·  PMID 42791572</w:t>
      </w:r>
    </w:p>
    <w:p>
      <w:r>
        <w:t>Qualitative Interviews mit 15 Patienten und 12 Fachpersonen in England zur Evaluation von virtuellen versus Face-to-Face-TIA-Kliniken während und nach COVID-19.</w:t>
      </w:r>
    </w:p>
    <w:p>
      <w:r>
        <w:rPr>
          <w:b/>
        </w:rPr>
        <w:t xml:space="preserve">Ergebnis: </w:t>
      </w:r>
      <w:r>
        <w:t>Patienten betonten die Wichtigkeit von Präsenzkontakt ('being seen'); zwei Kernthemen identifiziert: (1) bessere Kommunikationsmöglichkeiten und (2) Gefühl, von einem multiprofessionellen Team versorgt zu werden. Fachpersonen sahen virtuelle Kliniken positiver als Patienten; eine Hybrid-Lösung könnte optimal sein.</w:t>
      </w:r>
    </w:p>
    <w:p>
      <w:r>
        <w:rPr>
          <w:b/>
          <w:sz w:val="19"/>
        </w:rPr>
        <w:t xml:space="preserve">Übertragbarkeit: </w:t>
      </w:r>
      <w:r>
        <w:rPr>
          <w:sz w:val="19"/>
        </w:rPr>
        <w:t>Großbritannien (NHS), aber Fragestellung zu Patientenperspektive systemunabhängig</w:t>
      </w:r>
    </w:p>
    <w:p>
      <w:r>
        <w:rPr>
          <w:color w:val="5A7D3A"/>
          <w:sz w:val="18"/>
        </w:rPr>
        <w:t>https://pubmed.ncbi.nlm.nih.gov/42791572/</w:t>
      </w:r>
    </w:p>
    <w:p>
      <w:pPr>
        <w:pStyle w:val="Heading2"/>
      </w:pPr>
      <w:r>
        <w:t>Patient-Journey-Mapping für allogene Stammzelltransplantation: Holistische Versorgungsbedarfe</w:t>
      </w:r>
    </w:p>
    <w:p>
      <w:r>
        <w:rPr>
          <w:i/>
          <w:color w:val="666666"/>
          <w:sz w:val="18"/>
        </w:rPr>
        <w:t>Nan J et al.  ·  BMC Health Serv Res  ·  13.08.2026  ·  PMID 42786489</w:t>
      </w:r>
    </w:p>
    <w:p>
      <w:r>
        <w:t>Qualitative Studie mit 16 allogenen-HSCT-Patienten (November-Dezember 2025) zur Kartierung der Gesundheitsmanagement-Reise über vier Phasen (Screening, Transplantation, Erhaltungstherapie, Langzeit-Follow-up).</w:t>
      </w:r>
    </w:p>
    <w:p>
      <w:r>
        <w:rPr>
          <w:b/>
        </w:rPr>
        <w:t xml:space="preserve">Ergebnis: </w:t>
      </w:r>
      <w:r>
        <w:t>31 Themen über drei Dimensionen identifiziert (Aufgabenausführung, emotionaler Zustand, Schmerzpunkte). Symptombelastung verschoben sich dynamisch: psychische Belastung und Entscheidungslähmung in Phase 1, akute physische Symptome in Phase 2, chronische funktionelle Rückgänge in Phase 4. Durchgehend kritische Schmerzpunkte: fragmentierte Übergänge, Misalignment von Information zu Bedarf, fehlendes Selbstmanagement-Support, finanzielle Last.</w:t>
      </w:r>
    </w:p>
    <w:p>
      <w:r>
        <w:rPr>
          <w:b/>
          <w:sz w:val="19"/>
        </w:rPr>
        <w:t xml:space="preserve">Übertragbarkeit: </w:t>
      </w:r>
      <w:r>
        <w:rPr>
          <w:sz w:val="19"/>
        </w:rPr>
        <w:t>China, aber patient-centered Journey-Mapping-Methodik systemunabhängig übertragbar</w:t>
      </w:r>
    </w:p>
    <w:p>
      <w:r>
        <w:rPr>
          <w:color w:val="5A7D3A"/>
          <w:sz w:val="18"/>
        </w:rPr>
        <w:t>https://pubmed.ncbi.nlm.nih.gov/42786489/</w:t>
      </w:r>
    </w:p>
    <w:p>
      <w:pPr>
        <w:pStyle w:val="Heading1"/>
      </w:pPr>
      <w:r>
        <w:t>Aufgenommen am 26.09.2026</w:t>
      </w:r>
    </w:p>
    <w:p>
      <w:pPr>
        <w:pStyle w:val="Heading2"/>
      </w:pPr>
      <w:r>
        <w:t>Strukturiertes Shared Decision-Making in der Krankenhausversorgung</w:t>
      </w:r>
    </w:p>
    <w:p>
      <w:r>
        <w:rPr>
          <w:i/>
          <w:color w:val="666666"/>
          <w:sz w:val="18"/>
        </w:rPr>
        <w:t>Salas-Gama K et al.  ·  J Healthc Qual Res  ·  25.09.2026  ·  PMID 42790349</w:t>
      </w:r>
    </w:p>
    <w:p>
      <w:r>
        <w:t>Entwicklung und pilotweise Implementierung eines sechsstufigen Shared-Decision-Making-Modells zur Integration in Krankenhausabläufe mit Evaluation von Machbarkeit, Akzeptabilität und Outcome.</w:t>
      </w:r>
    </w:p>
    <w:p>
      <w:r>
        <w:rPr>
          <w:b/>
        </w:rPr>
        <w:t xml:space="preserve">Ergebnis: </w:t>
      </w:r>
      <w:r>
        <w:t>Bei Adipositas berichteten SDM-Teilnehmer höheres Patientenwissen (80,0% vs. 48,8%; p&lt;0,001) und größere Entscheidungszufriedenheit (28,0 vs. 24,2; p=0,022). Bei chronischer Nierenkrankheit zeigte sich signifikant höheres Wissen (91,1% vs. 37,1%; p&lt;0,001). Machbarkeitsschwellen wurden in beiden Indikationen erreicht.</w:t>
      </w:r>
    </w:p>
    <w:p>
      <w:r>
        <w:rPr>
          <w:b/>
          <w:sz w:val="19"/>
        </w:rPr>
        <w:t xml:space="preserve">Übertragbarkeit: </w:t>
      </w:r>
      <w:r>
        <w:rPr>
          <w:sz w:val="19"/>
        </w:rPr>
        <w:t>Spanien, Pilotprojekt im Krankenhaus - methodische Übertragbarkeit auf deutsches Setting gegeben</w:t>
      </w:r>
    </w:p>
    <w:p>
      <w:r>
        <w:rPr>
          <w:color w:val="5A7D3A"/>
          <w:sz w:val="18"/>
        </w:rPr>
        <w:t>https://pubmed.ncbi.nlm.nih.gov/42790349/</w:t>
      </w:r>
    </w:p>
    <w:p>
      <w:pPr>
        <w:pStyle w:val="Heading2"/>
      </w:pPr>
      <w:r>
        <w:t>Surgery on Foot-Protokoll: Patientenerfahrung bei Kolorektalkarzinom</w:t>
      </w:r>
    </w:p>
    <w:p>
      <w:r>
        <w:rPr>
          <w:i/>
          <w:color w:val="666666"/>
          <w:sz w:val="18"/>
        </w:rPr>
        <w:t>van Gool ISM et al.  ·  J Surg Oncol  ·  25.09.2026  ·  PMID 42788955</w:t>
      </w:r>
    </w:p>
    <w:p>
      <w:r>
        <w:t>Qualitative Studie zu Patientenerfahrungen mit dem Surgery-on-Foot-Protokoll, bei dem Patienten am OP-Tag (statt Vortagnacht) aufgenommen und zur OP gehen.</w:t>
      </w:r>
    </w:p>
    <w:p>
      <w:r>
        <w:rPr>
          <w:b/>
        </w:rPr>
        <w:t xml:space="preserve">Ergebnis: </w:t>
      </w:r>
      <w:r>
        <w:t>14 Patienten befragt; Gesamterfahrung positiv. Faktoren für Kontrollgefühl: persönlicher Umgang, involvierte Ärzte und Anwesenheit von Bezugspersonen. Einige Patienten berichteten Angst und Unbehagen bezüglich Krankenhausumgebung. Protokoll wirkte sich positiv auf patientenzentrierte Aspekte aus.</w:t>
      </w:r>
    </w:p>
    <w:p>
      <w:r>
        <w:rPr>
          <w:b/>
          <w:sz w:val="19"/>
        </w:rPr>
        <w:t xml:space="preserve">Übertragbarkeit: </w:t>
      </w:r>
      <w:r>
        <w:rPr>
          <w:sz w:val="19"/>
        </w:rPr>
        <w:t>Niederlande (akademisches Krankenhaus), vergleichbares Versorgungssystem mit Deutschland</w:t>
      </w:r>
    </w:p>
    <w:p>
      <w:r>
        <w:rPr>
          <w:color w:val="5A7D3A"/>
          <w:sz w:val="18"/>
        </w:rPr>
        <w:t>https://pubmed.ncbi.nlm.nih.gov/42788955/</w:t>
      </w:r>
    </w:p>
    <w:p>
      <w:pPr>
        <w:pStyle w:val="Heading2"/>
      </w:pPr>
      <w:r>
        <w:t>Transformatives Governance-Modell für Gesundheit - Evaluierung des Programms Alles ist Gezondheid</w:t>
      </w:r>
    </w:p>
    <w:p>
      <w:r>
        <w:rPr>
          <w:i/>
          <w:color w:val="666666"/>
          <w:sz w:val="18"/>
        </w:rPr>
        <w:t>Bekker MPM et al.  ·  TSG  ·  16.09.2026  ·  PMID 42787321</w:t>
      </w:r>
    </w:p>
    <w:p>
      <w:r>
        <w:t>Mehrfachfallstudie zur Evaluierung eines niederländischen Programms für domeinoverstijgende Gesundheitsnetze; Entwicklung eines heuristischen Transformativen-Governance-Modells basierend auf Interviews, Beobachtungen und Workshops.</w:t>
      </w:r>
    </w:p>
    <w:p>
      <w:r>
        <w:rPr>
          <w:b/>
        </w:rPr>
        <w:t xml:space="preserve">Ergebnis: </w:t>
      </w:r>
      <w:r>
        <w:t>Fünf Small Wins und fünf Veränderungsmechanismen identifiziert, die sich nicht-linear gegenseitig verstärken. Konflikteskalation und -management essentiell für Anpassung von Normen und Regeln. Modell zeigt, wie Transformationsprozesse durch nationale Plattform und Zusammenarbeit ermöglicht werden.</w:t>
      </w:r>
    </w:p>
    <w:p>
      <w:r>
        <w:rPr>
          <w:b/>
          <w:sz w:val="19"/>
        </w:rPr>
        <w:t xml:space="preserve">Übertragbarkeit: </w:t>
      </w:r>
      <w:r>
        <w:rPr>
          <w:sz w:val="19"/>
        </w:rPr>
        <w:t>Niederlande, Sozialversicherungssystem - hohe Übertragbarkeit auf Deutschland</w:t>
      </w:r>
    </w:p>
    <w:p>
      <w:r>
        <w:rPr>
          <w:color w:val="5A7D3A"/>
          <w:sz w:val="18"/>
        </w:rPr>
        <w:t>https://pubmed.ncbi.nlm.nih.gov/42787321/</w:t>
      </w:r>
    </w:p>
    <w:p>
      <w:pPr>
        <w:pStyle w:val="Heading2"/>
      </w:pPr>
      <w:r>
        <w:t>Komplexität von Beatmungsentwöhnung in der Intensivmedizin</w:t>
      </w:r>
    </w:p>
    <w:p>
      <w:r>
        <w:rPr>
          <w:i/>
          <w:color w:val="666666"/>
          <w:sz w:val="18"/>
        </w:rPr>
        <w:t>Sterr F et al.  ·  Nurs Crit Care  ·  Nov. 2026  ·  PMID 42786673</w:t>
      </w:r>
    </w:p>
    <w:p>
      <w:r>
        <w:t>Qualitative Studie mit 29 Intensivpflegefachkräften zur Identifikation von Charakteristika und Mechanismen der Beatmungsentwöhnung als komplexe Intervention.</w:t>
      </w:r>
    </w:p>
    <w:p>
      <w:r>
        <w:rPr>
          <w:b/>
        </w:rPr>
        <w:t xml:space="preserve">Ergebnis: </w:t>
      </w:r>
      <w:r>
        <w:t>Vier Hauptthemen identifiziert: Komplexität der Beatmungsentwöhnung, Outcomes, Interventionen sowie Verknüpfungen und Wechselwirkungen. Analyse zeigt, dass Beatmungsentwöhnung durch Interaktion verschiedener Interventionen, Outcomes und kontextueller Faktoren geprägt ist und theoretisch-konzeptuell organisiert werden muss.</w:t>
      </w:r>
    </w:p>
    <w:p>
      <w:r>
        <w:rPr>
          <w:b/>
          <w:sz w:val="19"/>
        </w:rPr>
        <w:t xml:space="preserve">Übertragbarkeit: </w:t>
      </w:r>
      <w:r>
        <w:rPr>
          <w:sz w:val="19"/>
        </w:rPr>
        <w:t>Deutschland, qualitative Analyse von Intensivpflegeprozessen - systemunabhängig übertragbar</w:t>
      </w:r>
    </w:p>
    <w:p>
      <w:r>
        <w:rPr>
          <w:color w:val="5A7D3A"/>
          <w:sz w:val="18"/>
        </w:rPr>
        <w:t>https://pubmed.ncbi.nlm.nih.gov/42786673/</w:t>
      </w:r>
    </w:p>
    <w:p>
      <w:pPr>
        <w:pStyle w:val="Heading2"/>
      </w:pPr>
      <w:r>
        <w:t>Vertrauen in Gesundheitssystem und Vermeidung von Gesundheitsleistungen</w:t>
      </w:r>
    </w:p>
    <w:p>
      <w:r>
        <w:rPr>
          <w:i/>
          <w:color w:val="666666"/>
          <w:sz w:val="18"/>
        </w:rPr>
        <w:t>Uçar M et al.  ·  BMC Health Serv Res  ·  31.08.2026  ·  PMID 42786500</w:t>
      </w:r>
    </w:p>
    <w:p>
      <w:r>
        <w:t>Querschnittsuntersuchung zum Zusammenhang zwischen medizinischem Vertrauen, Systemvertrauen und Verzögerungsverhalten bei der Inanspruchnahme sowie Einstellung zu Krebsscreening in der Primärversorgung.</w:t>
      </w:r>
    </w:p>
    <w:p>
      <w:r>
        <w:rPr>
          <w:b/>
        </w:rPr>
        <w:t xml:space="preserve">Ergebnis: </w:t>
      </w:r>
      <w:r>
        <w:t>Medizinisches Misstrauen und Systemvertrauen waren positiv mit Verzögerungsverhalten assoziiert und negativ mit Screening-Einstellungen (p&lt;0,001). Medizinisches Misstrauen zeigte stärkste unabhängige Assoziation mit Verzögerungsverhalten (β=0,59) und Screening-Einstellung (β=-0,79).</w:t>
      </w:r>
    </w:p>
    <w:p>
      <w:r>
        <w:rPr>
          <w:b/>
          <w:sz w:val="19"/>
        </w:rPr>
        <w:t xml:space="preserve">Übertragbarkeit: </w:t>
      </w:r>
      <w:r>
        <w:rPr>
          <w:sz w:val="19"/>
        </w:rPr>
        <w:t>Türkei, aber Fragestellung zum Vertrauensaufbau systemunabhängig relevant</w:t>
      </w:r>
    </w:p>
    <w:p>
      <w:r>
        <w:rPr>
          <w:color w:val="5A7D3A"/>
          <w:sz w:val="18"/>
        </w:rPr>
        <w:t>https://pubmed.ncbi.nlm.nih.gov/42786500/</w:t>
      </w:r>
    </w:p>
    <w:p>
      <w:pPr>
        <w:pStyle w:val="Heading2"/>
      </w:pPr>
      <w:r>
        <w:t>Versorgungslücken in der Rehabilitation von unter 60-Jährigen in Deutschland</w:t>
      </w:r>
    </w:p>
    <w:p>
      <w:r>
        <w:rPr>
          <w:i/>
          <w:color w:val="666666"/>
          <w:sz w:val="18"/>
        </w:rPr>
        <w:t>Armbruster C et al.  ·  BMC Health Serv Res  ·  24.09.2026  ·  PMID 42786497</w:t>
      </w:r>
    </w:p>
    <w:p>
      <w:r>
        <w:t>Exploratory Expertenbefragung zu Versorgungslücken und Machbarkeit einer indikationsübergreifenden, ambulanten Rehabilitationsversorgung für Patienten unter 60 Jahren mit komplexen Beeinträchtigungen.</w:t>
      </w:r>
    </w:p>
    <w:p>
      <w:r>
        <w:rPr>
          <w:b/>
        </w:rPr>
        <w:t xml:space="preserve">Ergebnis: </w:t>
      </w:r>
      <w:r>
        <w:t>136 Experten aus sechs Fachbereichen nahmen teil; überwiegende Mehrheit sah hohe Versorgungslücken in aktuellen Rehabilitationsdiensten. Experten bewerteten indikationsübergreifende, ambulante Rehabilitation positiv bezüglich Nutzen und Notwendigkeit, um bestehende Versorgungslücken zu schließen.</w:t>
      </w:r>
    </w:p>
    <w:p>
      <w:r>
        <w:rPr>
          <w:b/>
          <w:sz w:val="19"/>
        </w:rPr>
        <w:t xml:space="preserve">Übertragbarkeit: </w:t>
      </w:r>
      <w:r>
        <w:rPr>
          <w:sz w:val="19"/>
        </w:rPr>
        <w:t>Deutsche Expertenbefragung, direkt auf deutsches Versorgungssystem anwendbar</w:t>
      </w:r>
    </w:p>
    <w:p>
      <w:r>
        <w:rPr>
          <w:color w:val="5A7D3A"/>
          <w:sz w:val="18"/>
        </w:rPr>
        <w:t>https://pubmed.ncbi.nlm.nih.gov/42786497/</w:t>
      </w:r>
    </w:p>
    <w:p>
      <w:pPr>
        <w:pStyle w:val="Heading1"/>
      </w:pPr>
      <w:r>
        <w:t>Aufgenommen am 25.09.2026</w:t>
      </w:r>
    </w:p>
    <w:p>
      <w:pPr>
        <w:pStyle w:val="Heading2"/>
      </w:pPr>
      <w:r>
        <w:t>Morbiditäten und Infektionen bei MS-Patienten in niederländischen Hausarztpraxen</w:t>
      </w:r>
    </w:p>
    <w:p>
      <w:r>
        <w:rPr>
          <w:i/>
          <w:color w:val="666666"/>
          <w:sz w:val="18"/>
        </w:rPr>
        <w:t>Lemmens CMC et al.  ·  Mult Scler Relat Disord  ·  14.09.2026  ·  PMID 42785001</w:t>
      </w:r>
    </w:p>
    <w:p>
      <w:r>
        <w:t>Retrospektive Fall-Kontroll-Studie zu Begleiterkrankungen und Infektionsraten bei MS-Patienten versus Kontrollpersonen in niederländischen Primärversorgungspraxen (Nivel-Datenbank 2019).</w:t>
      </w:r>
    </w:p>
    <w:p>
      <w:r>
        <w:rPr>
          <w:b/>
        </w:rPr>
        <w:t xml:space="preserve">Ergebnis: </w:t>
      </w:r>
      <w:r>
        <w:t>MS-Patienten zeigten höhere Lebenszeitprävalenz chronischer Erkrankungen (insbesondere Osteoporose, Schlaganfall, Epilepsie); jährliche Infektionsrate OR 1,86 (95%-KI 1,73–1,99). CCI-Scores ≥2 und ≥1 Infektionsepisode waren mit erhöhter 5-Jahres-Mortalität assoziiert (aHR 3,30 bzw. 1,68).</w:t>
      </w:r>
    </w:p>
    <w:p>
      <w:r>
        <w:rPr>
          <w:b/>
          <w:sz w:val="19"/>
        </w:rPr>
        <w:t xml:space="preserve">Übertragbarkeit: </w:t>
      </w:r>
      <w:r>
        <w:rPr>
          <w:sz w:val="19"/>
        </w:rPr>
        <w:t>Niederlande, Primärversorgungsdaten; vergleichbares Sozialversicherungssystem</w:t>
      </w:r>
    </w:p>
    <w:p>
      <w:r>
        <w:rPr>
          <w:color w:val="5A7D3A"/>
          <w:sz w:val="18"/>
        </w:rPr>
        <w:t>https://pubmed.ncbi.nlm.nih.gov/42785001/</w:t>
      </w:r>
    </w:p>
    <w:p>
      <w:pPr>
        <w:pStyle w:val="Heading2"/>
      </w:pPr>
      <w:r>
        <w:t>Patientenperspektiven auf Apotheker-gesteuertes Hypertonie-Management nach Notaufnahme</w:t>
      </w:r>
    </w:p>
    <w:p>
      <w:r>
        <w:rPr>
          <w:i/>
          <w:color w:val="666666"/>
          <w:sz w:val="18"/>
        </w:rPr>
        <w:t>Kuhn D et al.  ·  Am J Health Syst Pharm  ·  24.09.2026  ·  PMID 42781767</w:t>
      </w:r>
    </w:p>
    <w:p>
      <w:r>
        <w:t>Qualitative Studie mit 11 Patienten aus urban-akademischer Notaufnahme zur Akzeptanz von Apotheker-gesteuerter Hypertonie-Nachbetreuung nach Entlassung.</w:t>
      </w:r>
    </w:p>
    <w:p>
      <w:r>
        <w:rPr>
          <w:b/>
        </w:rPr>
        <w:t xml:space="preserve">Ergebnis: </w:t>
      </w:r>
      <w:r>
        <w:t>Vier Themen: (1) begrenzte Hypertonie-Kommunikation, Wissenslücken; (2) Technologie mindert Barrieren; (3) Apotheker-Expertise akzeptiert, aber Unsicherheit zu Qualifikation/Verschreibungsrecht; (4) Wert von Kontinuität und Arzt-Apotheker-Zusammenarbeit.</w:t>
      </w:r>
    </w:p>
    <w:p>
      <w:r>
        <w:rPr>
          <w:b/>
          <w:sz w:val="19"/>
        </w:rPr>
        <w:t xml:space="preserve">Übertragbarkeit: </w:t>
      </w:r>
      <w:r>
        <w:rPr>
          <w:sz w:val="19"/>
        </w:rPr>
        <w:t>USA, aber Fragestellung zu Prozessen/Patientenperspektive teilweise übertragbar</w:t>
      </w:r>
    </w:p>
    <w:p>
      <w:r>
        <w:rPr>
          <w:color w:val="5A7D3A"/>
          <w:sz w:val="18"/>
        </w:rPr>
        <w:t>https://pubmed.ncbi.nlm.nih.gov/42781767/</w:t>
      </w:r>
    </w:p>
    <w:p>
      <w:pPr>
        <w:pStyle w:val="Heading2"/>
      </w:pPr>
      <w:r>
        <w:t>Referenzpreise beeinflussen Kostenanalysen in gesundheitsökonomischen Evaluationen</w:t>
      </w:r>
    </w:p>
    <w:p>
      <w:r>
        <w:rPr>
          <w:i/>
          <w:color w:val="666666"/>
          <w:sz w:val="18"/>
        </w:rPr>
        <w:t>Hoelen TA et al.  ·  Int J Technol Assess Health Care  ·  24.09.2026  ·  PMID 42779108</w:t>
      </w:r>
    </w:p>
    <w:p>
      <w:r>
        <w:t>Empirischer Vergleich der Auswirkungen nationaler Preisrichtlinien auf Kostenanalysen von Gesundheitstechnologien anhand idiopathischer Skoliose in Niederlanden und Großbritannien.</w:t>
      </w:r>
    </w:p>
    <w:p>
      <w:r>
        <w:rPr>
          <w:b/>
        </w:rPr>
        <w:t xml:space="preserve">Ergebnis: </w:t>
      </w:r>
      <w:r>
        <w:t>Niederländische Kostenestimate stiegen um 18% nach Richtlinien-Update 2014–2024; UK-Kosten waren 69% höher als in NL. Zwölf niederländische Kostenposten änderten sich um &gt;10%, vier britische – deutliche Methodenvariation zwischen Ländern.</w:t>
      </w:r>
    </w:p>
    <w:p>
      <w:r>
        <w:rPr>
          <w:b/>
          <w:sz w:val="19"/>
        </w:rPr>
        <w:t xml:space="preserve">Übertragbarkeit: </w:t>
      </w:r>
      <w:r>
        <w:rPr>
          <w:sz w:val="19"/>
        </w:rPr>
        <w:t>Niederlande, Vereinigtes Königreich; zentrale Erkenntnisse zu Übertragbarkeitsgrenzen</w:t>
      </w:r>
    </w:p>
    <w:p>
      <w:r>
        <w:rPr>
          <w:color w:val="5A7D3A"/>
          <w:sz w:val="18"/>
        </w:rPr>
        <w:t>https://pubmed.ncbi.nlm.nih.gov/42779108/</w:t>
      </w:r>
    </w:p>
    <w:p>
      <w:pPr>
        <w:pStyle w:val="Heading2"/>
      </w:pPr>
      <w:r>
        <w:t>Regionale Demenz-Strategie durch Delphi-Prozess: Sachsen-Anhalt</w:t>
      </w:r>
    </w:p>
    <w:p>
      <w:r>
        <w:rPr>
          <w:i/>
          <w:color w:val="666666"/>
          <w:sz w:val="18"/>
        </w:rPr>
        <w:t>Schiller C et al.  ·  BMC Health Serv Res  ·  22.09.2026  ·  PMID 42778917</w:t>
      </w:r>
    </w:p>
    <w:p>
      <w:r>
        <w:t>Partizipative, zweiphasige Methode (Delphi + deliberative Dialoge) zur Entwicklung einer regionalen Demenz-Strategie mit 406 Teilnehmern (Betroffene, Angehörige, Fachkräfte, Politiker).</w:t>
      </w:r>
    </w:p>
    <w:p>
      <w:r>
        <w:rPr>
          <w:b/>
        </w:rPr>
        <w:t xml:space="preserve">Ergebnis: </w:t>
      </w:r>
      <w:r>
        <w:t>88 initiale Ziele; 47 erreichten Konsens in Runde 1, 21 weitere in Runde 2, 7 durch Dialoge validiert. Finale Strategie: 40 strategische Ziele in vier Themenbereichen. Identifizierte Hürden: Fachkräftemangel, Bürokratie, Angehörigen-Belastung.</w:t>
      </w:r>
    </w:p>
    <w:p>
      <w:r>
        <w:rPr>
          <w:b/>
          <w:sz w:val="19"/>
        </w:rPr>
        <w:t xml:space="preserve">Übertragbarkeit: </w:t>
      </w:r>
      <w:r>
        <w:rPr>
          <w:sz w:val="19"/>
        </w:rPr>
        <w:t>Deutschland (Sachsen-Anhalt); direkter Übertrag auf Versorgungsplanung</w:t>
      </w:r>
    </w:p>
    <w:p>
      <w:r>
        <w:rPr>
          <w:color w:val="5A7D3A"/>
          <w:sz w:val="18"/>
        </w:rPr>
        <w:t>https://pubmed.ncbi.nlm.nih.gov/42778917/</w:t>
      </w:r>
    </w:p>
    <w:p>
      <w:pPr>
        <w:pStyle w:val="Heading2"/>
      </w:pPr>
      <w:r>
        <w:t>Ökonomische Evaluation von Prävention gegen Langzeiterkrankschreibung</w:t>
      </w:r>
    </w:p>
    <w:p>
      <w:r>
        <w:rPr>
          <w:i/>
          <w:color w:val="666666"/>
          <w:sz w:val="18"/>
        </w:rPr>
        <w:t>Klasen S et al.  ·  J Occup Rehabil  ·  23.09.2026  ·  PMID 42778834</w:t>
      </w:r>
    </w:p>
    <w:p>
      <w:r>
        <w:t>Gesundheitsökonomische Analyse einer Früh-Interventionsstrategie gegen Langzeitausfallrisiko basierend auf RCT-Daten mit 12-Monats-Follow-up in Niederlanden.</w:t>
      </w:r>
    </w:p>
    <w:p>
      <w:r>
        <w:rPr>
          <w:b/>
        </w:rPr>
        <w:t xml:space="preserve">Ergebnis: </w:t>
      </w:r>
      <w:r>
        <w:t>Aus Arbeitgeber-Perspektive dominant (€–3,92/Punkt Selbstempfundene-Gesundheit-Verbesserung mit Kostenersparnis durch reduzierte Krankschreibung). Aus Gesellschafts- und Gesundheitswesen-Perspektive: ICER €39,19–39,77/Punkt.</w:t>
      </w:r>
    </w:p>
    <w:p>
      <w:r>
        <w:rPr>
          <w:b/>
          <w:sz w:val="19"/>
        </w:rPr>
        <w:t xml:space="preserve">Übertragbarkeit: </w:t>
      </w:r>
      <w:r>
        <w:rPr>
          <w:sz w:val="19"/>
        </w:rPr>
        <w:t>Niederlande, Sozialversicherungssystem, Arbeitsmedizin-Fokus</w:t>
      </w:r>
    </w:p>
    <w:p>
      <w:r>
        <w:rPr>
          <w:color w:val="5A7D3A"/>
          <w:sz w:val="18"/>
        </w:rPr>
        <w:t>https://pubmed.ncbi.nlm.nih.gov/42778834/</w:t>
      </w:r>
    </w:p>
    <w:p>
      <w:pPr>
        <w:pStyle w:val="Heading2"/>
      </w:pPr>
      <w:r>
        <w:t>Kosteneffektivität von endoskopischer Schlauchmagen-Bildung in Singapur</w:t>
      </w:r>
    </w:p>
    <w:p>
      <w:r>
        <w:rPr>
          <w:i/>
          <w:color w:val="666666"/>
          <w:sz w:val="18"/>
        </w:rPr>
        <w:t>Chay J et al.  ·  Surg Obes Relat Dis  ·  28.08.2026  ·  PMID 42767913</w:t>
      </w:r>
    </w:p>
    <w:p>
      <w:r>
        <w:t>Markov-Modell zur Lebenszeitanalyse von endoskopischer Schlauchmagen-Bildung plus Lebensstiländerung versus alleinige Lebensstiländerung bei Adipositas.</w:t>
      </w:r>
    </w:p>
    <w:p>
      <w:r>
        <w:rPr>
          <w:b/>
        </w:rPr>
        <w:t xml:space="preserve">Ergebnis: </w:t>
      </w:r>
      <w:r>
        <w:t>ICER SG$24.580/QALY (US$18.410). Für Patienten ohne T2D: SG$19.320/QALY; mit T2D: SG$37.320/QALY. Bei Schwelle SG$75.000/QALY kosteneffektiv in 98,8% probabilistischer Sensitivitätsanalysen.</w:t>
      </w:r>
    </w:p>
    <w:p>
      <w:r>
        <w:rPr>
          <w:b/>
          <w:sz w:val="19"/>
        </w:rPr>
        <w:t xml:space="preserve">Übertragbarkeit: </w:t>
      </w:r>
      <w:r>
        <w:rPr>
          <w:sz w:val="19"/>
        </w:rPr>
        <w:t>Nur bedingt: Singapur-Kontext, andere Kostenstrukturen; Fragestellung aber systemunabhängig</w:t>
      </w:r>
    </w:p>
    <w:p>
      <w:r>
        <w:rPr>
          <w:color w:val="5A7D3A"/>
          <w:sz w:val="18"/>
        </w:rPr>
        <w:t>https://pubmed.ncbi.nlm.nih.gov/42767913/</w:t>
      </w:r>
    </w:p>
    <w:p>
      <w:pPr>
        <w:pStyle w:val="Heading1"/>
      </w:pPr>
      <w:r>
        <w:t>Aufgenommen am 24.09.2026</w:t>
      </w:r>
    </w:p>
    <w:p>
      <w:pPr>
        <w:pStyle w:val="Heading2"/>
      </w:pPr>
      <w:r>
        <w:t>Rauchen und schwere Erkrankungen: 10-Jahres-Assoziation mit Nikotinentwöhnung</w:t>
      </w:r>
    </w:p>
    <w:p>
      <w:r>
        <w:rPr>
          <w:i/>
          <w:color w:val="666666"/>
          <w:sz w:val="18"/>
        </w:rPr>
        <w:t>Imai E et al.  ·  J Epidemiol  ·  19.09.2026  ·  PMID 42778372</w:t>
      </w:r>
    </w:p>
    <w:p>
      <w:r>
        <w:t>Prospektive Kohortenstudie mit 17.779 japanischen Rauchern zur Assoziation von Herzinfarkt, Schlaganfall, Krebs und Chirurgie mit langfristiger Rauchentwöhnung.</w:t>
      </w:r>
    </w:p>
    <w:p>
      <w:r>
        <w:rPr>
          <w:b/>
        </w:rPr>
        <w:t xml:space="preserve">Ergebnis: </w:t>
      </w:r>
      <w:r>
        <w:t>26,9 % der Raucher (n=4.789) beendeten das Rauchen über 10 Jahre. Major-disease-Diagnosen zeigten starke Assoziation mit Entwöhnung (OR 5,39; 95%-KI 4,80–6,05); Herzinfarkt OR 6,87 (95%-KI 5,18–9,12), Schlaganfall OR 4,03 (95%-KI 3,40–4,78), Lungenkrebs OR 7,41 (95%-KI 4,44–12,51).</w:t>
      </w:r>
    </w:p>
    <w:p>
      <w:r>
        <w:rPr>
          <w:b/>
          <w:sz w:val="19"/>
        </w:rPr>
        <w:t xml:space="preserve">Übertragbarkeit: </w:t>
      </w:r>
      <w:r>
        <w:rPr>
          <w:sz w:val="19"/>
        </w:rPr>
        <w:t>Japan – Fragestellung systemunabhängig; vergleichbare Verhaltensforschung übertragbar</w:t>
      </w:r>
    </w:p>
    <w:p>
      <w:r>
        <w:rPr>
          <w:color w:val="5A7D3A"/>
          <w:sz w:val="18"/>
        </w:rPr>
        <w:t>https://pubmed.ncbi.nlm.nih.gov/42778372/</w:t>
      </w:r>
    </w:p>
    <w:p>
      <w:pPr>
        <w:pStyle w:val="Heading2"/>
      </w:pPr>
      <w:r>
        <w:t>Gemeindeverankerung und Verbleib von Ärzten in unterversorgten Regionen</w:t>
      </w:r>
    </w:p>
    <w:p>
      <w:r>
        <w:rPr>
          <w:i/>
          <w:color w:val="666666"/>
          <w:sz w:val="18"/>
        </w:rPr>
        <w:t>Pathman DE et al.  ·  JAMA Netw Open  ·  01.09.2026  ·  PMID 42776525</w:t>
      </w:r>
    </w:p>
    <w:p>
      <w:r>
        <w:t>Querschnittsstudie mit 1.074 Ärzten in ländlichen und urbanen Health Professional Shortage Areas (HPSA) zur Assoziation von Gemeindeintegration mit beabsichtigtem Verbleib.</w:t>
      </w:r>
    </w:p>
    <w:p>
      <w:r>
        <w:rPr>
          <w:b/>
        </w:rPr>
        <w:t xml:space="preserve">Ergebnis: </w:t>
      </w:r>
      <w:r>
        <w:t>75,5 % der Ärzte in ländlichen und 71,2 % in urbanen HPSA planten Verbleib &gt;2 Jahre (p=0,14). Beide Dimensionen (Gemeindeintegration β=0,58–0,69; Gemeindebedarfserfüllung β=0,56–0,61) waren unabhängig assoziiert mit Verbleib; keine signifikanten ländlich-urbanen Unterschiede.</w:t>
      </w:r>
    </w:p>
    <w:p>
      <w:r>
        <w:rPr>
          <w:b/>
          <w:sz w:val="19"/>
        </w:rPr>
        <w:t xml:space="preserve">Übertragbarkeit: </w:t>
      </w:r>
      <w:r>
        <w:rPr>
          <w:sz w:val="19"/>
        </w:rPr>
        <w:t>USA-Daten – Fragestellung zu Ärztebindung aber systemunabhängig relevant</w:t>
      </w:r>
    </w:p>
    <w:p>
      <w:r>
        <w:rPr>
          <w:color w:val="5A7D3A"/>
          <w:sz w:val="18"/>
        </w:rPr>
        <w:t>https://pubmed.ncbi.nlm.nih.gov/42776525/</w:t>
      </w:r>
    </w:p>
    <w:p>
      <w:pPr>
        <w:pStyle w:val="Heading2"/>
      </w:pPr>
      <w:r>
        <w:t>Unkomplizierte Harnwegsinfekte: Apothekerverschreibung in der Gemeindepharmzie</w:t>
      </w:r>
    </w:p>
    <w:p>
      <w:r>
        <w:rPr>
          <w:i/>
          <w:color w:val="666666"/>
          <w:sz w:val="18"/>
        </w:rPr>
        <w:t>Budden M et al.  ·  Int J Clin Pharm  ·  23.09.2026  ·  PMID 42776432</w:t>
      </w:r>
    </w:p>
    <w:p>
      <w:r>
        <w:t>Große Kohortenstudie (n=14.680 Follow-up) zu Wirksamkeit und Sicherheit von strukturierter Apothekerverschreibung für unkomplizierte Harnwegsinfekte in Australien.</w:t>
      </w:r>
    </w:p>
    <w:p>
      <w:r>
        <w:rPr>
          <w:b/>
        </w:rPr>
        <w:t xml:space="preserve">Ergebnis: </w:t>
      </w:r>
      <w:r>
        <w:t>Symptomauflösung nach 7 Tagen bei 79,4 % der Patienten, weitere 17,9 % mit Teilbesserung. Antibiotika in 92,6 % verschrieben, Überweisungen in 6,9 %, Nebenwirkungen in 5,0 % (meist milde gastrointestinale Symptome).</w:t>
      </w:r>
    </w:p>
    <w:p>
      <w:r>
        <w:rPr>
          <w:b/>
          <w:sz w:val="19"/>
        </w:rPr>
        <w:t xml:space="preserve">Übertragbarkeit: </w:t>
      </w:r>
      <w:r>
        <w:rPr>
          <w:sz w:val="19"/>
        </w:rPr>
        <w:t>Australien – vergleichbar zu Apotheker-Extended-Services in Sozialversicherungssystemen</w:t>
      </w:r>
    </w:p>
    <w:p>
      <w:r>
        <w:rPr>
          <w:color w:val="5A7D3A"/>
          <w:sz w:val="18"/>
        </w:rPr>
        <w:t>https://pubmed.ncbi.nlm.nih.gov/42776432/</w:t>
      </w:r>
    </w:p>
    <w:p>
      <w:pPr>
        <w:pStyle w:val="Heading2"/>
      </w:pPr>
      <w:r>
        <w:t>Augenärztliche Versorgung in deutschen Seniorenheimen: TOVIS-Studie</w:t>
      </w:r>
    </w:p>
    <w:p>
      <w:r>
        <w:rPr>
          <w:i/>
          <w:color w:val="666666"/>
          <w:sz w:val="18"/>
        </w:rPr>
        <w:t>Ach T et al.  ·  Z Gerontol Geriatr  ·  23.09.2026  ·  PMID 42776232</w:t>
      </w:r>
    </w:p>
    <w:p>
      <w:r>
        <w:t>Narrative Übersicht mit Fokus auf Versorgungslücken bei Augenerkrankungen in deutschen Pflegeheimen und Teleophthalmologie-Modell TOVIS (n=109 Bewohner).</w:t>
      </w:r>
    </w:p>
    <w:p>
      <w:r>
        <w:rPr>
          <w:b/>
        </w:rPr>
        <w:t xml:space="preserve">Ergebnis: </w:t>
      </w:r>
      <w:r>
        <w:t>OVIS-Studie: 61 % der Bewohner hatten behandlungsbedürftige ophthalmologische Befunde (Katarakt 53 %, AMD 39 %); letzte Augenarztvisite durchschnittlich 4 Jahre zurück. TOVIS-Pilotstudie: 48,5 % visusrelevante Katarakt, 34,1 % AMD, 60,6 % unzureichend angepasste Brille; nur 26,9 % der empfohlenen Nachuntersuchungen tatsächlich wahrgenommen.</w:t>
      </w:r>
    </w:p>
    <w:p>
      <w:r>
        <w:rPr>
          <w:b/>
          <w:sz w:val="19"/>
        </w:rPr>
        <w:t xml:space="preserve">Übertragbarkeit: </w:t>
      </w:r>
      <w:r>
        <w:rPr>
          <w:sz w:val="19"/>
        </w:rPr>
        <w:t>Deutsche Daten, Seniorenheime – direkt auf deutsches System übertragbar</w:t>
      </w:r>
    </w:p>
    <w:p>
      <w:r>
        <w:rPr>
          <w:color w:val="5A7D3A"/>
          <w:sz w:val="18"/>
        </w:rPr>
        <w:t>https://pubmed.ncbi.nlm.nih.gov/42776232/</w:t>
      </w:r>
    </w:p>
    <w:p>
      <w:pPr>
        <w:pStyle w:val="Heading2"/>
      </w:pPr>
      <w:r>
        <w:t>Soziale Determinanten und Gesundheitsungleichheit: Systemdynamische Perspektive</w:t>
      </w:r>
    </w:p>
    <w:p>
      <w:r>
        <w:rPr>
          <w:i/>
          <w:color w:val="666666"/>
          <w:sz w:val="18"/>
        </w:rPr>
        <w:t>Sturmberg JP et al.  ·  Front Public Health  ·  08.09.2026  ·  PMID 42774359</w:t>
      </w:r>
    </w:p>
    <w:p>
      <w:r>
        <w:t>Konzeptionelle Übersichtsarbeit zu Mechanismen, wie vernetzte soziale Determinanten Gesundheitsungleichheit durch biologisches Embedding und Rückkopplungsschleifen über die Lebensspanne verfestigen.</w:t>
      </w:r>
    </w:p>
    <w:p>
      <w:r>
        <w:rPr>
          <w:b/>
        </w:rPr>
        <w:t xml:space="preserve">Ergebnis: </w:t>
      </w:r>
      <w:r>
        <w:t>Kernaussage: Frühe biologische Prägung (Stressregulation, Entzündung, Epigenetik) und systemische Rückkopplungsschleifen stabilisieren Nachteil über Generationen; Nichtlinearität erklärt begrenzte Effekte isolierter Interventionen. Koordinierte, ortsgestützte Strategien und relationale Kontinuität in Primärversorgung zeigen Potenzial.</w:t>
      </w:r>
    </w:p>
    <w:p>
      <w:r>
        <w:rPr>
          <w:b/>
          <w:sz w:val="19"/>
        </w:rPr>
        <w:t xml:space="preserve">Übertragbarkeit: </w:t>
      </w:r>
      <w:r>
        <w:rPr>
          <w:sz w:val="19"/>
        </w:rPr>
        <w:t>Konzeptionelle Analyse – systemunabhängig, aber besonders relevant für Versorgungsstruktur</w:t>
      </w:r>
    </w:p>
    <w:p>
      <w:r>
        <w:rPr>
          <w:color w:val="5A7D3A"/>
          <w:sz w:val="18"/>
        </w:rPr>
        <w:t>https://pubmed.ncbi.nlm.nih.gov/42774359/</w:t>
      </w:r>
    </w:p>
    <w:p>
      <w:pPr>
        <w:pStyle w:val="Heading2"/>
      </w:pPr>
      <w:r>
        <w:t>Künstliche Intelligenz in der Kosten-Effektivitäts-Bewertung von Schmerztherapie</w:t>
      </w:r>
    </w:p>
    <w:p>
      <w:r>
        <w:rPr>
          <w:i/>
          <w:color w:val="666666"/>
          <w:sz w:val="18"/>
        </w:rPr>
        <w:t>Zmudzki F et al.  ·  Expert Rev Pharmacoecon Outcomes Res  ·  22.09.2026  ·  PMID 42773780</w:t>
      </w:r>
    </w:p>
    <w:p>
      <w:r>
        <w:t>Übersichtsarbeit zu Integration von KI-Methoden in ökonomische Evaluationen zur Präzisionsmedizin bei chronischem Schmerz.</w:t>
      </w:r>
    </w:p>
    <w:p>
      <w:r>
        <w:rPr>
          <w:b/>
        </w:rPr>
        <w:t xml:space="preserve">Ergebnis: </w:t>
      </w:r>
      <w:r>
        <w:t>Diskussion, wie maschinelles Lernen und automatisierte Datenverarbeitung ökonomische Rahmen für personalisierte Schmerzmanagement-Strategien verbessern können; konkrete Ergebnisse im Abstract nicht quantifiziert.</w:t>
      </w:r>
    </w:p>
    <w:p>
      <w:r>
        <w:rPr>
          <w:b/>
          <w:sz w:val="19"/>
        </w:rPr>
        <w:t xml:space="preserve">Übertragbarkeit: </w:t>
      </w:r>
      <w:r>
        <w:rPr>
          <w:sz w:val="19"/>
        </w:rPr>
        <w:t>Konzeptionelle Methodologie – systemunabhängig auf KI-Anwendungen fokussiert</w:t>
      </w:r>
    </w:p>
    <w:p>
      <w:r>
        <w:rPr>
          <w:color w:val="5A7D3A"/>
          <w:sz w:val="18"/>
        </w:rPr>
        <w:t>https://pubmed.ncbi.nlm.nih.gov/42773780/</w:t>
      </w:r>
    </w:p>
    <w:p>
      <w:pPr>
        <w:pStyle w:val="Heading1"/>
      </w:pPr>
      <w:r>
        <w:t>Aufgenommen am 23.09.2026</w:t>
      </w:r>
    </w:p>
    <w:p>
      <w:pPr>
        <w:pStyle w:val="Heading2"/>
      </w:pPr>
      <w:r>
        <w:t>Einkommensvolatilität und Mortalität bei Depression</w:t>
      </w:r>
    </w:p>
    <w:p>
      <w:r>
        <w:rPr>
          <w:i/>
          <w:color w:val="666666"/>
          <w:sz w:val="18"/>
        </w:rPr>
        <w:t>Cho H et al.  ·  J Korean Med Sci  ·  21.09.2026  ·  PMID 42773077</w:t>
      </w:r>
    </w:p>
    <w:p>
      <w:r>
        <w:t>Koreanische Kohortenstudie an 735.922 Personen mit Depression, die Zusammenhang zwischen Einkommensvolatilität und all-cause-Mortalität sowie Hospitalisierungen untersuchte.</w:t>
      </w:r>
    </w:p>
    <w:p>
      <w:r>
        <w:rPr>
          <w:b/>
        </w:rPr>
        <w:t xml:space="preserve">Ergebnis: </w:t>
      </w:r>
      <w:r>
        <w:t>Höhere Einkommensvolatilität assoziiert mit erhöhtem Mortalitätsrisiko (HR 1,18; 95%-KI 1,16–1,19) und Hospitalisierungen (IRR 1,07; 1,06–1,08). Bei Männern stärker ausgeprägt (HR 1,26 vs. 1,12 bei Frauen). Besonders hohe Risiken für Bluterkrankungen (IRR 1,47), endokrine Erkrankungen (1,40) und psychische Störungen (1,26).</w:t>
      </w:r>
    </w:p>
    <w:p>
      <w:r>
        <w:rPr>
          <w:b/>
          <w:sz w:val="19"/>
        </w:rPr>
        <w:t xml:space="preserve">Übertragbarkeit: </w:t>
      </w:r>
      <w:r>
        <w:rPr>
          <w:sz w:val="19"/>
        </w:rPr>
        <w:t>Südkorea – begrenzte Übertragbarkeit auf deutsches System mit anderer Sozialstruktur</w:t>
      </w:r>
    </w:p>
    <w:p>
      <w:r>
        <w:rPr>
          <w:color w:val="5A7D3A"/>
          <w:sz w:val="18"/>
        </w:rPr>
        <w:t>https://pubmed.ncbi.nlm.nih.gov/42773077/</w:t>
      </w:r>
    </w:p>
    <w:p>
      <w:pPr>
        <w:pStyle w:val="Heading2"/>
      </w:pPr>
      <w:r>
        <w:t>Ultra-verarbeitete Lebensmittel und chronische Erkrankungen</w:t>
      </w:r>
    </w:p>
    <w:p>
      <w:r>
        <w:rPr>
          <w:i/>
          <w:color w:val="666666"/>
          <w:sz w:val="18"/>
        </w:rPr>
        <w:t>Liu X et al.  ·  Fam Med Community Health  ·  22.09.2026  ·  PMID 42773062</w:t>
      </w:r>
    </w:p>
    <w:p>
      <w:r>
        <w:t>Metaanalyse von 51 prospektiven Kohortenstudien mit 8,8 Mio. Teilnehmern zu Risiken ultra-verarbeiteter Lebensmittel.</w:t>
      </w:r>
    </w:p>
    <w:p>
      <w:r>
        <w:rPr>
          <w:b/>
        </w:rPr>
        <w:t xml:space="preserve">Ergebnis: </w:t>
      </w:r>
      <w:r>
        <w:t>Ultra-verarbeitete Lebensmittel assoziiert mit kardiovaskulären Ereignissen (HR 1,24), Krebs (HR 1,12), Adipositas (HR 1,23), Diabetes (HR 1,24), Depression/Angststörung (HR 1,27), Verdauungserkrankungen (HR 1,31) und all-cause-Mortalität (HR 1,18). Pro 100 g/Tag zusätzlich: kardiovaskuläre Ereignisse HR 1,14.</w:t>
      </w:r>
    </w:p>
    <w:p>
      <w:r>
        <w:rPr>
          <w:b/>
          <w:sz w:val="19"/>
        </w:rPr>
        <w:t xml:space="preserve">Übertragbarkeit: </w:t>
      </w:r>
      <w:r>
        <w:rPr>
          <w:sz w:val="19"/>
        </w:rPr>
        <w:t>Internationale Daten – Fragestellung systemunabhängig, für Public-Health-Empfehlungen universell übertragbar</w:t>
      </w:r>
    </w:p>
    <w:p>
      <w:r>
        <w:rPr>
          <w:color w:val="5A7D3A"/>
          <w:sz w:val="18"/>
        </w:rPr>
        <w:t>https://pubmed.ncbi.nlm.nih.gov/42773062/</w:t>
      </w:r>
    </w:p>
    <w:p>
      <w:pPr>
        <w:pStyle w:val="Heading2"/>
      </w:pPr>
      <w:r>
        <w:t>Kardiovaskuläre Autonome Neuropathie und Diabeteskomplikationen</w:t>
      </w:r>
    </w:p>
    <w:p>
      <w:r>
        <w:rPr>
          <w:i/>
          <w:color w:val="666666"/>
          <w:sz w:val="18"/>
        </w:rPr>
        <w:t>Ignacy P et al.  ·  Clin Ther  ·  22.09.2026  ·  PMID 42773037</w:t>
      </w:r>
    </w:p>
    <w:p>
      <w:r>
        <w:t>Polnische Querschnittsstudie mit 728 Diabetespatienten zur Assoziation zwischen mikrovaskulären/makrovaskulären Komplikationen und kardiovaskulärer autonomer Neuropathie.</w:t>
      </w:r>
    </w:p>
    <w:p>
      <w:r>
        <w:rPr>
          <w:b/>
        </w:rPr>
        <w:t xml:space="preserve">Ergebnis: </w:t>
      </w:r>
      <w:r>
        <w:t>Kardiovaskuläre autonome Neuropathie bei 48,2% (davon definit 15,8%). Unabhängig assoziiert mit diabetischer Retinopathie (OR 2,26; 95%-KI 1,25–4,19; p=0,008); borderline mit CKD (OR 1,57; p=0,049). Keine signifikante Assoziation mit ASCVD.</w:t>
      </w:r>
    </w:p>
    <w:p>
      <w:r>
        <w:rPr>
          <w:b/>
          <w:sz w:val="19"/>
        </w:rPr>
        <w:t xml:space="preserve">Übertragbarkeit: </w:t>
      </w:r>
      <w:r>
        <w:rPr>
          <w:sz w:val="19"/>
        </w:rPr>
        <w:t>Polen – ähnliches Sozialversicherungssystem, gute Übertragbarkeit auf Deutschland</w:t>
      </w:r>
    </w:p>
    <w:p>
      <w:r>
        <w:rPr>
          <w:color w:val="5A7D3A"/>
          <w:sz w:val="18"/>
        </w:rPr>
        <w:t>https://pubmed.ncbi.nlm.nih.gov/42773037/</w:t>
      </w:r>
    </w:p>
    <w:p>
      <w:pPr>
        <w:pStyle w:val="Heading2"/>
      </w:pPr>
      <w:r>
        <w:t>Persona-Methode in partizipativer Versorgungsforschung</w:t>
      </w:r>
    </w:p>
    <w:p>
      <w:r>
        <w:rPr>
          <w:i/>
          <w:color w:val="666666"/>
          <w:sz w:val="18"/>
        </w:rPr>
        <w:t>Dittmer K et al.  ·  Z Evid Fortbild Qual Gesundhwes  ·  22.09.2026  ·  PMID 42773021</w:t>
      </w:r>
    </w:p>
    <w:p>
      <w:r>
        <w:t>Deutschsprachiger Methodenbericht zur Anwendung der Persona-Methode bei partizipativer Versorgungsforschung mit Fokusgruppen und Expert*innen.</w:t>
      </w:r>
    </w:p>
    <w:p>
      <w:r>
        <w:rPr>
          <w:b/>
        </w:rPr>
        <w:t xml:space="preserve">Ergebnis: </w:t>
      </w:r>
      <w:r>
        <w:t>Personas integrieren Erfahrungswissen mehrerer Experten anonym, ohne persönliche Daten preiszugeben; ideal für vulnerable Gruppen. Risiken: Stereotypisierung; Mitigation durch reflektive Entwicklungsprozesse. Reflexionsfragen zur Bias-Reduktion werden präsentiert.</w:t>
      </w:r>
    </w:p>
    <w:p>
      <w:r>
        <w:rPr>
          <w:b/>
          <w:sz w:val="19"/>
        </w:rPr>
        <w:t xml:space="preserve">Übertragbarkeit: </w:t>
      </w:r>
      <w:r>
        <w:rPr>
          <w:sz w:val="19"/>
        </w:rPr>
        <w:t>Deutsches Projekt – direkt übertragbar auf deutsche Versorgungsforschung</w:t>
      </w:r>
    </w:p>
    <w:p>
      <w:r>
        <w:rPr>
          <w:color w:val="5A7D3A"/>
          <w:sz w:val="18"/>
        </w:rPr>
        <w:t>https://pubmed.ncbi.nlm.nih.gov/42773021/</w:t>
      </w:r>
    </w:p>
    <w:p>
      <w:pPr>
        <w:pStyle w:val="Heading2"/>
      </w:pPr>
      <w:r>
        <w:t>Mobile Screening-Einheit für Barretts Ösophagus in England</w:t>
      </w:r>
    </w:p>
    <w:p>
      <w:r>
        <w:rPr>
          <w:i/>
          <w:color w:val="666666"/>
          <w:sz w:val="18"/>
        </w:rPr>
        <w:t>Landy R et al.  ·  BMJ Open Gastroenterol  ·  22.09.2026  ·  PMID 42772946</w:t>
      </w:r>
    </w:p>
    <w:p>
      <w:r>
        <w:t>Implementierungsstudie in England mit mobiler Einheit zur Kapselschwamm-Testung bei Refluxpatienten; Vergleich Hausarzt-Rekrutierung vs. Selbstmeldung.</w:t>
      </w:r>
    </w:p>
    <w:p>
      <w:r>
        <w:rPr>
          <w:b/>
        </w:rPr>
        <w:t xml:space="preserve">Ergebnis: </w:t>
      </w:r>
      <w:r>
        <w:t>Bei GP-Einladung: 50% Antwortquote, 59,6% interessiert, 66,3% elegibel, 532 teilgenommen; 15% aller Eingeladenen erfolgreich getestet. Bei Selbstmeldung: 39,6% erfolgreich getestet. Barretts-Prävalenz 4,2% (GP-invitiert) vs. 3,4% (Selbstmeldung). Akzeptanz &gt;99%.</w:t>
      </w:r>
    </w:p>
    <w:p>
      <w:r>
        <w:rPr>
          <w:b/>
          <w:sz w:val="19"/>
        </w:rPr>
        <w:t xml:space="preserve">Übertragbarkeit: </w:t>
      </w:r>
      <w:r>
        <w:rPr>
          <w:sz w:val="19"/>
        </w:rPr>
        <w:t>Großbritannien – ähnliche Primärversorgungsstruktur, begrenzte Übertragbarkeit (steuerfinanziert)</w:t>
      </w:r>
    </w:p>
    <w:p>
      <w:r>
        <w:rPr>
          <w:color w:val="5A7D3A"/>
          <w:sz w:val="18"/>
        </w:rPr>
        <w:t>https://pubmed.ncbi.nlm.nih.gov/42772946/</w:t>
      </w:r>
    </w:p>
    <w:p>
      <w:pPr>
        <w:pStyle w:val="Heading2"/>
      </w:pPr>
      <w:r>
        <w:t>Forschungsprioritäten in Hebammentätigkeit und Geburtshilfe</w:t>
      </w:r>
    </w:p>
    <w:p>
      <w:r>
        <w:rPr>
          <w:i/>
          <w:color w:val="666666"/>
          <w:sz w:val="18"/>
        </w:rPr>
        <w:t>Field J et al.  ·  BMJ Open  ·  21.09.2026  ·  PMID 42767736</w:t>
      </w:r>
    </w:p>
    <w:p>
      <w:r>
        <w:t>UK James-Lind-Alliance Priority-Setting Partnership mit 977 Befragten (Hebammen, Eltern, schwangere Personen) zur Identifikation von Forschungslücken in Geburtshilfe.</w:t>
      </w:r>
    </w:p>
    <w:p>
      <w:r>
        <w:rPr>
          <w:b/>
        </w:rPr>
        <w:t xml:space="preserve">Ergebnis: </w:t>
      </w:r>
      <w:r>
        <w:t>68 Priority-Topics identifiziert, nach evidenzbasierter Prüfung auf 67 reduziert, dann von 548 Befragten gereiht. 10 Top-Prioritäten durch Konsens vereinbart; umfassen klinische Versorgung, Personalwohlbefinden und Ausbildung.</w:t>
      </w:r>
    </w:p>
    <w:p>
      <w:r>
        <w:rPr>
          <w:b/>
          <w:sz w:val="19"/>
        </w:rPr>
        <w:t xml:space="preserve">Übertragbarkeit: </w:t>
      </w:r>
      <w:r>
        <w:rPr>
          <w:sz w:val="19"/>
        </w:rPr>
        <w:t>Großbritannien – methodisch stark, bedingt übertragbar auf deutsches Hebammensystem</w:t>
      </w:r>
    </w:p>
    <w:p>
      <w:r>
        <w:rPr>
          <w:color w:val="5A7D3A"/>
          <w:sz w:val="18"/>
        </w:rPr>
        <w:t>https://pubmed.ncbi.nlm.nih.gov/42767736/</w:t>
      </w:r>
    </w:p>
    <w:p>
      <w:pPr>
        <w:pStyle w:val="Heading2"/>
      </w:pPr>
      <w:r>
        <w:t>FeNO und Blut-Eosinophile zur Asthmadiagnose bei Kindern und Erwachsenen</w:t>
      </w:r>
    </w:p>
    <w:p>
      <w:r>
        <w:rPr>
          <w:i/>
          <w:color w:val="666666"/>
          <w:sz w:val="18"/>
        </w:rPr>
        <w:t>Roy MA et al.  ·  Lancet Respir Med  ·  15.09.2026  ·  PMID 42743935</w:t>
      </w:r>
    </w:p>
    <w:p>
      <w:r>
        <w:t>Metaanalyse von 30 diagnostischen Studien (22 bei Erwachsenen, 9 bei Kindern) zur Genauigkeit von FeNO und Blut-Eosinophilen gegenüber Bronchialprovokationstests.</w:t>
      </w:r>
    </w:p>
    <w:p>
      <w:r>
        <w:rPr>
          <w:b/>
        </w:rPr>
        <w:t xml:space="preserve">Ergebnis: </w:t>
      </w:r>
      <w:r>
        <w:t>FeNO diagnostische Genauigkeit: Erwachsene AUC 0,80, Kinder AUC 0,75. Bei Erwachsenen FeNO≥65 ppb: positive Vorhersagekraft 80%, &lt;20 ppb: negative VK 93%. Blut-Eosinophile schwache Leistung (AUC 0,65). Prospektive Validierung in DIVE-Kohorte (n=123) bestätigte Ergebnisse (FeNO AUC 0,77).</w:t>
      </w:r>
    </w:p>
    <w:p>
      <w:r>
        <w:rPr>
          <w:b/>
          <w:sz w:val="19"/>
        </w:rPr>
        <w:t xml:space="preserve">Übertragbarkeit: </w:t>
      </w:r>
      <w:r>
        <w:rPr>
          <w:sz w:val="19"/>
        </w:rPr>
        <w:t>Internationale Daten mit prospektiver Primärversorgungsvalidierung – Diagnostik systemunabhängig</w:t>
      </w:r>
    </w:p>
    <w:p>
      <w:r>
        <w:rPr>
          <w:color w:val="5A7D3A"/>
          <w:sz w:val="18"/>
        </w:rPr>
        <w:t>https://pubmed.ncbi.nlm.nih.gov/42743935/</w:t>
      </w:r>
    </w:p>
    <w:p>
      <w:pPr>
        <w:pStyle w:val="Heading1"/>
      </w:pPr>
      <w:r>
        <w:t>Aufgenommen am 22.09.2026</w:t>
      </w:r>
    </w:p>
    <w:p>
      <w:pPr>
        <w:pStyle w:val="Heading2"/>
      </w:pPr>
      <w:r>
        <w:t>Teletherapy-Einsatz in der Physiotherapie: deutsche Versorgungsforschung zu Barrieren und Förderfaktoren</w:t>
      </w:r>
    </w:p>
    <w:p>
      <w:r>
        <w:rPr>
          <w:i/>
          <w:color w:val="666666"/>
          <w:sz w:val="18"/>
        </w:rPr>
        <w:t>Michels T et al.  ·  JMIR Form Res  ·  21.09.2026  ·  PMID 42766842</w:t>
      </w:r>
    </w:p>
    <w:p>
      <w:r>
        <w:t>Querschnittsstudie von 458 Physiotherapeuten in Deutschland, die Barrieren und Förderfaktoren für die Implementierung von Teletherapie in der Praxis erfasste.</w:t>
      </w:r>
    </w:p>
    <w:p>
      <w:r>
        <w:rPr>
          <w:b/>
        </w:rPr>
        <w:t xml:space="preserve">Ergebnis: </w:t>
      </w:r>
      <w:r>
        <w:t>Nur 6,6 % der Teilnehmer hatten Teletherapie-Erfahrung; 87,3 % hielten Teletherapie für sinnvoll, aber nur 15,5 % fühlten sich ausreichend informiert. Häufigste Barrieren: Integration in Praxisroutinen, unzureichende Informationen zu rechtlichen Rahmenbedingungen und digitale Infrastruktur (Nennungen nicht weiter spezifiziert). Die Ergebnisse zeigen hohe Akzeptanz bei niedriger Nutzung und Informationsdefiziten.</w:t>
      </w:r>
    </w:p>
    <w:p>
      <w:r>
        <w:rPr>
          <w:b/>
          <w:sz w:val="19"/>
        </w:rPr>
        <w:t xml:space="preserve">Übertragbarkeit: </w:t>
      </w:r>
      <w:r>
        <w:rPr>
          <w:sz w:val="19"/>
        </w:rPr>
        <w:t>Deutsche Routinedaten aus der Physiotherapie; direkt auf das System übertragbar.</w:t>
      </w:r>
    </w:p>
    <w:p>
      <w:r>
        <w:rPr>
          <w:color w:val="5A7D3A"/>
          <w:sz w:val="18"/>
        </w:rPr>
        <w:t>https://pubmed.ncbi.nlm.nih.gov/42766842/</w:t>
      </w:r>
    </w:p>
    <w:p>
      <w:pPr>
        <w:pStyle w:val="Heading2"/>
      </w:pPr>
      <w:r>
        <w:t>Implementierung der elektronischen Patientenakte (ePA) in deutschen Arztpraxen: qualitative Frühevaluierung</w:t>
      </w:r>
    </w:p>
    <w:p>
      <w:r>
        <w:rPr>
          <w:i/>
          <w:color w:val="666666"/>
          <w:sz w:val="18"/>
        </w:rPr>
        <w:t>May S et al.  ·  J Med Internet Res  ·  21.09.2026  ·  PMID 42766713</w:t>
      </w:r>
    </w:p>
    <w:p>
      <w:r>
        <w:t>Qualitative Studie mit 49 semistrukturierten Interviews zu Implementierungsbarrieren und -förderfaktoren der ePA in ambulanten Praxen nach dem Rollout im Januar 2025.</w:t>
      </w:r>
    </w:p>
    <w:p>
      <w:r>
        <w:rPr>
          <w:b/>
        </w:rPr>
        <w:t xml:space="preserve">Ergebnis: </w:t>
      </w:r>
      <w:r>
        <w:t>Erleichterer: Führungsengagement, interne Kommunikation und Lernklima. Barrieren: technische Instabilität, heterogene Funktionalität von Praxismanagementsystemen, begrenzte Sektorübergreifung, unzureichendes Patientenbewusstsein. Implementierung stark abhängig von Organisationskapazität und Infrastrukturstabilität, nicht von professionellem Widerstand.</w:t>
      </w:r>
    </w:p>
    <w:p>
      <w:r>
        <w:rPr>
          <w:b/>
          <w:sz w:val="19"/>
        </w:rPr>
        <w:t xml:space="preserve">Übertragbarkeit: </w:t>
      </w:r>
      <w:r>
        <w:rPr>
          <w:sz w:val="19"/>
        </w:rPr>
        <w:t>Deutsche Routinedaten zur ePA-Implementierung; hochgradig systemrelevant für deutsches Versorgungssystem.</w:t>
      </w:r>
    </w:p>
    <w:p>
      <w:r>
        <w:rPr>
          <w:color w:val="5A7D3A"/>
          <w:sz w:val="18"/>
        </w:rPr>
        <w:t>https://pubmed.ncbi.nlm.nih.gov/42766713/</w:t>
      </w:r>
    </w:p>
    <w:p>
      <w:pPr>
        <w:pStyle w:val="Heading2"/>
      </w:pPr>
      <w:r>
        <w:t>Framework für klinische Bewertung von Large Language Models in der Patientenedukation</w:t>
      </w:r>
    </w:p>
    <w:p>
      <w:r>
        <w:rPr>
          <w:i/>
          <w:color w:val="666666"/>
          <w:sz w:val="18"/>
        </w:rPr>
        <w:t>Austria D et al.  ·  JMIR Form Res  ·  21.09.2026  ·  PMID 42766478</w:t>
      </w:r>
    </w:p>
    <w:p>
      <w:r>
        <w:t>Positions- und konzeptionelle Arbeit, die ein kliniker-zentriertes Evaluierungsframework (TAM-MCRS) für LLM-generierte Patientenedukation integriert Technology Acceptance Model und Medical Condition Regard Scale.</w:t>
      </w:r>
    </w:p>
    <w:p>
      <w:r>
        <w:rPr>
          <w:b/>
        </w:rPr>
        <w:t xml:space="preserve">Ergebnis: </w:t>
      </w:r>
      <w:r>
        <w:t>Das Framework kombiniert Usefulness/Completeness mit Ease of Use/Appropriateness und erfasst dabei Evaluator-Attitudinalvarianz durch MCRS als Kovariate. Ziel ist objektive, klinisch realistische und disparity-responsive Evidenz zur Qualität von LLM-generierten Unterlagen für Patientenbildung.</w:t>
      </w:r>
    </w:p>
    <w:p>
      <w:r>
        <w:rPr>
          <w:b/>
          <w:sz w:val="19"/>
        </w:rPr>
        <w:t xml:space="preserve">Übertragbarkeit: </w:t>
      </w:r>
      <w:r>
        <w:rPr>
          <w:sz w:val="19"/>
        </w:rPr>
        <w:t>Theoretischer Ansatz systemunabhängig, aber Methodenentwicklung US-fokussiert; nur bedingt übertragbar.</w:t>
      </w:r>
    </w:p>
    <w:p>
      <w:r>
        <w:rPr>
          <w:color w:val="5A7D3A"/>
          <w:sz w:val="18"/>
        </w:rPr>
        <w:t>https://pubmed.ncbi.nlm.nih.gov/42766478/</w:t>
      </w:r>
    </w:p>
    <w:p>
      <w:pPr>
        <w:pStyle w:val="Heading2"/>
      </w:pPr>
      <w:r>
        <w:t>Kontextfaktoren und Lernbedarfe bei Leitlinienentwicklung: qualitative Multiplenfall-Studie</w:t>
      </w:r>
    </w:p>
    <w:p>
      <w:r>
        <w:rPr>
          <w:i/>
          <w:color w:val="666666"/>
          <w:sz w:val="18"/>
        </w:rPr>
        <w:t>de Mortier CA et al.  ·  Med Teach  ·  21.09.2026  ·  PMID 42766408</w:t>
      </w:r>
    </w:p>
    <w:p>
      <w:r>
        <w:t>Qualitative Längsschnittstudie mit 18 Panelmitgliedern und 10 Projektleitern in 5 niederländischen Leitlinienprojekten; Analyse, welche kontextuellen Faktoren die Lernbedarfe in der Guideline-Entwicklung prägen.</w:t>
      </w:r>
    </w:p>
    <w:p>
      <w:r>
        <w:rPr>
          <w:b/>
        </w:rPr>
        <w:t xml:space="preserve">Ergebnis: </w:t>
      </w:r>
      <w:r>
        <w:t>Drei interaktive Themen beeinflussen Lernbedarfe: Leitlinienthema (Zusammensetzung, Methodik, Evidenzunsicherheit), Partizipationsdynamiken (Hierarchie, Sicherheit), Aufgabenverteilung. Methodische Kompetenz allein genügt nicht; Lernbedarfe entstehen aus Kombination aller drei Faktoren. Empfehlung: flexible, kontextsensitive und rollenpezifische Bildungsinitiativen.</w:t>
      </w:r>
    </w:p>
    <w:p>
      <w:r>
        <w:rPr>
          <w:b/>
          <w:sz w:val="19"/>
        </w:rPr>
        <w:t xml:space="preserve">Übertragbarkeit: </w:t>
      </w:r>
      <w:r>
        <w:rPr>
          <w:sz w:val="19"/>
        </w:rPr>
        <w:t>Niederlande, Versorgungsforschungs-Setting; gut übertragbar auf deutsches System zur Leitlinienentwicklung.</w:t>
      </w:r>
    </w:p>
    <w:p>
      <w:r>
        <w:rPr>
          <w:color w:val="5A7D3A"/>
          <w:sz w:val="18"/>
        </w:rPr>
        <w:t>https://pubmed.ncbi.nlm.nih.gov/42766408/</w:t>
      </w:r>
    </w:p>
    <w:p>
      <w:pPr>
        <w:pStyle w:val="Heading2"/>
      </w:pPr>
      <w:r>
        <w:t>Länderverglichende Forschungsinfrastruktur für Diabetes-Versorgung im ländlichen Raum</w:t>
      </w:r>
    </w:p>
    <w:p>
      <w:r>
        <w:rPr>
          <w:i/>
          <w:color w:val="666666"/>
          <w:sz w:val="18"/>
        </w:rPr>
        <w:t>Murfet G et al.  ·  Glob Health Action  ·  21.09.2026  ·  PMID 42765135</w:t>
      </w:r>
    </w:p>
    <w:p>
      <w:r>
        <w:t>Konzeptuelle Positionspapier, das ein neues International Consortium for Rural Diabetes Research (ICRDR) vorstellt, um fragmentierte Diabetes-Forschung in ländlichen Regionen zu koordinieren.</w:t>
      </w:r>
    </w:p>
    <w:p>
      <w:r>
        <w:rPr>
          <w:b/>
        </w:rPr>
        <w:t xml:space="preserve">Ergebnis: </w:t>
      </w:r>
      <w:r>
        <w:t>Kernaussage: Ländliche Diabetes-Versorgungsforschung bleibt isoliert und stützt sich auf urbane Evidenz; koordinierte internationale Infrastruktur mit gemeinsamen Prioritäten, Methoden und Outcome-Maßstäben ist erforderlich. Das ICRDR adressiert Zugangsbarrien (Fachkräftemangel, Isolation, fragmentierte Services) durch Multicentre-Studien und Kapazitätsaufbau.</w:t>
      </w:r>
    </w:p>
    <w:p>
      <w:r>
        <w:rPr>
          <w:b/>
          <w:sz w:val="19"/>
        </w:rPr>
        <w:t xml:space="preserve">Übertragbarkeit: </w:t>
      </w:r>
      <w:r>
        <w:rPr>
          <w:sz w:val="19"/>
        </w:rPr>
        <w:t>Konzeptionell und methodisch international orientiert; hilft deutschem System, Evidenzlücken in ländlichen Regionen zu schließen.</w:t>
      </w:r>
    </w:p>
    <w:p>
      <w:r>
        <w:rPr>
          <w:color w:val="5A7D3A"/>
          <w:sz w:val="18"/>
        </w:rPr>
        <w:t>https://pubmed.ncbi.nlm.nih.gov/42765135/</w:t>
      </w:r>
    </w:p>
    <w:p>
      <w:pPr>
        <w:pStyle w:val="Heading2"/>
      </w:pPr>
      <w:r>
        <w:t>Kernoutcome-Set für Shared-Decision-Making-Interventionen: Entwicklungsprotokoll</w:t>
      </w:r>
    </w:p>
    <w:p>
      <w:r>
        <w:rPr>
          <w:i/>
          <w:color w:val="666666"/>
          <w:sz w:val="18"/>
        </w:rPr>
        <w:t>Hoffmann C et al.  ·  BMJ Open  ·  15.09.2026  ·  PMID 42744360</w:t>
      </w:r>
    </w:p>
    <w:p>
      <w:r>
        <w:t>Studienprotokoll zur Entwicklung eines Core Outcome Set (COS) für die Evaluation von Shared-Decision-Making-Interventionen mittels Delphi-Survey und Konsensuskonferenz.</w:t>
      </w:r>
    </w:p>
    <w:p>
      <w:r>
        <w:rPr>
          <w:b/>
        </w:rPr>
        <w:t xml:space="preserve">Ergebnis: </w:t>
      </w:r>
      <w:r>
        <w:t>Geplante Struktur: Schritt 1: Erstellung einer langen Kandidaten-Outcome-Liste durch Literaturanalyse und qualitative Interviews (mind. 20 Stakeholder). Schritt 2: Delphi-Survey mit mind. 150 internationalen Teilnehmern (Profis, Patienten) in zwei Runden zur Priorisierung. Schritt 3: Konsensus per modified nominal group technique. Laufzeit Juni 2025 bis September 2026; Ergebnisse erwartungsgemäß für standardisierte Evaluationspraxis verfügbar.</w:t>
      </w:r>
    </w:p>
    <w:p>
      <w:r>
        <w:rPr>
          <w:b/>
          <w:sz w:val="19"/>
        </w:rPr>
        <w:t xml:space="preserve">Übertragbarkeit: </w:t>
      </w:r>
      <w:r>
        <w:rPr>
          <w:sz w:val="19"/>
        </w:rPr>
        <w:t>Britische Studienkoordination; Shared Decision Making ist international etabliertes Konzept; methodisch auf deutsche SDM-Forschung anwendbar.</w:t>
      </w:r>
    </w:p>
    <w:p>
      <w:r>
        <w:rPr>
          <w:color w:val="5A7D3A"/>
          <w:sz w:val="18"/>
        </w:rPr>
        <w:t>https://pubmed.ncbi.nlm.nih.gov/42744360/</w:t>
      </w:r>
    </w:p>
    <w:p>
      <w:pPr>
        <w:pStyle w:val="Heading1"/>
      </w:pPr>
      <w:r>
        <w:t>Aufgenommen am 21.09.2026</w:t>
      </w:r>
    </w:p>
    <w:p>
      <w:pPr>
        <w:pStyle w:val="Heading2"/>
      </w:pPr>
      <w:r>
        <w:t>Geburtshilfe-Standardisierung: Ballonkatheter und Wehenmuster nach Einleitung</w:t>
      </w:r>
    </w:p>
    <w:p>
      <w:r>
        <w:rPr>
          <w:i/>
          <w:color w:val="666666"/>
          <w:sz w:val="18"/>
        </w:rPr>
        <w:t>Baboeuf A et al.  ·  J Gynecol Obstet Hum Reprod  ·  19.09.2026  ·  PMID 42762855</w:t>
      </w:r>
    </w:p>
    <w:p>
      <w:r>
        <w:t>Retrospektive Evaluierung eines standardisierten Induktionsprotokolls mit Ballonkatheter zur Zervixreifung als Erstlinientherapie vs. freie Wahl in französischer Tertiärklinik.</w:t>
      </w:r>
    </w:p>
    <w:p>
      <w:r>
        <w:rPr>
          <w:b/>
        </w:rPr>
        <w:t xml:space="preserve">Ergebnis: </w:t>
      </w:r>
      <w:r>
        <w:t>Vaginale Geburt innerhalb 24h: 27,3% (Protokoll) vs. 34,0% (Baseline), p=0,18; nächtliche Epiduralanalgesie signifikant weniger häufig nach Protokoll (35,6% vs. 46,2%, p=0,008); 77,4% der Frauen mit Gesamtzufriedenheit einverstanden.</w:t>
      </w:r>
    </w:p>
    <w:p>
      <w:r>
        <w:rPr>
          <w:b/>
          <w:sz w:val="19"/>
        </w:rPr>
        <w:t xml:space="preserve">Übertragbarkeit: </w:t>
      </w:r>
      <w:r>
        <w:rPr>
          <w:sz w:val="19"/>
        </w:rPr>
        <w:t>Französische Tertiärklinik, übertragbare Implementierungsfrage, aber begrenzte klinische Effekte</w:t>
      </w:r>
    </w:p>
    <w:p>
      <w:r>
        <w:rPr>
          <w:color w:val="5A7D3A"/>
          <w:sz w:val="18"/>
        </w:rPr>
        <w:t>https://pubmed.ncbi.nlm.nih.gov/42762855/</w:t>
      </w:r>
    </w:p>
    <w:p>
      <w:pPr>
        <w:pStyle w:val="Heading2"/>
      </w:pPr>
      <w:r>
        <w:t>Palliativversorgungsqualität für Patienten mit schweren psychischen Störungen</w:t>
      </w:r>
    </w:p>
    <w:p>
      <w:r>
        <w:rPr>
          <w:i/>
          <w:color w:val="666666"/>
          <w:sz w:val="18"/>
        </w:rPr>
        <w:t>Bøndergaard K et al.  ·  Omega (Westport)  ·  19.09.2026  ·  PMID 42762069</w:t>
      </w:r>
    </w:p>
    <w:p>
      <w:r>
        <w:t>Querschnitts-Fragebogenstudie mit dänischen Hausärzten und Palliativmedizinern zu Qualität der Palliativbetreuung bei verstorbenen Patienten mit schweren psychischen Störungen.</w:t>
      </w:r>
    </w:p>
    <w:p>
      <w:r>
        <w:rPr>
          <w:b/>
        </w:rPr>
        <w:t xml:space="preserve">Ergebnis: </w:t>
      </w:r>
      <w:r>
        <w:t>123 Fragebogen von 162 (76% Rücklaufquote); die meisten Verläufe als gut oder sehr gut bewertet; qualitative Analyse enthüllte drei Themen: Zusammenarbeit/Timing, Kommunikation/Beziehungen, Komplexität; Koordination und Kommunikation bei Lebensende-Entscheidungen teilweise herausfordernd.</w:t>
      </w:r>
    </w:p>
    <w:p>
      <w:r>
        <w:rPr>
          <w:b/>
          <w:sz w:val="19"/>
        </w:rPr>
        <w:t xml:space="preserve">Übertragbarkeit: </w:t>
      </w:r>
      <w:r>
        <w:rPr>
          <w:sz w:val="19"/>
        </w:rPr>
        <w:t>Dänemark, skandinavisches steuerfinanziertes System mit Hausarztfokus</w:t>
      </w:r>
    </w:p>
    <w:p>
      <w:r>
        <w:rPr>
          <w:color w:val="5A7D3A"/>
          <w:sz w:val="18"/>
        </w:rPr>
        <w:t>https://pubmed.ncbi.nlm.nih.gov/42762069/</w:t>
      </w:r>
    </w:p>
    <w:p>
      <w:pPr>
        <w:pStyle w:val="Heading2"/>
      </w:pPr>
      <w:r>
        <w:t>Angiotensin-Inhibitoren vor elektiver Chirurgie: RCT-Absetzen vs. Fortführen</w:t>
      </w:r>
    </w:p>
    <w:p>
      <w:r>
        <w:rPr>
          <w:i/>
          <w:color w:val="666666"/>
          <w:sz w:val="18"/>
        </w:rPr>
        <w:t>Scott IA et al.  ·  J Hosp Med  ·  19.09.2026  ·  PMID 42762066</w:t>
      </w:r>
    </w:p>
    <w:p>
      <w:r>
        <w:t>Single-Center-RCT zu kardiovaskulären Komplikationen nach elektiver, nicht-kardischer Chirurgie unter Fortführung vs. 24h-Absetzen von ACE-Inhibitoren/ARBs.</w:t>
      </w:r>
    </w:p>
    <w:p>
      <w:r>
        <w:rPr>
          <w:b/>
        </w:rPr>
        <w:t xml:space="preserve">Ergebnis: </w:t>
      </w:r>
      <w:r>
        <w:t>667 Patienten randomisiert (325 Fortführung, 313 Absetzen); primärer Outcome MACE: 2,8% vs. 2,9% (Differenz 0,1%, 95% CI −2,5% bis 2,8%, p=1,00); intraop. Hypotonie 63,5% vs. 60,7%, AKI 7,4% vs. 4,8%; keine signifikanten Unterschiede; Absetzen reduzierte nicht MACE, Hypotonie oder AKI.</w:t>
      </w:r>
    </w:p>
    <w:p>
      <w:r>
        <w:rPr>
          <w:b/>
          <w:sz w:val="19"/>
        </w:rPr>
        <w:t xml:space="preserve">Übertragbarkeit: </w:t>
      </w:r>
      <w:r>
        <w:rPr>
          <w:sz w:val="19"/>
        </w:rPr>
        <w:t>Australische Tertiärklinik, aber klinische Prozessfrage systemunabhängig</w:t>
      </w:r>
    </w:p>
    <w:p>
      <w:r>
        <w:rPr>
          <w:color w:val="5A7D3A"/>
          <w:sz w:val="18"/>
        </w:rPr>
        <w:t>https://pubmed.ncbi.nlm.nih.gov/42762066/</w:t>
      </w:r>
    </w:p>
    <w:p>
      <w:pPr>
        <w:pStyle w:val="Heading2"/>
      </w:pPr>
      <w:r>
        <w:t>Frühe Krebsinzidenz in Nordischen Ländern 2003–2022 mit Projektion bis 2050</w:t>
      </w:r>
    </w:p>
    <w:p>
      <w:r>
        <w:rPr>
          <w:i/>
          <w:color w:val="666666"/>
          <w:sz w:val="18"/>
        </w:rPr>
        <w:t>Johansson AL et al.  ·  Lancet Reg Health Eur  ·  12.09.2026  ·  PMID 42761845</w:t>
      </w:r>
    </w:p>
    <w:p>
      <w:r>
        <w:t>Bevölkerungsbasierte Trendstudie der Inzidenz früher Krebserkrankungen (Alter 20–49) in Nordischen Ländern über 20 Jahre mit Vorhersagen bis 2050.</w:t>
      </w:r>
    </w:p>
    <w:p>
      <w:r>
        <w:rPr>
          <w:b/>
        </w:rPr>
        <w:t xml:space="preserve">Ergebnis: </w:t>
      </w:r>
      <w:r>
        <w:t>Signifikante Inzidenzzunahme bei 12 von 18 Krebsarten; Darmkrebs &lt;35 Jahren höchster EAPC (&gt;2%), mit 9.174 zusätzlichen Fällen (2003–2007 zu 2018–2022: 47.491 zu 56.665); regionale Variation Appalachien und Südosten USA.</w:t>
      </w:r>
    </w:p>
    <w:p>
      <w:r>
        <w:rPr>
          <w:b/>
          <w:sz w:val="19"/>
        </w:rPr>
        <w:t xml:space="preserve">Übertragbarkeit: </w:t>
      </w:r>
      <w:r>
        <w:rPr>
          <w:sz w:val="19"/>
        </w:rPr>
        <w:t>Nordische Länder, vergleichbare Gesundheitssysteme mit guten Datenregistern</w:t>
      </w:r>
    </w:p>
    <w:p>
      <w:r>
        <w:rPr>
          <w:color w:val="5A7D3A"/>
          <w:sz w:val="18"/>
        </w:rPr>
        <w:t>https://pubmed.ncbi.nlm.nih.gov/42761845/</w:t>
      </w:r>
    </w:p>
    <w:p>
      <w:pPr>
        <w:pStyle w:val="Heading2"/>
      </w:pPr>
      <w:r>
        <w:t>Darmkrebsscreening bei sexuellen Minderheiten nach US-Guidelines 2021</w:t>
      </w:r>
    </w:p>
    <w:p>
      <w:r>
        <w:rPr>
          <w:i/>
          <w:color w:val="666666"/>
          <w:sz w:val="18"/>
        </w:rPr>
        <w:t>George L et al.  ·  AJPM Focus  ·  12.05.2026  ·  PMID 42761516</w:t>
      </w:r>
    </w:p>
    <w:p>
      <w:r>
        <w:t>Querschnittsanalyse der Screening-Compliance für Darmkrebs bei sexuellen Minderheiten nach Aktualisierung der USPSTF-Richtlinien (2021), USA 2022.</w:t>
      </w:r>
    </w:p>
    <w:p>
      <w:r>
        <w:rPr>
          <w:b/>
        </w:rPr>
        <w:t xml:space="preserve">Ergebnis: </w:t>
      </w:r>
      <w:r>
        <w:t>Screening-Rate insgesamt: 69,0% (gay/lesbian), 62,7% (bisexual), 58,4% (andere Orientierung), 68,8% (heterosexuell); Personen mit anderer Orientierung signifikant niedriger als heterosexuell (aPR=0,90, 95% CI 0,84–0,97); Dispariät besonders in Alter 65–75 und Frauen.</w:t>
      </w:r>
    </w:p>
    <w:p>
      <w:r>
        <w:rPr>
          <w:b/>
          <w:sz w:val="19"/>
        </w:rPr>
        <w:t xml:space="preserve">Übertragbarkeit: </w:t>
      </w:r>
      <w:r>
        <w:rPr>
          <w:sz w:val="19"/>
        </w:rPr>
        <w:t>USA, aber Screeningdisparität bei Minderheiten systemunabhängig relevant</w:t>
      </w:r>
    </w:p>
    <w:p>
      <w:r>
        <w:rPr>
          <w:color w:val="5A7D3A"/>
          <w:sz w:val="18"/>
        </w:rPr>
        <w:t>https://pubmed.ncbi.nlm.nih.gov/42761516/</w:t>
      </w:r>
    </w:p>
    <w:p>
      <w:pPr>
        <w:pStyle w:val="Heading2"/>
      </w:pPr>
      <w:r>
        <w:t>Kulturelle Diabetes-Schulung: Kosteneffektivität für Marshallese-Bevölkerung</w:t>
      </w:r>
    </w:p>
    <w:p>
      <w:r>
        <w:rPr>
          <w:i/>
          <w:color w:val="666666"/>
          <w:sz w:val="18"/>
        </w:rPr>
        <w:t>Lamprecht-Carson D et al.  ·  Diabetes Obes Metab  ·  17.09.2026  ·  PMID 42755138</w:t>
      </w:r>
    </w:p>
    <w:p>
      <w:r>
        <w:t>Markov-Modell zur Kosteneffektivität eines kulturell angepassten Diabetes-Selbstmanagement-Programms vs. Standard-DSME für Marshallese-Erwachsene mit Typ-2-Diabetes.</w:t>
      </w:r>
    </w:p>
    <w:p>
      <w:r>
        <w:rPr>
          <w:b/>
        </w:rPr>
        <w:t xml:space="preserve">Ergebnis: </w:t>
      </w:r>
      <w:r>
        <w:t>Kulturell angepasstes Programm cost-effective mit ICER von 3.083 Dollar pro QALY; in 87,1% der Simulationen bevorzugte Strategie bei WTP 50.000 Dollar pro QALY; bescheidene aber relevante Unterschiede zwischen Interventionszenarien.</w:t>
      </w:r>
    </w:p>
    <w:p>
      <w:r>
        <w:rPr>
          <w:b/>
          <w:sz w:val="19"/>
        </w:rPr>
        <w:t xml:space="preserve">Übertragbarkeit: </w:t>
      </w:r>
      <w:r>
        <w:rPr>
          <w:sz w:val="19"/>
        </w:rPr>
        <w:t>USA-Daten, aber Fragestellung zur Kultursensitivität systemunabhängig transferierbar</w:t>
      </w:r>
    </w:p>
    <w:p>
      <w:r>
        <w:rPr>
          <w:color w:val="5A7D3A"/>
          <w:sz w:val="18"/>
        </w:rPr>
        <w:t>https://pubmed.ncbi.nlm.nih.gov/42755138/</w:t>
      </w:r>
    </w:p>
    <w:p>
      <w:pPr>
        <w:pStyle w:val="Heading1"/>
      </w:pPr>
      <w:r>
        <w:t>Aufgenommen am 20.09.2026</w:t>
      </w:r>
    </w:p>
    <w:p>
      <w:pPr>
        <w:pStyle w:val="Heading2"/>
      </w:pPr>
      <w:r>
        <w:t>Workplace-Health-Promotion in Pflegeheimen: qualitative Prozessevaluation</w:t>
      </w:r>
    </w:p>
    <w:p>
      <w:r>
        <w:rPr>
          <w:i/>
          <w:color w:val="666666"/>
          <w:sz w:val="18"/>
        </w:rPr>
        <w:t>Czakert J et al.  ·  Front Public Health  ·  04.09.2026  ·  PMID 42761123</w:t>
      </w:r>
    </w:p>
    <w:p>
      <w:r>
        <w:t>Qualitative Prozessevaluation zur Entwicklung und Implementierung von drei WHP-Workshops in einem Pilotheim nach RE-AIM-Framework.</w:t>
      </w:r>
    </w:p>
    <w:p>
      <w:r>
        <w:rPr>
          <w:b/>
        </w:rPr>
        <w:t xml:space="preserve">Ergebnis: </w:t>
      </w:r>
      <w:r>
        <w:t>Entwicklung aus sieben Phasen. Etwa ein Drittel der Teilnehmenden aktiv involviert, andere passiv oder resistiv. Engagement variabel, Schlüsselhemmnisse: Motivation, wahrgenommene Relevanz, Gruppendynamik, Fatigue, Sprachbarrieren. Zentral: organisatorische Vorbereitung und Partizipation.</w:t>
      </w:r>
    </w:p>
    <w:p>
      <w:r>
        <w:rPr>
          <w:b/>
          <w:sz w:val="19"/>
        </w:rPr>
        <w:t xml:space="preserve">Übertragbarkeit: </w:t>
      </w:r>
      <w:r>
        <w:rPr>
          <w:sz w:val="19"/>
        </w:rPr>
        <w:t>Deutschland, Langzeitpflegesektor, hohe Relevanz für Implementierungspraxis</w:t>
      </w:r>
    </w:p>
    <w:p>
      <w:r>
        <w:rPr>
          <w:color w:val="5A7D3A"/>
          <w:sz w:val="18"/>
        </w:rPr>
        <w:t>https://pubmed.ncbi.nlm.nih.gov/42761123/</w:t>
      </w:r>
    </w:p>
    <w:p>
      <w:pPr>
        <w:pStyle w:val="Heading2"/>
      </w:pPr>
      <w:r>
        <w:t>Regionale Disparitäten Zahngesundheit Deutschland</w:t>
      </w:r>
    </w:p>
    <w:p>
      <w:r>
        <w:rPr>
          <w:i/>
          <w:color w:val="666666"/>
          <w:sz w:val="18"/>
        </w:rPr>
        <w:t>Gortschakow J et al.  ·  J Clin Periodontol  ·  18.09.2026  ·  PMID 42760791</w:t>
      </w:r>
    </w:p>
    <w:p>
      <w:r>
        <w:t>Bevölkerungsstudie mit 184.871 Erwachsenen untersucht Prävalenz von Zahnlosigkeit und Taschentiefen bundesweit mittels klinischer Untersuchung.</w:t>
      </w:r>
    </w:p>
    <w:p>
      <w:r>
        <w:rPr>
          <w:b/>
        </w:rPr>
        <w:t xml:space="preserve">Ergebnis: </w:t>
      </w:r>
      <w:r>
        <w:t>Zahnlosigkeitsprävalenz: 1,7 % (95%-KI 1,6–1,9). Mittlere Taschentiefe: 1,89 mm (1,87–1,91). Deutliche regionale Disparitäten von 1,3 % (Augsburg/Regensburg) bis 2,3 % (Neubrandenburg).</w:t>
      </w:r>
    </w:p>
    <w:p>
      <w:r>
        <w:rPr>
          <w:b/>
          <w:sz w:val="19"/>
        </w:rPr>
        <w:t xml:space="preserve">Übertragbarkeit: </w:t>
      </w:r>
      <w:r>
        <w:rPr>
          <w:sz w:val="19"/>
        </w:rPr>
        <w:t>Deutsche Routinedaten aus Kohorte, exzellente Übertragbarkeit</w:t>
      </w:r>
    </w:p>
    <w:p>
      <w:r>
        <w:rPr>
          <w:color w:val="5A7D3A"/>
          <w:sz w:val="18"/>
        </w:rPr>
        <w:t>https://pubmed.ncbi.nlm.nih.gov/42760791/</w:t>
      </w:r>
    </w:p>
    <w:p>
      <w:pPr>
        <w:pStyle w:val="Heading2"/>
      </w:pPr>
      <w:r>
        <w:t>Arbeitsbelastung und Berufsverbleib in Gesundheitsberufen</w:t>
      </w:r>
    </w:p>
    <w:p>
      <w:r>
        <w:rPr>
          <w:i/>
          <w:color w:val="666666"/>
          <w:sz w:val="18"/>
        </w:rPr>
        <w:t>Andersson Hammar I et al.  ·  BMC Health Serv Res  ·  17.09.2026  ·  PMID 42760563</w:t>
      </w:r>
    </w:p>
    <w:p>
      <w:r>
        <w:t>Längsschnittstudie untersuchte Zusammenhänge zwischen Arbeitserfahrungen, Gesundheit und Verbleibsabsicht bei Fachpersonen drei Jahre nach Berufsstart.</w:t>
      </w:r>
    </w:p>
    <w:p>
      <w:r>
        <w:rPr>
          <w:b/>
        </w:rPr>
        <w:t xml:space="preserve">Ergebnis: </w:t>
      </w:r>
      <w:r>
        <w:t>Höhere Arbeitszufriedenheit war mit besserer Gesundheit und deutlich gestärkter Absicht zum Verbleib in der Profession assoziiert. Die 30–36-Jährigen zeigten niedrigere Verbleibsabsicht als jüngere und ältere Kohorten.</w:t>
      </w:r>
    </w:p>
    <w:p>
      <w:r>
        <w:rPr>
          <w:b/>
          <w:sz w:val="19"/>
        </w:rPr>
        <w:t xml:space="preserve">Übertragbarkeit: </w:t>
      </w:r>
      <w:r>
        <w:rPr>
          <w:sz w:val="19"/>
        </w:rPr>
        <w:t>Schweden, gut übertragbar auf deutsches Gesundheitssystem und Arbeitskontexte</w:t>
      </w:r>
    </w:p>
    <w:p>
      <w:r>
        <w:rPr>
          <w:color w:val="5A7D3A"/>
          <w:sz w:val="18"/>
        </w:rPr>
        <w:t>https://pubmed.ncbi.nlm.nih.gov/42760563/</w:t>
      </w:r>
    </w:p>
    <w:p>
      <w:pPr>
        <w:pStyle w:val="Heading2"/>
      </w:pPr>
      <w:r>
        <w:t>Apotheker-Intervention bei koronaren Patienten: Medication-Review-Studie</w:t>
      </w:r>
    </w:p>
    <w:p>
      <w:r>
        <w:rPr>
          <w:i/>
          <w:color w:val="666666"/>
          <w:sz w:val="18"/>
        </w:rPr>
        <w:t>Östbring MJ et al.  ·  BMC Health Serv Res  ·  15.09.2026  ·  PMID 42760559</w:t>
      </w:r>
    </w:p>
    <w:p>
      <w:r>
        <w:t>Prozessevaluation eines randomisierten Trials zu pharmazeutisch-gesteuerter Adhärence-Intervention mittels Motivierender Gesprächsführung bei Herzkranken.</w:t>
      </w:r>
    </w:p>
    <w:p>
      <w:r>
        <w:rPr>
          <w:b/>
        </w:rPr>
        <w:t xml:space="preserve">Ergebnis: </w:t>
      </w:r>
      <w:r>
        <w:t>Klinische Apotheker identifizierten durchschnittlich 4,3 medikationsbezogene Probleme pro Patient. In 194 von 218 bekannten Fällen wurde das Problem gelöst/verbessert. 52,8 % der Interventionsgruppe vs. 31,0 % der Kontrollgruppe verschoben sich zu akzeptierenderer Arzneimittelhaltung (p = 0,051).</w:t>
      </w:r>
    </w:p>
    <w:p>
      <w:r>
        <w:rPr>
          <w:b/>
          <w:sz w:val="19"/>
        </w:rPr>
        <w:t xml:space="preserve">Übertragbarkeit: </w:t>
      </w:r>
      <w:r>
        <w:rPr>
          <w:sz w:val="19"/>
        </w:rPr>
        <w:t>Schweden, Sozialversicherungssystem, pharmazeutische Versorgungsrollen</w:t>
      </w:r>
    </w:p>
    <w:p>
      <w:r>
        <w:rPr>
          <w:color w:val="5A7D3A"/>
          <w:sz w:val="18"/>
        </w:rPr>
        <w:t>https://pubmed.ncbi.nlm.nih.gov/42760559/</w:t>
      </w:r>
    </w:p>
    <w:p>
      <w:pPr>
        <w:pStyle w:val="Heading2"/>
      </w:pPr>
      <w:r>
        <w:t>Psychische Gesundheit peripartal: Screening-Barrieren in Indien</w:t>
      </w:r>
    </w:p>
    <w:p>
      <w:r>
        <w:rPr>
          <w:i/>
          <w:color w:val="666666"/>
          <w:sz w:val="18"/>
        </w:rPr>
        <w:t>Basu P et al.  ·  BMC Health Serv Res  ·  03.08.2026  ·  PMID 42760554</w:t>
      </w:r>
    </w:p>
    <w:p>
      <w:r>
        <w:t>Qualitative Studie zu Hemmnissen und Facilitatoren von perinataler psychischer Gesundheitsscreening aus Perspektive von Frauen und Angehörigen des Gesundheitswesens.</w:t>
      </w:r>
    </w:p>
    <w:p>
      <w:r>
        <w:rPr>
          <w:b/>
        </w:rPr>
        <w:t xml:space="preserve">Ergebnis: </w:t>
      </w:r>
      <w:r>
        <w:t>Facilitatoren: etabliertes Referralsystem, Medikamentenverfügbarkeit, Datenschutz. Barrieren: fragmentierte Services, hohe Arbeitsbelastung, Stigma, unzureichende Schulung, mangelndes Vertrauen. Familienpräsenz behinderte offene Diskussionen.</w:t>
      </w:r>
    </w:p>
    <w:p>
      <w:r>
        <w:rPr>
          <w:b/>
          <w:sz w:val="19"/>
        </w:rPr>
        <w:t xml:space="preserve">Übertragbarkeit: </w:t>
      </w:r>
      <w:r>
        <w:rPr>
          <w:sz w:val="19"/>
        </w:rPr>
        <w:t>Indien; Fragestellung systemunabhängig, aber Übertragbarkeit limitiert durch andere Ressourcenlage</w:t>
      </w:r>
    </w:p>
    <w:p>
      <w:r>
        <w:rPr>
          <w:color w:val="5A7D3A"/>
          <w:sz w:val="18"/>
        </w:rPr>
        <w:t>https://pubmed.ncbi.nlm.nih.gov/42760554/</w:t>
      </w:r>
    </w:p>
    <w:p>
      <w:pPr>
        <w:pStyle w:val="Heading2"/>
      </w:pPr>
      <w:r>
        <w:t>Gestationsdiabetes Südlichasiatische Frauen: PPIE-Insights</w:t>
      </w:r>
    </w:p>
    <w:p>
      <w:r>
        <w:rPr>
          <w:i/>
          <w:color w:val="666666"/>
          <w:sz w:val="18"/>
        </w:rPr>
        <w:t>Dapre E et al.  ·  NIHR Open Res  ·  03.09.2026  ·  PMID 42750677</w:t>
      </w:r>
    </w:p>
    <w:p>
      <w:r>
        <w:t>Patient- und Public-Involvement-Engagement-Studie mit südlichasiatischen Frauen zur Verbesserung der Adhärenz in Ernährungsintervention bei Gestationsdiabetes.</w:t>
      </w:r>
    </w:p>
    <w:p>
      <w:r>
        <w:rPr>
          <w:b/>
        </w:rPr>
        <w:t xml:space="preserve">Ergebnis: </w:t>
      </w:r>
      <w:r>
        <w:t>17 Frauen identifizierten drei Schlüsselprobleme: Vulnerabilität (Vertrauensmangel, Kontrollverlust), Zugänglichkeit (flexible Formate, finanzielle Unterstützung), Mentale Belastung (emotionales Wohlbefinden, Familieneinfluss). Empfehlungen: familienbasierte Essensplanung, visuelle Guides, psychosoziale Unterstützung.</w:t>
      </w:r>
    </w:p>
    <w:p>
      <w:r>
        <w:rPr>
          <w:b/>
          <w:sz w:val="19"/>
        </w:rPr>
        <w:t xml:space="preserve">Übertragbarkeit: </w:t>
      </w:r>
      <w:r>
        <w:rPr>
          <w:sz w:val="19"/>
        </w:rPr>
        <w:t>Qualitative UK-Studie; Fragestellung zu Barrieren und Facilitatoren systemunabhängig</w:t>
      </w:r>
    </w:p>
    <w:p>
      <w:r>
        <w:rPr>
          <w:color w:val="5A7D3A"/>
          <w:sz w:val="18"/>
        </w:rPr>
        <w:t>https://pubmed.ncbi.nlm.nih.gov/42750677/</w:t>
      </w:r>
    </w:p>
    <w:p>
      <w:pPr>
        <w:pStyle w:val="Heading1"/>
      </w:pPr>
      <w:r>
        <w:t>Aufgenommen am 19.09.2026</w:t>
      </w:r>
    </w:p>
    <w:p>
      <w:pPr>
        <w:pStyle w:val="Heading2"/>
      </w:pPr>
      <w:r>
        <w:t>Verbesserung von Peer-Support für Mütter mit HIV in Kenia</w:t>
      </w:r>
    </w:p>
    <w:p>
      <w:r>
        <w:rPr>
          <w:i/>
          <w:color w:val="666666"/>
          <w:sz w:val="18"/>
        </w:rPr>
        <w:t>Carlucci JG et al.  ·  PLOS Glob Public Health  ·  18.09.2026  ·  PMID 42758698</w:t>
      </w:r>
    </w:p>
    <w:p>
      <w:r>
        <w:t>Qualitative Interviews mit 16 Mentor Mothers und 36 Frauen mit HIV in Westkenias PMTCT-Programmen zur Verbesserung von Peer-Support-Diensten.</w:t>
      </w:r>
    </w:p>
    <w:p>
      <w:r>
        <w:rPr>
          <w:b/>
        </w:rPr>
        <w:t xml:space="preserve">Ergebnis: </w:t>
      </w:r>
      <w:r>
        <w:t>Beide Gruppen befürworteten Risikostratifizierung: intensive Services für Hochrisiko-Mütter, weniger intensive für Niedrigrisiko. Zentral: empathische Mentoring-Beziehungen mit geteilten Erfahrungen; nötig aber bessere Aufgabendefinition, Kapazitätsaufbau, faire Kompensation und Ressourcen für ökonomische Barrieren.</w:t>
      </w:r>
    </w:p>
    <w:p>
      <w:r>
        <w:rPr>
          <w:b/>
          <w:sz w:val="19"/>
        </w:rPr>
        <w:t xml:space="preserve">Übertragbarkeit: </w:t>
      </w:r>
      <w:r>
        <w:rPr>
          <w:sz w:val="19"/>
        </w:rPr>
        <w:t>Kenia; Modell zu Peer-Support-Effektivität auf andere LMIC-Kontexte übertragbar</w:t>
      </w:r>
    </w:p>
    <w:p>
      <w:r>
        <w:rPr>
          <w:color w:val="5A7D3A"/>
          <w:sz w:val="18"/>
        </w:rPr>
        <w:t>https://pubmed.ncbi.nlm.nih.gov/42758698/</w:t>
      </w:r>
    </w:p>
    <w:p>
      <w:pPr>
        <w:pStyle w:val="Heading2"/>
      </w:pPr>
      <w:r>
        <w:t>Implementierungsstrategie für betriebliche Rauchentwöhnung mit Anreizen</w:t>
      </w:r>
    </w:p>
    <w:p>
      <w:r>
        <w:rPr>
          <w:i/>
          <w:color w:val="666666"/>
          <w:sz w:val="18"/>
        </w:rPr>
        <w:t>van den Brand FA et al.  ·  PLoS One  ·  18.09.2026  ·  PMID 42758680</w:t>
      </w:r>
    </w:p>
    <w:p>
      <w:r>
        <w:t>Systematische Entwicklung einer Implementierungsstrategie für Workplace-Rauchentwöhnungsprogramme mit finanziellen Anreizen mittels Implementation Mapping in den Niederlanden.</w:t>
      </w:r>
    </w:p>
    <w:p>
      <w:r>
        <w:rPr>
          <w:b/>
        </w:rPr>
        <w:t xml:space="preserve">Ergebnis: </w:t>
      </w:r>
      <w:r>
        <w:t>Identifizierte Schlüsseladoptoren (Geschäftsführung, HR-Manager) und Implementierer sowie sieben Determinanten für erfolgreiche Durchführung. Entwickelte evidenzbasierte Strategien einschließlich Implementierungsleitfaden, Website, Video und Webinar. Stakeholder-Feedback führte zu Verbesserungen.</w:t>
      </w:r>
    </w:p>
    <w:p>
      <w:r>
        <w:rPr>
          <w:b/>
          <w:sz w:val="19"/>
        </w:rPr>
        <w:t xml:space="preserve">Übertragbarkeit: </w:t>
      </w:r>
      <w:r>
        <w:rPr>
          <w:sz w:val="19"/>
        </w:rPr>
        <w:t>Niederlande, ähnliches Sozialversicherungssystem mit Betriebsstruktur</w:t>
      </w:r>
    </w:p>
    <w:p>
      <w:r>
        <w:rPr>
          <w:color w:val="5A7D3A"/>
          <w:sz w:val="18"/>
        </w:rPr>
        <w:t>https://pubmed.ncbi.nlm.nih.gov/42758680/</w:t>
      </w:r>
    </w:p>
    <w:p>
      <w:pPr>
        <w:pStyle w:val="Heading2"/>
      </w:pPr>
      <w:r>
        <w:t>Kognitive Verzerrungen und Nierenfunktions-Risikoperception bei älteren CKD-Patienten</w:t>
      </w:r>
    </w:p>
    <w:p>
      <w:r>
        <w:rPr>
          <w:i/>
          <w:color w:val="666666"/>
          <w:sz w:val="18"/>
        </w:rPr>
        <w:t>Bonnet K et al.  ·  Clin J Am Soc Nephrol  ·  18.09.2026  ·  PMID 42758548</w:t>
      </w:r>
    </w:p>
    <w:p>
      <w:r>
        <w:t>Mixed-Methods-Studie mit Älteren (&gt;60 Jahre) im Stadium 3B–5 CKD zu kognitiven Verzerrungen bei der Wahrnehmung ihres Nierenfunktionsausfallrisikos.</w:t>
      </w:r>
    </w:p>
    <w:p>
      <w:r>
        <w:rPr>
          <w:b/>
        </w:rPr>
        <w:t xml:space="preserve">Ergebnis: </w:t>
      </w:r>
      <w:r>
        <w:t>Nur 24% der Teilnehmer hatten Prognosekonsens (objektives vs. subjektiv wahrgenommenes Risiko). Höhere Patient Activation war unabhängig mit niedrigeren Odds für Unsicherheit assoziiert (OR 0,66; 95%-KI 0,44–0,99). Qualitativ: Empfehlungen für hoffnungsvolle Sprache, Einbeziehen von Angehörigen und numeracy-Berücksichtigung.</w:t>
      </w:r>
    </w:p>
    <w:p>
      <w:r>
        <w:rPr>
          <w:b/>
          <w:sz w:val="19"/>
        </w:rPr>
        <w:t xml:space="preserve">Übertragbarkeit: </w:t>
      </w:r>
      <w:r>
        <w:rPr>
          <w:sz w:val="19"/>
        </w:rPr>
        <w:t>US-Daten, aber Fragestellung zur Patientenkommunikation systemunabhängig</w:t>
      </w:r>
    </w:p>
    <w:p>
      <w:r>
        <w:rPr>
          <w:color w:val="5A7D3A"/>
          <w:sz w:val="18"/>
        </w:rPr>
        <w:t>https://pubmed.ncbi.nlm.nih.gov/42758548/</w:t>
      </w:r>
    </w:p>
    <w:p>
      <w:pPr>
        <w:pStyle w:val="Heading2"/>
      </w:pPr>
      <w:r>
        <w:t>Komplexe-Versorgungsprogramm reduziert Krankenhausnutzung bei Kindern</w:t>
      </w:r>
    </w:p>
    <w:p>
      <w:r>
        <w:rPr>
          <w:i/>
          <w:color w:val="666666"/>
          <w:sz w:val="18"/>
        </w:rPr>
        <w:t>Lee J et al.  ·  J Pediatr Health Care  ·  17.09.2026  ·  PMID 42758058</w:t>
      </w:r>
    </w:p>
    <w:p>
      <w:r>
        <w:t>Retrospektive Kohortenstudie von 71 Kindern mit medizinischer Komplexität in einem Cross-Setting-Komplexcare-Programm mit kleinem Kernteam (2015–2024).</w:t>
      </w:r>
    </w:p>
    <w:p>
      <w:r>
        <w:rPr>
          <w:b/>
        </w:rPr>
        <w:t xml:space="preserve">Ergebnis: </w:t>
      </w:r>
      <w:r>
        <w:t>Hospitalisierungen sanken von 3,5 auf 2,0 pro Jahr (p &lt; 0,001), Verweildauer von 41,5 auf 11,5 Tage pro Jahr (p &lt; 0,001). Adjustierte Analysen zeigten 32% Reduktion bei Hospitalisierungen und 72% bei Verweildauer.</w:t>
      </w:r>
    </w:p>
    <w:p>
      <w:r>
        <w:rPr>
          <w:b/>
          <w:sz w:val="19"/>
        </w:rPr>
        <w:t xml:space="preserve">Übertragbarkeit: </w:t>
      </w:r>
      <w:r>
        <w:rPr>
          <w:sz w:val="19"/>
        </w:rPr>
        <w:t>US-amerikanische Universitätsklinik, aber Modell zum Case Management übertragbar</w:t>
      </w:r>
    </w:p>
    <w:p>
      <w:r>
        <w:rPr>
          <w:color w:val="5A7D3A"/>
          <w:sz w:val="18"/>
        </w:rPr>
        <w:t>https://pubmed.ncbi.nlm.nih.gov/42758058/</w:t>
      </w:r>
    </w:p>
    <w:p>
      <w:pPr>
        <w:pStyle w:val="Heading2"/>
      </w:pPr>
      <w:r>
        <w:t>Barrieren von Frontline-Mitarbeitern bei TB-Diensten in High-Burden-Ländern</w:t>
      </w:r>
    </w:p>
    <w:p>
      <w:r>
        <w:rPr>
          <w:i/>
          <w:color w:val="666666"/>
          <w:sz w:val="18"/>
        </w:rPr>
        <w:t>Cox SR et al.  ·  J Glob Health  ·  18.09.2026  ·  PMID 42757757</w:t>
      </w:r>
    </w:p>
    <w:p>
      <w:r>
        <w:t>Scoping Review von 189 Studien (2010–2025) zu Healthcare-Worker-bezogenen Barrieren bei TB-Prävention, Diagnostik und Behandlung in WHO-High-Burden-Ländern.</w:t>
      </w:r>
    </w:p>
    <w:p>
      <w:r>
        <w:rPr>
          <w:b/>
        </w:rPr>
        <w:t xml:space="preserve">Ergebnis: </w:t>
      </w:r>
      <w:r>
        <w:t>Wissens- und Skill-Lücken waren die häufigsten Barrieren (n = 128 Studien). Weitere Themen: Provider-Patient-Kommunikation, Stigma (n = 74 Studien), Motivation für qualitativ hochwertige TB-Pflege (n = 69 Studien). COM-B-Framework identifizierte umsetzbare Targets.</w:t>
      </w:r>
    </w:p>
    <w:p>
      <w:r>
        <w:rPr>
          <w:b/>
          <w:sz w:val="19"/>
        </w:rPr>
        <w:t xml:space="preserve">Übertragbarkeit: </w:t>
      </w:r>
      <w:r>
        <w:rPr>
          <w:sz w:val="19"/>
        </w:rPr>
        <w:t>Länder mit Ressourcenlimitationen; Erkenntnisse zu HSR-Barrieren international relevant</w:t>
      </w:r>
    </w:p>
    <w:p>
      <w:r>
        <w:rPr>
          <w:color w:val="5A7D3A"/>
          <w:sz w:val="18"/>
        </w:rPr>
        <w:t>https://pubmed.ncbi.nlm.nih.gov/42757757/</w:t>
      </w:r>
    </w:p>
    <w:p>
      <w:pPr>
        <w:pStyle w:val="Heading2"/>
      </w:pPr>
      <w:r>
        <w:t>Strukturierte Laktationsberatung und Muttermilchbanken in deutschen NICUs</w:t>
      </w:r>
    </w:p>
    <w:p>
      <w:r>
        <w:rPr>
          <w:i/>
          <w:color w:val="666666"/>
          <w:sz w:val="18"/>
        </w:rPr>
        <w:t>Köberlein-Neu J et al.  ·  BMC Med  ·  11.09.2026  ·  PMID 42754870</w:t>
      </w:r>
    </w:p>
    <w:p>
      <w:r>
        <w:t>Stepped-Wedge-Cluster-RCT in 15 deutschen Level-I-NICUs zur Wirksamkeit von strukturierter Laktationsberatung mit Donor-Milk-Banking auf ausschließliches Stillen bei Entlassung.</w:t>
      </w:r>
    </w:p>
    <w:p>
      <w:r>
        <w:rPr>
          <w:b/>
        </w:rPr>
        <w:t xml:space="preserve">Ergebnis: </w:t>
      </w:r>
      <w:r>
        <w:t>Ausschließliches Stillen bei Entlassung stieg um 11 Prozentpunkte (95%-KI: 3,0–19,0; p = 0,007) von 43% Baseline. Keine signifikanten Unterschiede in klinischen Komplikationen oder Verweildauer. Implementierbarkeit und Durchführungstreue waren ausreichend (Beratung in 71% wie geplant).</w:t>
      </w:r>
    </w:p>
    <w:p>
      <w:r>
        <w:rPr>
          <w:b/>
          <w:sz w:val="19"/>
        </w:rPr>
        <w:t xml:space="preserve">Übertragbarkeit: </w:t>
      </w:r>
      <w:r>
        <w:rPr>
          <w:sz w:val="19"/>
        </w:rPr>
        <w:t>Deutsche RCT-Daten, gesetzlich versicherte Neugeborene in Universitätskliniken</w:t>
      </w:r>
    </w:p>
    <w:p>
      <w:r>
        <w:rPr>
          <w:color w:val="5A7D3A"/>
          <w:sz w:val="18"/>
        </w:rPr>
        <w:t>https://pubmed.ncbi.nlm.nih.gov/42754870/</w:t>
      </w:r>
    </w:p>
    <w:p>
      <w:pPr>
        <w:pStyle w:val="Heading1"/>
      </w:pPr>
      <w:r>
        <w:t>Aufgenommen am 18.09.2026</w:t>
      </w:r>
    </w:p>
    <w:p>
      <w:pPr>
        <w:pStyle w:val="Heading2"/>
      </w:pPr>
      <w:r>
        <w:t>Workforce readiness for Advance Care Planning in ID services</w:t>
      </w:r>
    </w:p>
    <w:p>
      <w:r>
        <w:rPr>
          <w:i/>
          <w:color w:val="666666"/>
          <w:sz w:val="18"/>
        </w:rPr>
        <w:t>Zeilinger EL Prof Dr et al.  ·  J Pain Symptom Manage  ·  17.09.2026  ·  PMID 42754183</w:t>
      </w:r>
    </w:p>
    <w:p>
      <w:r>
        <w:t>Österreichische Querschnittstudie zur Bereitschaft von Betreuungspersonen in Wohneinrichtungen für Menschen mit Behinderungen, ACP-Gespräche zu führen.</w:t>
      </w:r>
    </w:p>
    <w:p>
      <w:r>
        <w:rPr>
          <w:b/>
        </w:rPr>
        <w:t xml:space="preserve">Ergebnis: </w:t>
      </w:r>
      <w:r>
        <w:t>67,7 % der 127 Befragten kannten Patientenverfügungen, aber nur 1,6 % konnten ACP erklären. 68,5 % fühlten sich komfortabel bei ACP-Gesprächen, 85,8 % sahen ACP als wichtig an, und 77,2 % sahen es als ihre Verantwortung. Fehlende konzeptionelle Vorbereitung trotz hoher Unterstützung für ACP.</w:t>
      </w:r>
    </w:p>
    <w:p>
      <w:r>
        <w:rPr>
          <w:b/>
          <w:sz w:val="19"/>
        </w:rPr>
        <w:t xml:space="preserve">Übertragbarkeit: </w:t>
      </w:r>
      <w:r>
        <w:rPr>
          <w:sz w:val="19"/>
        </w:rPr>
        <w:t>Österreich, ähnliche Systemstruktur und Versorgungskontext wie Deutschland</w:t>
      </w:r>
    </w:p>
    <w:p>
      <w:r>
        <w:rPr>
          <w:color w:val="5A7D3A"/>
          <w:sz w:val="18"/>
        </w:rPr>
        <w:t>https://pubmed.ncbi.nlm.nih.gov/42754183/</w:t>
      </w:r>
    </w:p>
    <w:p>
      <w:pPr>
        <w:pStyle w:val="Heading2"/>
      </w:pPr>
      <w:r>
        <w:t>Multilevel-Faktoren bei Non-Response zu Patient-Reported Outcome Measures</w:t>
      </w:r>
    </w:p>
    <w:p>
      <w:r>
        <w:rPr>
          <w:i/>
          <w:color w:val="666666"/>
          <w:sz w:val="18"/>
        </w:rPr>
        <w:t>Liu JB et al.  ·  Qual Life Res  ·  17.09.2026  ·  PMID 42753022</w:t>
      </w:r>
    </w:p>
    <w:p>
      <w:r>
        <w:t>US-Kohortenanalyse von 12.214 Patienten an fünf Strahlentherapie-Kliniken zu Faktoren auf Patient-, Provider- und Klinikebene, die Non-Response zu PROMIS Global-10 vorhersagen.</w:t>
      </w:r>
    </w:p>
    <w:p>
      <w:r>
        <w:rPr>
          <w:b/>
        </w:rPr>
        <w:t xml:space="preserve">Ergebnis: </w:t>
      </w:r>
      <w:r>
        <w:t>Patient- und Termin-Response-Raten: 35,4 % bzw. 31,7 %; Response variierte zwischen Kliniken 12,8–66,2 %. Nach Adjustierung: jüngste Operation (aOR 1,97) und längere Diagnosedauer (aOR 0,46 für &gt;12 Monate) persistierten. Klinik-Implementierungsfaktoren (späte Programmstartzeit aOR 0,29) waren stärker als Patientenmerkmale.</w:t>
      </w:r>
    </w:p>
    <w:p>
      <w:r>
        <w:rPr>
          <w:b/>
          <w:sz w:val="19"/>
        </w:rPr>
        <w:t xml:space="preserve">Übertragbarkeit: </w:t>
      </w:r>
      <w:r>
        <w:rPr>
          <w:sz w:val="19"/>
        </w:rPr>
        <w:t>USA - Methodologie zu PROM-Implementierung systemunabhängig relevant für deutsches QM</w:t>
      </w:r>
    </w:p>
    <w:p>
      <w:r>
        <w:rPr>
          <w:color w:val="5A7D3A"/>
          <w:sz w:val="18"/>
        </w:rPr>
        <w:t>https://pubmed.ncbi.nlm.nih.gov/42753022/</w:t>
      </w:r>
    </w:p>
    <w:p>
      <w:pPr>
        <w:pStyle w:val="Heading2"/>
      </w:pPr>
      <w:r>
        <w:t>Finanzielle Auswirkungen von Schwangerschaft und Geburt bei Louisiana Medicaid</w:t>
      </w:r>
    </w:p>
    <w:p>
      <w:r>
        <w:rPr>
          <w:i/>
          <w:color w:val="666666"/>
          <w:sz w:val="18"/>
        </w:rPr>
        <w:t>Walker B et al.  ·  Health Serv Res  ·  Okt. 2026  ·  PMID 42751818</w:t>
      </w:r>
    </w:p>
    <w:p>
      <w:r>
        <w:t>US-Studie zu Auswirkungen von Schwangerschaft auf Verschuldung und Kreditscores bei Medicaid-Versicherten, stratifiziert nach Ethnie.</w:t>
      </w:r>
    </w:p>
    <w:p>
      <w:r>
        <w:rPr>
          <w:b/>
        </w:rPr>
        <w:t xml:space="preserve">Ergebnis: </w:t>
      </w:r>
      <w:r>
        <w:t>Nicht-hispanische schwarze Frauen zeigten negative finanzielle Folgen: Kreditscores sanken um 4 Punkte (95%-KI: -5,65 bis -1,81), medizinische Schulden stiegen um 41 USD (KI: 6–75), andere Schulden um 44 USD (KI: 15–74). Nicht-hispanische weiße Frauen zeigten keine nachteiligen Auswirkungen.</w:t>
      </w:r>
    </w:p>
    <w:p>
      <w:r>
        <w:rPr>
          <w:b/>
          <w:sz w:val="19"/>
        </w:rPr>
        <w:t xml:space="preserve">Übertragbarkeit: </w:t>
      </w:r>
      <w:r>
        <w:rPr>
          <w:sz w:val="19"/>
        </w:rPr>
        <w:t>USA/Medicaid - Fragestellung aber zu Equity und Versorgungsgerechtigkeit systemunabhängig relevant</w:t>
      </w:r>
    </w:p>
    <w:p>
      <w:r>
        <w:rPr>
          <w:color w:val="5A7D3A"/>
          <w:sz w:val="18"/>
        </w:rPr>
        <w:t>https://pubmed.ncbi.nlm.nih.gov/42751818/</w:t>
      </w:r>
    </w:p>
    <w:p>
      <w:pPr>
        <w:pStyle w:val="Heading2"/>
      </w:pPr>
      <w:r>
        <w:t>Lernen zur Unterstützung von Klientenautonomie in Pflegepraktika</w:t>
      </w:r>
    </w:p>
    <w:p>
      <w:r>
        <w:rPr>
          <w:i/>
          <w:color w:val="666666"/>
          <w:sz w:val="18"/>
        </w:rPr>
        <w:t>Knibbeler MMCJ et al.  ·  Int J Nurs Stud Adv  ·  05.09.2026  ·  PMID 42751206</w:t>
      </w:r>
    </w:p>
    <w:p>
      <w:r>
        <w:t>Qualitative Studie aus Niederlanden zur Frage, wie Pflegestudierende während des klinischen Praktikums lernen, Klientenautonomie zu unterstützen.</w:t>
      </w:r>
    </w:p>
    <w:p>
      <w:r>
        <w:rPr>
          <w:b/>
        </w:rPr>
        <w:t xml:space="preserve">Ergebnis: </w:t>
      </w:r>
      <w:r>
        <w:t>Autonomieförderung war in der Praxis präsent aber inkonsistent; Betreuer interpretierten Autonomie oft als Selbstständigkeit statt Partizipation in Entscheidungen. Implizites Lernen durch Beobachtung dominierte; strukturierte Reflexion war selten. Supervision und Feedback durch Betreuer waren nicht systematisch.</w:t>
      </w:r>
    </w:p>
    <w:p>
      <w:r>
        <w:rPr>
          <w:b/>
          <w:sz w:val="19"/>
        </w:rPr>
        <w:t xml:space="preserve">Übertragbarkeit: </w:t>
      </w:r>
      <w:r>
        <w:rPr>
          <w:sz w:val="19"/>
        </w:rPr>
        <w:t>Niederlande, vergleichbares Pflegeausbildungssystem und Versorgungskontext</w:t>
      </w:r>
    </w:p>
    <w:p>
      <w:r>
        <w:rPr>
          <w:color w:val="5A7D3A"/>
          <w:sz w:val="18"/>
        </w:rPr>
        <w:t>https://pubmed.ncbi.nlm.nih.gov/42751206/</w:t>
      </w:r>
    </w:p>
    <w:p>
      <w:pPr>
        <w:pStyle w:val="Heading2"/>
      </w:pPr>
      <w:r>
        <w:t>Mundgesundheitspflege in Langzeiteinrichtungen: Barrieren und Enabler</w:t>
      </w:r>
    </w:p>
    <w:p>
      <w:r>
        <w:rPr>
          <w:i/>
          <w:color w:val="666666"/>
          <w:sz w:val="18"/>
        </w:rPr>
        <w:t>Spilsbury K et al.  ·  Int J Nurs Stud Adv  ·  13.08.2026  ·  PMID 42750939</w:t>
      </w:r>
    </w:p>
    <w:p>
      <w:r>
        <w:t>Britische Scoping Review zu Faktoren auf Mikro-, Meso- und Makroebene, die Mundgesundheitspflege durch Personal in Altenheimen beeinflussen.</w:t>
      </w:r>
    </w:p>
    <w:p>
      <w:r>
        <w:rPr>
          <w:b/>
        </w:rPr>
        <w:t xml:space="preserve">Ergebnis: </w:t>
      </w:r>
      <w:r>
        <w:t>63 Studien eingeschlossen. Häufigste Einflussfaktoren im COM-B-Modell waren Opportunity-Faktoren (Umgebung, Ressourcen, soziale Einflüsse). Wichtigste Enabler: Schulung, Mundgesundheitskampagnen, unterstützende Führung, Assessmentsysteme. Schlüsselbarrieren: Personalknappheit, Zeitdruck, begrenzte Schulung, niedrige organisationale Priorität, eingeschränkter Zugang zu Zahnservices.</w:t>
      </w:r>
    </w:p>
    <w:p>
      <w:r>
        <w:rPr>
          <w:b/>
          <w:sz w:val="19"/>
        </w:rPr>
        <w:t xml:space="preserve">Übertragbarkeit: </w:t>
      </w:r>
      <w:r>
        <w:rPr>
          <w:sz w:val="19"/>
        </w:rPr>
        <w:t>Großbritannien, Empfehlungen für Langzeitpflege in Deutschland direkt anwendbar</w:t>
      </w:r>
    </w:p>
    <w:p>
      <w:r>
        <w:rPr>
          <w:color w:val="5A7D3A"/>
          <w:sz w:val="18"/>
        </w:rPr>
        <w:t>https://pubmed.ncbi.nlm.nih.gov/42750939/</w:t>
      </w:r>
    </w:p>
    <w:p>
      <w:pPr>
        <w:pStyle w:val="Heading2"/>
      </w:pPr>
      <w:r>
        <w:t>Algorithmen zur Identifikation von HCBS in Medicaid-Claims</w:t>
      </w:r>
    </w:p>
    <w:p>
      <w:r>
        <w:rPr>
          <w:i/>
          <w:color w:val="666666"/>
          <w:sz w:val="18"/>
        </w:rPr>
        <w:t>Dihwa V et al.  ·  Health Serv Res  ·  Okt. 2026  ·  PMID 42750346</w:t>
      </w:r>
    </w:p>
    <w:p>
      <w:r>
        <w:t>US-Evaluationsstudie von drei Algorithmen zur Identifikation von Home- and Community-Based Services in Medicaid-Daten 2021–2023.</w:t>
      </w:r>
    </w:p>
    <w:p>
      <w:r>
        <w:rPr>
          <w:b/>
        </w:rPr>
        <w:t xml:space="preserve">Ergebnis: </w:t>
      </w:r>
      <w:r>
        <w:t>Zwei bestehende Algorithmen zeigten hohe Übereinstimmung (Po = 93 %, Kappa = 0,77). Ein neuer vereinheitlichter Algorithmus adressierte Diskrepanzen durch Novel-Nutzung von Waiver-IDs. Jedoch zeigten einige Bundesstaaten implausible Zählungen oder große Schwankungen über die Jahre (&gt;50 %), was auf Datenqualitätsprobleme hindeutet.</w:t>
      </w:r>
    </w:p>
    <w:p>
      <w:r>
        <w:rPr>
          <w:b/>
          <w:sz w:val="19"/>
        </w:rPr>
        <w:t xml:space="preserve">Übertragbarkeit: </w:t>
      </w:r>
      <w:r>
        <w:rPr>
          <w:sz w:val="19"/>
        </w:rPr>
        <w:t>USA - Datenqualitätsthematik systemunabhängig, aber nur bedingt auf Deutschland übertragbar</w:t>
      </w:r>
    </w:p>
    <w:p>
      <w:r>
        <w:rPr>
          <w:color w:val="5A7D3A"/>
          <w:sz w:val="18"/>
        </w:rPr>
        <w:t>https://pubmed.ncbi.nlm.nih.gov/42750346/</w:t>
      </w:r>
    </w:p>
    <w:p>
      <w:pPr>
        <w:pStyle w:val="Heading1"/>
      </w:pPr>
      <w:r>
        <w:t>Aufgenommen am 17.09.2026</w:t>
      </w:r>
    </w:p>
    <w:p>
      <w:pPr>
        <w:pStyle w:val="Heading2"/>
      </w:pPr>
      <w:r>
        <w:t>Chirurgische Behandlung von NSCLC in England: Trends, Variation und kurzfristige Ergebnisse 2015–2023</w:t>
      </w:r>
    </w:p>
    <w:p>
      <w:r>
        <w:rPr>
          <w:i/>
          <w:color w:val="666666"/>
          <w:sz w:val="18"/>
        </w:rPr>
        <w:t>Dixon LK et al.  ·  BMJ Open  ·  16.09.2026  ·  PMID 42749376</w:t>
      </w:r>
    </w:p>
    <w:p>
      <w:r>
        <w:t>Bevölkerungsgestützte Kohortenstudie zu Trends in der chirurgischen Praxis, regionalen Unterschieden und postoperativen Outcomes bei Lungenkrebs-Resektion in England über 9 Jahre.</w:t>
      </w:r>
    </w:p>
    <w:p>
      <w:r>
        <w:rPr>
          <w:b/>
        </w:rPr>
        <w:t xml:space="preserve">Ergebnis: </w:t>
      </w:r>
      <w:r>
        <w:t>Resektionsrate stieg von 15,4 % (2015) auf 20,9 % (2023); Segmentektomie von 11,2 % auf 20,6 %, minimal-invasive Chirurgie von 47,1 % auf 79,7 %; 90-Tage-Mortalität sank von 4,03 % auf 2,26 %; Verweildauer verkürzt sich, Wiederaufnahmen stabil bei ~10–12 % – jedoch erhebliche Zentren-Heterogenität in Segmentektomie (10,7–80,3 %) und roboterassistierter Chirurgie (0–67 %).</w:t>
      </w:r>
    </w:p>
    <w:p>
      <w:r>
        <w:rPr>
          <w:b/>
          <w:sz w:val="19"/>
        </w:rPr>
        <w:t xml:space="preserve">Übertragbarkeit: </w:t>
      </w:r>
      <w:r>
        <w:rPr>
          <w:sz w:val="19"/>
        </w:rPr>
        <w:t>England, spezialisierte Thoraxchirurgie-Zentren – systemischer Kontext nur bedingt übertragbar</w:t>
      </w:r>
    </w:p>
    <w:p>
      <w:r>
        <w:rPr>
          <w:color w:val="5A7D3A"/>
          <w:sz w:val="18"/>
        </w:rPr>
        <w:t>https://pubmed.ncbi.nlm.nih.gov/42749376/</w:t>
      </w:r>
    </w:p>
    <w:p>
      <w:pPr>
        <w:pStyle w:val="Heading2"/>
      </w:pPr>
      <w:r>
        <w:t>Hybrid-Telemedizin-Hausbesuch-Modell für Pneumonieversorung: Pilot-Fallserie aus Texas</w:t>
      </w:r>
    </w:p>
    <w:p>
      <w:r>
        <w:rPr>
          <w:i/>
          <w:color w:val="666666"/>
          <w:sz w:val="18"/>
        </w:rPr>
        <w:t>Bourmand R et al.  ·  JMIR Form Res  ·  16.09.2026  ·  PMID 42748457</w:t>
      </w:r>
    </w:p>
    <w:p>
      <w:r>
        <w:t>Retrospektive deskriptive Fallserie (n=28 Patienten mit Pneumoniediagnose) zur Implementierbarkeit und Nutzungsmuster eines Hybrid-Modells aus virtueller ärztlicher Bewertung und trainierter Fachperson im Hausbesuch mit digitalen Diagnostik-Tools.</w:t>
      </w:r>
    </w:p>
    <w:p>
      <w:r>
        <w:rPr>
          <w:b/>
        </w:rPr>
        <w:t xml:space="preserve">Ergebnis: </w:t>
      </w:r>
      <w:r>
        <w:t>28 Patienten mit 56 klinischen Kontakten (Median 2, IQR 1–3 pro Patient); CRB-65-Scores 0–2 (46,4 % Score 0, 46,4 % Score 1, 7,1 % Score 2); 8/28 (28,6 %) zur ED überwiesen; Patienten zur ED überwiesen hatten signifikant höhere CRB-65-Scores (Median 1, IQR 1–1,5 vs. Median 0, IQR 0–1; p=0,01); Modell machbar, aber größere prospektive Vergleichsstudien für Outcomes/Sicherheit erforderlich.</w:t>
      </w:r>
    </w:p>
    <w:p>
      <w:r>
        <w:rPr>
          <w:b/>
          <w:sz w:val="19"/>
        </w:rPr>
        <w:t xml:space="preserve">Übertragbarkeit: </w:t>
      </w:r>
      <w:r>
        <w:rPr>
          <w:sz w:val="19"/>
        </w:rPr>
        <w:t>USA – Fragestellung zur Versorgungsmodellintegration systemunabhängig, aber Kontext Urgent Care begrenzt übertragbar</w:t>
      </w:r>
    </w:p>
    <w:p>
      <w:r>
        <w:rPr>
          <w:color w:val="5A7D3A"/>
          <w:sz w:val="18"/>
        </w:rPr>
        <w:t>https://pubmed.ncbi.nlm.nih.gov/42748457/</w:t>
      </w:r>
    </w:p>
    <w:p>
      <w:pPr>
        <w:pStyle w:val="Heading2"/>
      </w:pPr>
      <w:r>
        <w:t>Elektronische Arzneihinweise verbessern Überweisungen zu Diabetes-Selbstmanagement-Schulung</w:t>
      </w:r>
    </w:p>
    <w:p>
      <w:r>
        <w:rPr>
          <w:i/>
          <w:color w:val="666666"/>
          <w:sz w:val="18"/>
        </w:rPr>
        <w:t>Donahue KE et al.  ·  Diabetes Care  ·  16.09.2026  ·  PMID 42747941</w:t>
      </w:r>
    </w:p>
    <w:p>
      <w:r>
        <w:t>Clusterrandomisierte Studie zur Wirkung von Best-Practice-Advisories im EHR auf Überweisungsquoten zu Diabetes-Selbstmanagement-Schulung (DSMES) über 18 Monate in US-Primärversorgung.</w:t>
      </w:r>
    </w:p>
    <w:p>
      <w:r>
        <w:rPr>
          <w:b/>
        </w:rPr>
        <w:t xml:space="preserve">Ergebnis: </w:t>
      </w:r>
      <w:r>
        <w:t>Nach 12 Monaten: 12,9 % Überweisungsrate in Interventionskliniken vs. 1,2 % in Kontrollen (p&lt;0,001); nach 18 Monaten 13,7 % vs. 1,6 % (p&lt;0,001); adjustierte Odds Ratio 10,55 (95%-KI 4,65–23,94) nach 12 Monaten und 9,44 (95%-KI 4,91–18,17) nach 18 Monaten. Standing Orders erhielten diese Gewinne.</w:t>
      </w:r>
    </w:p>
    <w:p>
      <w:r>
        <w:rPr>
          <w:b/>
          <w:sz w:val="19"/>
        </w:rPr>
        <w:t xml:space="preserve">Übertragbarkeit: </w:t>
      </w:r>
      <w:r>
        <w:rPr>
          <w:sz w:val="19"/>
        </w:rPr>
        <w:t>USA, Primärversorgung – Prozessoptimierung systemunabhängig, aber Anreizsystem unterschiedlich</w:t>
      </w:r>
    </w:p>
    <w:p>
      <w:r>
        <w:rPr>
          <w:color w:val="5A7D3A"/>
          <w:sz w:val="18"/>
        </w:rPr>
        <w:t>https://pubmed.ncbi.nlm.nih.gov/42747941/</w:t>
      </w:r>
    </w:p>
    <w:p>
      <w:pPr>
        <w:pStyle w:val="Heading2"/>
      </w:pPr>
      <w:r>
        <w:t>Mehrebenen-Mehrfach-Fallstudie: Methodik zur Analyse komplexer Versorgungstrajektorien älterer Menschen</w:t>
      </w:r>
    </w:p>
    <w:p>
      <w:r>
        <w:rPr>
          <w:i/>
          <w:color w:val="666666"/>
          <w:sz w:val="18"/>
        </w:rPr>
        <w:t>Dieterich A et al.  ·  Z Gerontol Geriatr  ·  16.09.2026  ·  PMID 42747513</w:t>
      </w:r>
    </w:p>
    <w:p>
      <w:r>
        <w:t>Methodisches Diskussionspapier zur Anwendung von Mehrebenen-Mehrfach-Fallstudien als Forschungsdesign zur empirischen Rekonstruktion komplexer Hilfeverläufe in sektorenübergreifender Versorgung für ältere Menschen.</w:t>
      </w:r>
    </w:p>
    <w:p>
      <w:r>
        <w:rPr>
          <w:b/>
        </w:rPr>
        <w:t xml:space="preserve">Ergebnis: </w:t>
      </w:r>
      <w:r>
        <w:t>Fallkonstellationen auf Mikro- (Interaktion Betroffener, professionelle und informelle Helfer), Meso- (Organisationen, Netzwerke) und Makroebene (Rahmenbedingungen) systematisch verknüpft; Methodenkombination (Interviews, Dokumenten-, Sozialraum-, Netzwerkanalysen, reflexive thematische Analyse) ermöglicht kontextabhängige Bedingungen von Versorgung zu identifizieren; Design eröffnet neue Möglichkeiten für Versorgungsforschung, stellt aber hohe Anforderungen an Feldzugang, Datenintegration und Forschungsethik.</w:t>
      </w:r>
    </w:p>
    <w:p>
      <w:r>
        <w:rPr>
          <w:b/>
          <w:sz w:val="19"/>
        </w:rPr>
        <w:t xml:space="preserve">Übertragbarkeit: </w:t>
      </w:r>
      <w:r>
        <w:rPr>
          <w:sz w:val="19"/>
        </w:rPr>
        <w:t>Deutschland, Versorgungsforschung – direkt anwendbare Methodik für sektorenübergreifende Versorgungsanalyse</w:t>
      </w:r>
    </w:p>
    <w:p>
      <w:r>
        <w:rPr>
          <w:color w:val="5A7D3A"/>
          <w:sz w:val="18"/>
        </w:rPr>
        <w:t>https://pubmed.ncbi.nlm.nih.gov/42747513/</w:t>
      </w:r>
    </w:p>
    <w:p>
      <w:pPr>
        <w:pStyle w:val="Heading2"/>
      </w:pPr>
      <w:r>
        <w:t>Zusammenarbeit und Partizipation in integrierter Versorgung: Sicht von Managern mit komplexen Bedarf</w:t>
      </w:r>
    </w:p>
    <w:p>
      <w:r>
        <w:rPr>
          <w:i/>
          <w:color w:val="666666"/>
          <w:sz w:val="18"/>
        </w:rPr>
        <w:t>Hjelm M et al.  ·  BMC Health Serv Res  ·  12.09.2026  ·  PMID 42745286</w:t>
      </w:r>
    </w:p>
    <w:p>
      <w:r>
        <w:t>Qualitative Fokusgruppenstudie (n=13 Manager) zu Barrieren und Facilitatoren interprofessioneller Zusammenarbeit und Patientenbeteiligung in integrierter Gesundheits- und Sozialversorgung für Erwachsene mit komplexen Bedarfen in Schweden.</w:t>
      </w:r>
    </w:p>
    <w:p>
      <w:r>
        <w:rPr>
          <w:b/>
        </w:rPr>
        <w:t xml:space="preserve">Ergebnis: </w:t>
      </w:r>
      <w:r>
        <w:t>Drei zentrale Kategorien identifiziert: (1) organisatorische Voraussetzungen für nachhaltige Verbesserung integrierter Versorgung, (2) interprofessionelle Zusammenarbeit zur Bedarfserfassung, (3) relationale und bedarfsgerechte Ansätze; Kluft zwischen Intention und Implementierung von personenzentrierter, integrierter Versorgung erkannt; Vertrauen, klare Governance und organisatorische Kontinuität als Schlüsselfaktoren.</w:t>
      </w:r>
    </w:p>
    <w:p>
      <w:r>
        <w:rPr>
          <w:b/>
          <w:sz w:val="19"/>
        </w:rPr>
        <w:t xml:space="preserve">Übertragbarkeit: </w:t>
      </w:r>
      <w:r>
        <w:rPr>
          <w:sz w:val="19"/>
        </w:rPr>
        <w:t>Schweden – Primärversorgung und Koordinationsprozesse gut übertragbar auf Deutschland</w:t>
      </w:r>
    </w:p>
    <w:p>
      <w:r>
        <w:rPr>
          <w:color w:val="5A7D3A"/>
          <w:sz w:val="18"/>
        </w:rPr>
        <w:t>https://pubmed.ncbi.nlm.nih.gov/42745286/</w:t>
      </w:r>
    </w:p>
    <w:p>
      <w:pPr>
        <w:pStyle w:val="Heading2"/>
      </w:pPr>
      <w:r>
        <w:t>Lungenkrebs-Screening in Flandern: Barrieren und Facilitatoren aus Stakeholder-Perspektive</w:t>
      </w:r>
    </w:p>
    <w:p>
      <w:r>
        <w:rPr>
          <w:i/>
          <w:color w:val="666666"/>
          <w:sz w:val="18"/>
        </w:rPr>
        <w:t>Michiels L et al.  ·  BMC Health Serv Res  ·  31.08.2026  ·  PMID 42745254</w:t>
      </w:r>
    </w:p>
    <w:p>
      <w:r>
        <w:t>Qualitative exploratorische Studie (22 Gesundheitsfachpersonen, 13 Screening-Berechtigte) zu Implementierungs- und Partizipationsbarrieren sowie Facilitatoren für bevölkerungsgestütztes Lungenkrebs-Screening mit Niedrig-Dosis-CT in Belgien.</w:t>
      </w:r>
    </w:p>
    <w:p>
      <w:r>
        <w:rPr>
          <w:b/>
        </w:rPr>
        <w:t xml:space="preserve">Ergebnis: </w:t>
      </w:r>
      <w:r>
        <w:t>Überwiegend positive Einstellung zum Screening, aber Barrieren: Stigma bezüglich Rauchen, begrenzte Gesundheitskompetenz, indirekte finanzielle/logistische Hindernisse, Angst vor Screening und Warten auf Ergebnisse, Workload-Bedenken, Schulungsbedarf bei Fachpersonen; Facilitatoren: klare Richtlinien, staatliche Koordination/Finanzierung, Integration in Workflows, Zugänglichkeit, public awareness, vertrauensbasierte Kommunikation ohne Wertung.</w:t>
      </w:r>
    </w:p>
    <w:p>
      <w:r>
        <w:rPr>
          <w:b/>
          <w:sz w:val="19"/>
        </w:rPr>
        <w:t xml:space="preserve">Übertragbarkeit: </w:t>
      </w:r>
      <w:r>
        <w:rPr>
          <w:sz w:val="19"/>
        </w:rPr>
        <w:t>Belgien, vergleichbares Sozialversicherungssystem mit ähnlichen Implementierungshürden</w:t>
      </w:r>
    </w:p>
    <w:p>
      <w:r>
        <w:rPr>
          <w:color w:val="5A7D3A"/>
          <w:sz w:val="18"/>
        </w:rPr>
        <w:t>https://pubmed.ncbi.nlm.nih.gov/42745254/</w:t>
      </w:r>
    </w:p>
    <w:p>
      <w:pPr>
        <w:pStyle w:val="Heading2"/>
      </w:pPr>
      <w:r>
        <w:t>Digitale Versorgungstechnologien für ältere Menschen: Anforderungen für Erfahrung als gute Versorgung</w:t>
      </w:r>
    </w:p>
    <w:p>
      <w:r>
        <w:rPr>
          <w:i/>
          <w:color w:val="666666"/>
          <w:sz w:val="18"/>
        </w:rPr>
        <w:t>Kruithof K et al.  ·  BMC Health Serv Res  ·  05.08.2026  ·  PMID 42745252</w:t>
      </w:r>
    </w:p>
    <w:p>
      <w:r>
        <w:t>Qualitative Studie (n=27 wohnhaft lebende ältere Menschen) zu Bedingungen, unter denen digitale Pflege- und Unterstützungstechnologien von älteren Menschen als gute Versorgung wahrgenommen werden.</w:t>
      </w:r>
    </w:p>
    <w:p>
      <w:r>
        <w:rPr>
          <w:b/>
        </w:rPr>
        <w:t xml:space="preserve">Ergebnis: </w:t>
      </w:r>
      <w:r>
        <w:t>Technologien als gute Versorgung erlebt, wenn sie (1) Bedarf und Gewohnheiten entsprechen, (2) Fähigkeiten unterstützen, (3) Werte respektieren; aktive Rolle bei Technologiewahl assoziiert mit Altern-in-place und verbesserter Zugänglichkeit/Sicherheit/Autonomie; von Betreuerseite eingeführte Technologien oft als unnötig wahrgenommen und nicht genutzt; Technologien können reduziertem menschlichem Kontakt und Zugänglichkeitsmängeln schaden.</w:t>
      </w:r>
    </w:p>
    <w:p>
      <w:r>
        <w:rPr>
          <w:b/>
          <w:sz w:val="19"/>
        </w:rPr>
        <w:t xml:space="preserve">Übertragbarkeit: </w:t>
      </w:r>
      <w:r>
        <w:rPr>
          <w:sz w:val="19"/>
        </w:rPr>
        <w:t>Niederlande, ähnliches Gesundheitssystem – Implementierung digitaler Lösungen systemunabhängig</w:t>
      </w:r>
    </w:p>
    <w:p>
      <w:r>
        <w:rPr>
          <w:color w:val="5A7D3A"/>
          <w:sz w:val="18"/>
        </w:rPr>
        <w:t>https://pubmed.ncbi.nlm.nih.gov/42745252/</w:t>
      </w:r>
    </w:p>
    <w:p>
      <w:pPr>
        <w:pStyle w:val="Heading1"/>
      </w:pPr>
      <w:r>
        <w:t>Aufgenommen am 16.09.2026</w:t>
      </w:r>
    </w:p>
    <w:p>
      <w:pPr>
        <w:pStyle w:val="Heading2"/>
      </w:pPr>
      <w:r>
        <w:t>Pragmatisches Vorhersagemodell für Asthma-Klinikreadmissionen</w:t>
      </w:r>
    </w:p>
    <w:p>
      <w:r>
        <w:rPr>
          <w:i/>
          <w:color w:val="666666"/>
          <w:sz w:val="18"/>
        </w:rPr>
        <w:t>Tay TR et al.  ·  Respir Med  ·  15.09.2026  ·  PMID 42744205</w:t>
      </w:r>
    </w:p>
    <w:p>
      <w:r>
        <w:t>Entwicklung und externe Validierung eines neunfaktoriellen Vorhersagemodells für Krankenhauswiederaufnahmen nach Asthmaexazerbation innerhalb von 12 Monaten.</w:t>
      </w:r>
    </w:p>
    <w:p>
      <w:r>
        <w:rPr>
          <w:b/>
        </w:rPr>
        <w:t xml:space="preserve">Ergebnis: </w:t>
      </w:r>
      <w:r>
        <w:t>READMIT-Modell zeigte gute Diskriminierung im Entwicklungs-(AUC 0,748; 95% KI 0,711–0,785) und externen Kohort (AUC 0,737; 95% KI 0,712–0,762), mit zufriedenstellender Kalibrierung.</w:t>
      </w:r>
    </w:p>
    <w:p>
      <w:r>
        <w:rPr>
          <w:b/>
          <w:sz w:val="19"/>
        </w:rPr>
        <w:t xml:space="preserve">Übertragbarkeit: </w:t>
      </w:r>
      <w:r>
        <w:rPr>
          <w:sz w:val="19"/>
        </w:rPr>
        <w:t>Singapur-Daten, aber Fragestellung zu klinischen Prozessen systemunabhängig</w:t>
      </w:r>
    </w:p>
    <w:p>
      <w:r>
        <w:rPr>
          <w:color w:val="5A7D3A"/>
          <w:sz w:val="18"/>
        </w:rPr>
        <w:t>https://pubmed.ncbi.nlm.nih.gov/42744205/</w:t>
      </w:r>
    </w:p>
    <w:p>
      <w:pPr>
        <w:pStyle w:val="Heading2"/>
      </w:pPr>
      <w:r>
        <w:t>Buprenorphin-Verordnungen nach Einführung eines niedrigschwelligen virtuellen Netzwerks</w:t>
      </w:r>
    </w:p>
    <w:p>
      <w:r>
        <w:rPr>
          <w:i/>
          <w:color w:val="666666"/>
          <w:sz w:val="18"/>
        </w:rPr>
        <w:t>Lindenfeld Z et al.  ·  J Subst Use Addict Treat  ·  15.09.2026  ·  PMID 42744115</w:t>
      </w:r>
    </w:p>
    <w:p>
      <w:r>
        <w:t>Analyse der Auswirkungen eines kommunalen Rapid-Access-Modells (RealFix) mit virtuellen Anbietern auf die Buprenorphin-Verschreibungen in Paterson, New Jersey, mittels Differenzen-in-Differenzen-Analyse (2021–2025).</w:t>
      </w:r>
    </w:p>
    <w:p>
      <w:r>
        <w:rPr>
          <w:b/>
        </w:rPr>
        <w:t xml:space="preserve">Ergebnis: </w:t>
      </w:r>
      <w:r>
        <w:t>RealFix war mit Zunahmen von 66,5–76,8 Buprenorphin-Rezepten pro 10.000 Einwohner monatlich verbunden (14,6–17,0% Anstieg über Kontrollgruppen hinaus); Retentionseffekte waren gemischt.</w:t>
      </w:r>
    </w:p>
    <w:p>
      <w:r>
        <w:rPr>
          <w:b/>
          <w:sz w:val="19"/>
        </w:rPr>
        <w:t xml:space="preserve">Übertragbarkeit: </w:t>
      </w:r>
      <w:r>
        <w:rPr>
          <w:sz w:val="19"/>
        </w:rPr>
        <w:t>USA (Medicaid)-Daten, aber Fragestellung zu niedrigschwelliger Zugangssteuerung auf andere Systeme übertragbar</w:t>
      </w:r>
    </w:p>
    <w:p>
      <w:r>
        <w:rPr>
          <w:color w:val="5A7D3A"/>
          <w:sz w:val="18"/>
        </w:rPr>
        <w:t>https://pubmed.ncbi.nlm.nih.gov/42744115/</w:t>
      </w:r>
    </w:p>
    <w:p>
      <w:pPr>
        <w:pStyle w:val="Heading2"/>
      </w:pPr>
      <w:r>
        <w:t>Routinedaten in der onkologischen Versorgungsforschung: Chancen und Herausforderungen</w:t>
      </w:r>
    </w:p>
    <w:p>
      <w:r>
        <w:rPr>
          <w:i/>
          <w:color w:val="666666"/>
          <w:sz w:val="18"/>
        </w:rPr>
        <w:t>Kästner A et al.  ·  Gesundheitswesen  ·  15.09.2026  ·  PMID 42743977</w:t>
      </w:r>
    </w:p>
    <w:p>
      <w:r>
        <w:t>Qualitative Analyse praktischer Erfahrungen mit Krebsregisterdaten und Abrechnungsdaten von Krankenkassen für Versorgungsforschung am Beispiel eines Innovationsfonds-Projekts.</w:t>
      </w:r>
    </w:p>
    <w:p>
      <w:r>
        <w:rPr>
          <w:b/>
        </w:rPr>
        <w:t xml:space="preserve">Ergebnis: </w:t>
      </w:r>
      <w:r>
        <w:t>Verlinkung von Krebsregistern und Abrechnungsdaten ermöglicht umfassende Analysen von Langzeitoutcomes und Versorgungsstrukturen, erfordert jedoch zeitintensive Abstimmungs- und Genehmigungsprozesse sowie spezialisierte methodische Expertise.</w:t>
      </w:r>
    </w:p>
    <w:p>
      <w:r>
        <w:rPr>
          <w:b/>
          <w:sz w:val="19"/>
        </w:rPr>
        <w:t xml:space="preserve">Übertragbarkeit: </w:t>
      </w:r>
      <w:r>
        <w:rPr>
          <w:sz w:val="19"/>
        </w:rPr>
        <w:t>Deutsches Gesundheitssystem, Krebsregister nach §65c SGB V und gesetzliche Krankenkassen</w:t>
      </w:r>
    </w:p>
    <w:p>
      <w:r>
        <w:rPr>
          <w:color w:val="5A7D3A"/>
          <w:sz w:val="18"/>
        </w:rPr>
        <w:t>https://pubmed.ncbi.nlm.nih.gov/42743977/</w:t>
      </w:r>
    </w:p>
    <w:p>
      <w:pPr>
        <w:pStyle w:val="Heading2"/>
      </w:pPr>
      <w:r>
        <w:t>Präferenzen für dezentrale ophthalmologische Kliniken: Diskrete-Wahl-Experiment im UK</w:t>
      </w:r>
    </w:p>
    <w:p>
      <w:r>
        <w:rPr>
          <w:i/>
          <w:color w:val="666666"/>
          <w:sz w:val="18"/>
        </w:rPr>
        <w:t>Ndwandwe S et al.  ·  PLoS One  ·  15.09.2026  ·  PMID 42743352</w:t>
      </w:r>
    </w:p>
    <w:p>
      <w:r>
        <w:t>Diskrete-Wahl-Experiment mit 389 Befragten (Patienten, Fachkräfte, Öffentlichkeit) zu Präferenzen für Merkmale einer techniker-geleiteten asynchronen Augenklinik zur Überwachung chronischer Augenerkrankungen.</w:t>
      </w:r>
    </w:p>
    <w:p>
      <w:r>
        <w:rPr>
          <w:b/>
        </w:rPr>
        <w:t xml:space="preserve">Ergebnis: </w:t>
      </w:r>
      <w:r>
        <w:t>Wer einen Techniker statt Kliniker sah und Ergebnisse per Post erhielt, benötigte Reduktion der Terminverzögerung um 6,27 Monate (95% KI 4,52–8,03) oder Fahrtzeit um 153 Minuten (95% KI 88–219); techniker-geleitete Modelle könnten kliniker-geleitete Services ergänzen, wenn sie Verzögerungen verkürzen.</w:t>
      </w:r>
    </w:p>
    <w:p>
      <w:r>
        <w:rPr>
          <w:b/>
          <w:sz w:val="19"/>
        </w:rPr>
        <w:t xml:space="preserve">Übertragbarkeit: </w:t>
      </w:r>
      <w:r>
        <w:rPr>
          <w:sz w:val="19"/>
        </w:rPr>
        <w:t>UK NHS-System, teilweise übertragbar auf dezentrale Versorgungsmodelle in Deutschland</w:t>
      </w:r>
    </w:p>
    <w:p>
      <w:r>
        <w:rPr>
          <w:color w:val="5A7D3A"/>
          <w:sz w:val="18"/>
        </w:rPr>
        <w:t>https://pubmed.ncbi.nlm.nih.gov/42743352/</w:t>
      </w:r>
    </w:p>
    <w:p>
      <w:pPr>
        <w:pStyle w:val="Heading2"/>
      </w:pPr>
      <w:r>
        <w:t>Psychische Belastung von Gesundheitsfachkräften in der COVID-19-Pandemie</w:t>
      </w:r>
    </w:p>
    <w:p>
      <w:r>
        <w:rPr>
          <w:i/>
          <w:color w:val="666666"/>
          <w:sz w:val="18"/>
        </w:rPr>
        <w:t>Peters C et al.  ·  Front Public Health  ·  31.08.2026  ·  PMID 42741285</w:t>
      </w:r>
    </w:p>
    <w:p>
      <w:r>
        <w:t>Querschnittstudie zu Arbeitsbedingungen und psychischer Gesundheit von 576 Beschäftigten in deutschen Gesundheits- und Sozialeinrichtungen während COVID-19.</w:t>
      </w:r>
    </w:p>
    <w:p>
      <w:r>
        <w:rPr>
          <w:b/>
        </w:rPr>
        <w:t xml:space="preserve">Ergebnis: </w:t>
      </w:r>
      <w:r>
        <w:t>59% waren Gesundheitsfachkräfte; diese berichteten schlechtere Arbeitsfähigkeit (6,9 vs. 7,3), höhere emotionale Belastung und depressive Symptome; ca. ein Fünftel zeigte moderate bis schwere psychische Belastung.</w:t>
      </w:r>
    </w:p>
    <w:p>
      <w:r>
        <w:rPr>
          <w:b/>
          <w:sz w:val="19"/>
        </w:rPr>
        <w:t xml:space="preserve">Übertragbarkeit: </w:t>
      </w:r>
      <w:r>
        <w:rPr>
          <w:sz w:val="19"/>
        </w:rPr>
        <w:t>Deutsche Routinedaten, Studie in Deutschland durchgeführt</w:t>
      </w:r>
    </w:p>
    <w:p>
      <w:r>
        <w:rPr>
          <w:color w:val="5A7D3A"/>
          <w:sz w:val="18"/>
        </w:rPr>
        <w:t>https://pubmed.ncbi.nlm.nih.gov/42741285/</w:t>
      </w:r>
    </w:p>
    <w:p>
      <w:pPr>
        <w:pStyle w:val="Heading2"/>
      </w:pPr>
      <w:r>
        <w:t>Zugang zur elektronischen Patientenakte über Krankenversicherer-Apps in Deutschland</w:t>
      </w:r>
    </w:p>
    <w:p>
      <w:r>
        <w:rPr>
          <w:i/>
          <w:color w:val="666666"/>
          <w:sz w:val="18"/>
        </w:rPr>
        <w:t>May S et al.  ·  JMIR Mhealth Uhealth  ·  14.09.2026  ·  PMID 42735900</w:t>
      </w:r>
    </w:p>
    <w:p>
      <w:r>
        <w:t>Qualitative Interviewstudie mit 23 Personen zu Nutzererfahrungen beim Einrichten und Authentifizieren des Zugangs zur ePA durch Versicherer-Apps.</w:t>
      </w:r>
    </w:p>
    <w:p>
      <w:r>
        <w:rPr>
          <w:b/>
        </w:rPr>
        <w:t xml:space="preserve">Ergebnis: </w:t>
      </w:r>
      <w:r>
        <w:t>Zugang besteht nicht aus einem einzelnen Schritt, sondern aus fünf interdependenten Phasen (Orientierung, technischer Zugang, Verifizierung, Unterbrechungen, initiale Nutzung); Barrieren akkumulieren sich über Phasen hinweg und führen zu wiederholten Versuchen.</w:t>
      </w:r>
    </w:p>
    <w:p>
      <w:r>
        <w:rPr>
          <w:b/>
          <w:sz w:val="19"/>
        </w:rPr>
        <w:t xml:space="preserve">Übertragbarkeit: </w:t>
      </w:r>
      <w:r>
        <w:rPr>
          <w:sz w:val="19"/>
        </w:rPr>
        <w:t>Deutsche Routinedaten und ePA-Implementierung, direkt für deutsches System anwendbar</w:t>
      </w:r>
    </w:p>
    <w:p>
      <w:r>
        <w:rPr>
          <w:color w:val="5A7D3A"/>
          <w:sz w:val="18"/>
        </w:rPr>
        <w:t>https://pubmed.ncbi.nlm.nih.gov/42735900/</w:t>
      </w:r>
    </w:p>
    <w:p>
      <w:pPr>
        <w:pStyle w:val="Heading1"/>
      </w:pPr>
      <w:r>
        <w:t>Aufgenommen am 15.09.2026</w:t>
      </w:r>
    </w:p>
    <w:p>
      <w:pPr>
        <w:pStyle w:val="Heading2"/>
      </w:pPr>
      <w:r>
        <w:t>Design-Richtlinien für Online-Gesundheitsforen</w:t>
      </w:r>
    </w:p>
    <w:p>
      <w:r>
        <w:rPr>
          <w:i/>
          <w:color w:val="666666"/>
          <w:sz w:val="18"/>
        </w:rPr>
        <w:t>Marshall P et al.  ·  J Med Internet Res  ·  14.09.2026  ·  PMID 42735377</w:t>
      </w:r>
    </w:p>
    <w:p>
      <w:r>
        <w:t>Qualitative Studie mit 54 Interviews und Workshops zur Entwicklung evidenzgestützter Designrichtlinien für sichere Online-Gesundheitsforen basierend auf Selbstbestimmungstheorie.</w:t>
      </w:r>
    </w:p>
    <w:p>
      <w:r>
        <w:rPr>
          <w:b/>
        </w:rPr>
        <w:t xml:space="preserve">Ergebnis: </w:t>
      </w:r>
      <w:r>
        <w:t>Vier übergeordnete Designprinzipien identifiziert (Autonomie, Kompetenz, Zugehörigkeit, Sicherheit) mit pragmatischen Umsetzungsstrategien; Ergebnisse zeigen gemischte Nutzererfahrungen und Bedarf für nutzerzentrierte Weiterentwicklung.</w:t>
      </w:r>
    </w:p>
    <w:p>
      <w:r>
        <w:rPr>
          <w:b/>
          <w:sz w:val="19"/>
        </w:rPr>
        <w:t xml:space="preserve">Übertragbarkeit: </w:t>
      </w:r>
      <w:r>
        <w:rPr>
          <w:sz w:val="19"/>
        </w:rPr>
        <w:t>UK-Studie, aber Fragestellung zu Prozessqualität und Nutzerperspektive systemunabhängig übertragbar.</w:t>
      </w:r>
    </w:p>
    <w:p>
      <w:r>
        <w:rPr>
          <w:color w:val="5A7D3A"/>
          <w:sz w:val="18"/>
        </w:rPr>
        <w:t>https://pubmed.ncbi.nlm.nih.gov/42735377/</w:t>
      </w:r>
    </w:p>
    <w:p>
      <w:pPr>
        <w:pStyle w:val="Heading2"/>
      </w:pPr>
      <w:r>
        <w:t>Hepatitis-B-Disparitäten bei Migranten in Dänemark</w:t>
      </w:r>
    </w:p>
    <w:p>
      <w:r>
        <w:rPr>
          <w:i/>
          <w:color w:val="666666"/>
          <w:sz w:val="18"/>
        </w:rPr>
        <w:t>Deal A et al.  ·  Eur J Public Health  ·  04.08.2026  ·  PMID 42734651</w:t>
      </w:r>
    </w:p>
    <w:p>
      <w:r>
        <w:t>Matched-Cohort-Studie mit 179.110 Migranten und 1.049.345 Dänen über 23 Jahre zur Erfassung von HBV-Diagnoseraten und Verzögerungen.</w:t>
      </w:r>
    </w:p>
    <w:p>
      <w:r>
        <w:rPr>
          <w:b/>
        </w:rPr>
        <w:t xml:space="preserve">Ergebnis: </w:t>
      </w:r>
      <w:r>
        <w:t>Migranten zeigten 30,6-fach erhöhtes HBV-Diagnosrisiko (95%-KI: 26,7–35,2); durchschnittliche Verzögerung von Ankunft bis Diagnose 5,4 Jahre; Unterversorgung bei Personen außerhalb routinemäßiger Screening-Prozesse.</w:t>
      </w:r>
    </w:p>
    <w:p>
      <w:r>
        <w:rPr>
          <w:b/>
          <w:sz w:val="19"/>
        </w:rPr>
        <w:t xml:space="preserve">Übertragbarkeit: </w:t>
      </w:r>
      <w:r>
        <w:rPr>
          <w:sz w:val="19"/>
        </w:rPr>
        <w:t>Dänemark, Sozialversicherungssystem vergleichbar mit Deutschland, aussagekräftig für Migrantenpopulationen.</w:t>
      </w:r>
    </w:p>
    <w:p>
      <w:r>
        <w:rPr>
          <w:color w:val="5A7D3A"/>
          <w:sz w:val="18"/>
        </w:rPr>
        <w:t>https://pubmed.ncbi.nlm.nih.gov/42734651/</w:t>
      </w:r>
    </w:p>
    <w:p>
      <w:pPr>
        <w:pStyle w:val="Heading2"/>
      </w:pPr>
      <w:r>
        <w:t>Indirekte Effektivitätsvergleich Tafamidis vs. Acoramidis bei Transthyretin-Kardiomyopathie</w:t>
      </w:r>
    </w:p>
    <w:p>
      <w:r>
        <w:rPr>
          <w:i/>
          <w:color w:val="666666"/>
          <w:sz w:val="18"/>
        </w:rPr>
        <w:t>Debonnaire P et al.  ·  J Comp Eff Res  ·  14.09.2026  ·  PMID 42734113</w:t>
      </w:r>
    </w:p>
    <w:p>
      <w:r>
        <w:t>Trial-Emulation-Studie mit indirektem Vergleich zweier Transthyretin-Stabilisatoren basierend auf Registerdaten und klinischen Trials.</w:t>
      </w:r>
    </w:p>
    <w:p>
      <w:r>
        <w:rPr>
          <w:b/>
        </w:rPr>
        <w:t xml:space="preserve">Ergebnis: </w:t>
      </w:r>
      <w:r>
        <w:t>Nach Kalibrierung zeigte Acoramidis eine 42-Monats-Mortalitätsrate von 24,0% versus kalibrierte 31,2% für Tafamidis; relatives Mortalitätsrisiko 0,78 (95%-KI: 0,60–0,99), was auf 22% niedrigeres Sterblichkeitsrisiko deutet.</w:t>
      </w:r>
    </w:p>
    <w:p>
      <w:r>
        <w:rPr>
          <w:b/>
          <w:sz w:val="19"/>
        </w:rPr>
        <w:t xml:space="preserve">Übertragbarkeit: </w:t>
      </w:r>
      <w:r>
        <w:rPr>
          <w:sz w:val="19"/>
        </w:rPr>
        <w:t>Gering: US-Registerdaten; aber Fragestellung zur Vergleichbarkeit von Wirkstoffen systemunabhängig relevant.</w:t>
      </w:r>
    </w:p>
    <w:p>
      <w:r>
        <w:rPr>
          <w:color w:val="5A7D3A"/>
          <w:sz w:val="18"/>
        </w:rPr>
        <w:t>https://pubmed.ncbi.nlm.nih.gov/42734113/</w:t>
      </w:r>
    </w:p>
    <w:p>
      <w:pPr>
        <w:pStyle w:val="Heading2"/>
      </w:pPr>
      <w:r>
        <w:t>SESAME-Checkliste für Adverse-Event- und Fehlerberichterstattung</w:t>
      </w:r>
    </w:p>
    <w:p>
      <w:r>
        <w:rPr>
          <w:i/>
          <w:color w:val="666666"/>
          <w:sz w:val="18"/>
        </w:rPr>
        <w:t>Griffey RT et al.  ·  J Patient Saf  ·  11.09.2026  ·  PMID 42725452</w:t>
      </w:r>
    </w:p>
    <w:p>
      <w:r>
        <w:t>Methodisches Konsensuspapier zur Entwicklung einer 44-Item-Checkliste (SESAME) zur Standardisierung der Berichterstattung in Studien zu unerwünschten Ereignissen und medizinischen Fehlern.</w:t>
      </w:r>
    </w:p>
    <w:p>
      <w:r>
        <w:rPr>
          <w:b/>
        </w:rPr>
        <w:t xml:space="preserve">Ergebnis: </w:t>
      </w:r>
      <w:r>
        <w:t>SESAME-Checkliste mit 44 Items deckt alle kritischen Reporting-Domänen ab; Ziel ist Verbesserung der Vollständigkeit, Vergleichbarkeit und Reproduzierbarkeit; Entwicklung nach EQUATOR-Standards mit internationalem Expertenkonsens.</w:t>
      </w:r>
    </w:p>
    <w:p>
      <w:r>
        <w:rPr>
          <w:b/>
          <w:sz w:val="19"/>
        </w:rPr>
        <w:t xml:space="preserve">Übertragbarkeit: </w:t>
      </w:r>
      <w:r>
        <w:rPr>
          <w:sz w:val="19"/>
        </w:rPr>
        <w:t>Internationales Konsensdokument zur Studienqualität, systemunabhängig für Patientensicherheitsforschung relevant.</w:t>
      </w:r>
    </w:p>
    <w:p>
      <w:r>
        <w:rPr>
          <w:color w:val="5A7D3A"/>
          <w:sz w:val="18"/>
        </w:rPr>
        <w:t>https://pubmed.ncbi.nlm.nih.gov/42725452/</w:t>
      </w:r>
    </w:p>
    <w:p>
      <w:pPr>
        <w:pStyle w:val="Heading2"/>
      </w:pPr>
      <w:r>
        <w:t>Koordinierter Ansatz zur integrierten Sturz- und Frakturprävention</w:t>
      </w:r>
    </w:p>
    <w:p>
      <w:r>
        <w:rPr>
          <w:i/>
          <w:color w:val="666666"/>
          <w:sz w:val="18"/>
        </w:rPr>
        <w:t>van der Velde N et al.  ·  Eur Geriatr Med  ·  10.09.2026  ·  PMID 42720850</w:t>
      </w:r>
    </w:p>
    <w:p>
      <w:r>
        <w:t>Position Paper von sieben internationalen Fachgesellschaften zu evidenzgestützter integrierter Versorgung für Sturz- und Frakturprävention bei älteren Menschen.</w:t>
      </w:r>
    </w:p>
    <w:p>
      <w:r>
        <w:rPr>
          <w:b/>
        </w:rPr>
        <w:t xml:space="preserve">Ergebnis: </w:t>
      </w:r>
      <w:r>
        <w:t>Kernerkenntnis: Fragmentierte Versorgungsstrukturen erfordern integrierte Fall- und Frakturprävention als Public-Health-Priorität; Empfehlungen für interdisziplinäre Zusammenarbeit, Trainings und systemische Ressourcenallokation.</w:t>
      </w:r>
    </w:p>
    <w:p>
      <w:r>
        <w:rPr>
          <w:b/>
          <w:sz w:val="19"/>
        </w:rPr>
        <w:t xml:space="preserve">Übertragbarkeit: </w:t>
      </w:r>
      <w:r>
        <w:rPr>
          <w:sz w:val="19"/>
        </w:rPr>
        <w:t>Europäischer Konsens mit Fokus auf Versorgungsprozesse, Qualität und Implementierung in Regelversorgung.</w:t>
      </w:r>
    </w:p>
    <w:p>
      <w:r>
        <w:rPr>
          <w:color w:val="5A7D3A"/>
          <w:sz w:val="18"/>
        </w:rPr>
        <w:t>https://pubmed.ncbi.nlm.nih.gov/42720850/</w:t>
      </w:r>
    </w:p>
    <w:p>
      <w:pPr>
        <w:pStyle w:val="Heading2"/>
      </w:pPr>
      <w:r>
        <w:t>Tabakrauchexposition und Gesundheitsdienstleistungen bei jungen Erwachsenen</w:t>
      </w:r>
    </w:p>
    <w:p>
      <w:r>
        <w:rPr>
          <w:i/>
          <w:color w:val="666666"/>
          <w:sz w:val="18"/>
        </w:rPr>
        <w:t>Akhtar S et al.  ·  BMC Health Serv Res  ·  04.09.2026  ·  PMID 42717348</w:t>
      </w:r>
    </w:p>
    <w:p>
      <w:r>
        <w:t>Querschnittsstudie mit 1.323 Studierenden zur Erfassung von Tabakrauchexposition, Symptomen und Inanspruchnahme von Gesundheitsdienstleistungen.</w:t>
      </w:r>
    </w:p>
    <w:p>
      <w:r>
        <w:rPr>
          <w:b/>
        </w:rPr>
        <w:t xml:space="preserve">Ergebnis: </w:t>
      </w:r>
      <w:r>
        <w:t>Exposition gegenüber Tabakrauch 55,9% (740/1.323); Husten (aOR 2,10; 95%-KI 1,66–2,64), Dyspnoe (aOR 1,30; 95%-KI 1,01–1,67) und Asthma (aOR 1,95; 95%-KI 1,43–2,65) signifikant mit Inanspruchnahme assoziiert.</w:t>
      </w:r>
    </w:p>
    <w:p>
      <w:r>
        <w:rPr>
          <w:b/>
          <w:sz w:val="19"/>
        </w:rPr>
        <w:t xml:space="preserve">Übertragbarkeit: </w:t>
      </w:r>
      <w:r>
        <w:rPr>
          <w:sz w:val="19"/>
        </w:rPr>
        <w:t>Kuwait, aber Fragestellung zu Symptomen, Morbidität und Versorgungsnutzung epidemiologisch aussagekräftig.</w:t>
      </w:r>
    </w:p>
    <w:p>
      <w:r>
        <w:rPr>
          <w:color w:val="5A7D3A"/>
          <w:sz w:val="18"/>
        </w:rPr>
        <w:t>https://pubmed.ncbi.nlm.nih.gov/42717348/</w:t>
      </w:r>
    </w:p>
    <w:p>
      <w:pPr>
        <w:pStyle w:val="Heading1"/>
      </w:pPr>
      <w:r>
        <w:t>Aufgenommen am 14.09.2026</w:t>
      </w:r>
    </w:p>
    <w:p>
      <w:pPr>
        <w:pStyle w:val="Heading2"/>
      </w:pPr>
      <w:r>
        <w:t>Kliniker- und Informatiker-Perspektiven auf Harm-Risk-Vorhersage-Tools</w:t>
      </w:r>
    </w:p>
    <w:p>
      <w:r>
        <w:rPr>
          <w:i/>
          <w:color w:val="666666"/>
          <w:sz w:val="18"/>
        </w:rPr>
        <w:t>Lam JYJ et al.  ·  J Eval Clin Pract  ·  Sept. 2026  ·  PMID 42732558</w:t>
      </w:r>
    </w:p>
    <w:p>
      <w:r>
        <w:t>Qualitative Studie mit 22 Interviews (6 Ärzte, 11 Pharmazeuten, 5 Informatiker) zur Implementierung digitaler Risk-Prediction-Tools für Medikamentenschaden in australischen Krankenhäusern.</w:t>
      </w:r>
    </w:p>
    <w:p>
      <w:r>
        <w:rPr>
          <w:b/>
        </w:rPr>
        <w:t xml:space="preserve">Ergebnis: </w:t>
      </w:r>
      <w:r>
        <w:t>Fünf Themen mit Einfluss auf Adoption: Vertrauen der Kliniker, wahrgenommener Nutzen, organisatorische Bereitschaft, automatisierungsfähigkeit und Workflow-Kompatibilität. Barrieren: schlechte Systemintegration, Unsicherheit über Tool-Zuverlässigkeit; Enabler: umfassende Feedback-Mechanismen, Ressourcenplanung.</w:t>
      </w:r>
    </w:p>
    <w:p>
      <w:r>
        <w:rPr>
          <w:b/>
          <w:sz w:val="19"/>
        </w:rPr>
        <w:t xml:space="preserve">Übertragbarkeit: </w:t>
      </w:r>
      <w:r>
        <w:rPr>
          <w:sz w:val="19"/>
        </w:rPr>
        <w:t>Australien, aber klinische Perspektiven auf digitale Sicherheitstools übertragbar</w:t>
      </w:r>
    </w:p>
    <w:p>
      <w:r>
        <w:rPr>
          <w:color w:val="5A7D3A"/>
          <w:sz w:val="18"/>
        </w:rPr>
        <w:t>https://pubmed.ncbi.nlm.nih.gov/42732558/</w:t>
      </w:r>
    </w:p>
    <w:p>
      <w:pPr>
        <w:pStyle w:val="Heading2"/>
      </w:pPr>
      <w:r>
        <w:t>ADHD-Medikation und Selbstverletzungsrisiko: multinational</w:t>
      </w:r>
    </w:p>
    <w:p>
      <w:r>
        <w:rPr>
          <w:i/>
          <w:color w:val="666666"/>
          <w:sz w:val="18"/>
        </w:rPr>
        <w:t>Chan AYL et al.  ·  BMJ Ment Health  ·  12.09.2026  ·  PMID 42731881</w:t>
      </w:r>
    </w:p>
    <w:p>
      <w:r>
        <w:t>Multinational selbstkontrollierte Fallserie zur Assoziation zwischen ADHD-Medikation und Selbstverletzungen anhand von fünf Ländern-Datenbanken.</w:t>
      </w:r>
    </w:p>
    <w:p>
      <w:r>
        <w:rPr>
          <w:b/>
        </w:rPr>
        <w:t xml:space="preserve">Ergebnis: </w:t>
      </w:r>
      <w:r>
        <w:t>Höchstes Risiko 90 Tage vor Therapiestart (IRR 2,58), dann während ersten 90 Tage (IRR 1,78) und später (IRR 1,27). Muster konsistent über alle Datenbanken – erhöhtes Risiko vor Behandlung deutet auf unbehandelte ADHD-Symptome, nicht auf Medikation hin.</w:t>
      </w:r>
    </w:p>
    <w:p>
      <w:r>
        <w:rPr>
          <w:b/>
          <w:sz w:val="19"/>
        </w:rPr>
        <w:t xml:space="preserve">Übertragbarkeit: </w:t>
      </w:r>
      <w:r>
        <w:rPr>
          <w:sz w:val="19"/>
        </w:rPr>
        <w:t>Multinational, UK, Neuseeland, Taiwan eingeschlossen</w:t>
      </w:r>
    </w:p>
    <w:p>
      <w:r>
        <w:rPr>
          <w:color w:val="5A7D3A"/>
          <w:sz w:val="18"/>
        </w:rPr>
        <w:t>https://pubmed.ncbi.nlm.nih.gov/42731881/</w:t>
      </w:r>
    </w:p>
    <w:p>
      <w:pPr>
        <w:pStyle w:val="Heading2"/>
      </w:pPr>
      <w:r>
        <w:t>Online-Infektionstests: Systemische Vorteile und Barrieren</w:t>
      </w:r>
    </w:p>
    <w:p>
      <w:r>
        <w:rPr>
          <w:i/>
          <w:color w:val="666666"/>
          <w:sz w:val="18"/>
        </w:rPr>
        <w:t>Grace D et al.  ·  BMC Health Serv Res  ·  05.09.2026  ·  PMID 42728588</w:t>
      </w:r>
    </w:p>
    <w:p>
      <w:r>
        <w:t>Qualitative Interviews mit 41 Fachleuten zu Implementierung eines Online-Tests für sexuell übertragbare Infektionen (GetCheckedOnline) in Ontario.</w:t>
      </w:r>
    </w:p>
    <w:p>
      <w:r>
        <w:rPr>
          <w:b/>
        </w:rPr>
        <w:t xml:space="preserve">Ergebnis: </w:t>
      </w:r>
      <w:r>
        <w:t>Fünf zentrale Spannungsfelder identifiziert: Zugang, Datenschutz, Koordination, Agency und Systemauswirkungen. Teilnehmende erkannten Vorteile (besserer Zugang), berichteten aber auch unerwünschte Folgen (Koordinationsverluste zwischen Sektoren, Datenschutzbedenken).</w:t>
      </w:r>
    </w:p>
    <w:p>
      <w:r>
        <w:rPr>
          <w:b/>
          <w:sz w:val="19"/>
        </w:rPr>
        <w:t xml:space="preserve">Übertragbarkeit: </w:t>
      </w:r>
      <w:r>
        <w:rPr>
          <w:sz w:val="19"/>
        </w:rPr>
        <w:t>Kanada, aber Fragestellung zu digitalen Testmodellen systemübergreifend relevant</w:t>
      </w:r>
    </w:p>
    <w:p>
      <w:r>
        <w:rPr>
          <w:color w:val="5A7D3A"/>
          <w:sz w:val="18"/>
        </w:rPr>
        <w:t>https://pubmed.ncbi.nlm.nih.gov/42728588/</w:t>
      </w:r>
    </w:p>
    <w:p>
      <w:pPr>
        <w:pStyle w:val="Heading2"/>
      </w:pPr>
      <w:r>
        <w:t>Notfall- und Katastrophenbereitschaft in Krankenhäusern Äthiopiens</w:t>
      </w:r>
    </w:p>
    <w:p>
      <w:r>
        <w:rPr>
          <w:i/>
          <w:color w:val="666666"/>
          <w:sz w:val="18"/>
        </w:rPr>
        <w:t>Farah B et al.  ·  Res Health Serv Reg  ·  10.09.2026  ·  PMID 42720815</w:t>
      </w:r>
    </w:p>
    <w:p>
      <w:r>
        <w:t>Querschnittsstudie zur Notfall- und Katastrophenbereitschaft in vier öffentlichen Zonal-Krankenhäusern in der Somali-Region mit WHO-Hospital-Safety-Index Modul 4.</w:t>
      </w:r>
    </w:p>
    <w:p>
      <w:r>
        <w:rPr>
          <w:b/>
        </w:rPr>
        <w:t xml:space="preserve">Ergebnis: </w:t>
      </w:r>
      <w:r>
        <w:t>Mittlere Bereitschaftswerte von 45%; tiefste Werte für Notfall- und Katastrophenreaktion/Wiederherstellung (41,3%). Defizite in Reaktionsplanung, logistischer Bereitschaft, Finanzadministration und Kommunikationssystemen; fehlende externe Stakeholder-Koordination.</w:t>
      </w:r>
    </w:p>
    <w:p>
      <w:r>
        <w:rPr>
          <w:b/>
          <w:sz w:val="19"/>
        </w:rPr>
        <w:t xml:space="preserve">Übertragbarkeit: </w:t>
      </w:r>
      <w:r>
        <w:rPr>
          <w:sz w:val="19"/>
        </w:rPr>
        <w:t>Äthiopien (LMIC), aber HTA zur Systemreife allgemein relevant</w:t>
      </w:r>
    </w:p>
    <w:p>
      <w:r>
        <w:rPr>
          <w:color w:val="5A7D3A"/>
          <w:sz w:val="18"/>
        </w:rPr>
        <w:t>https://pubmed.ncbi.nlm.nih.gov/42720815/</w:t>
      </w:r>
    </w:p>
    <w:p>
      <w:pPr>
        <w:pStyle w:val="Heading2"/>
      </w:pPr>
      <w:r>
        <w:t>Risk Adjustment in Medicare Advantage mit Encounter-Daten</w:t>
      </w:r>
    </w:p>
    <w:p>
      <w:r>
        <w:rPr>
          <w:i/>
          <w:color w:val="666666"/>
          <w:sz w:val="18"/>
        </w:rPr>
        <w:t>Carlin CS et al.  ·  Health Serv Res  ·  Okt. 2026  ·  PMID 42720268</w:t>
      </w:r>
    </w:p>
    <w:p>
      <w:r>
        <w:t>Vergleichende Re-Schätzung des CMS-Hierarchical-Condition-Category-Modells mit Traditional-Medicare- vs. Medicare-Advantage-Claims 2016–2022.</w:t>
      </w:r>
    </w:p>
    <w:p>
      <w:r>
        <w:rPr>
          <w:b/>
        </w:rPr>
        <w:t xml:space="preserve">Ergebnis: </w:t>
      </w:r>
      <w:r>
        <w:t>MA-Daten zeigen 8,9% niedrigere durchschnittliche HCC-Scores als TM-Daten; Unterschiede variieren über Scoreverteilung. Keine neuen Anreizverzerrungen zu Lasten von Minoritäten oder ländlichen Versicherten.</w:t>
      </w:r>
    </w:p>
    <w:p>
      <w:r>
        <w:rPr>
          <w:b/>
          <w:sz w:val="19"/>
        </w:rPr>
        <w:t xml:space="preserve">Übertragbarkeit: </w:t>
      </w:r>
      <w:r>
        <w:rPr>
          <w:sz w:val="19"/>
        </w:rPr>
        <w:t>US-System (MA/Medicare), aber relevante Methodologie für Risk-Adjustment</w:t>
      </w:r>
    </w:p>
    <w:p>
      <w:r>
        <w:rPr>
          <w:color w:val="5A7D3A"/>
          <w:sz w:val="18"/>
        </w:rPr>
        <w:t>https://pubmed.ncbi.nlm.nih.gov/42720268/</w:t>
      </w:r>
    </w:p>
    <w:p>
      <w:pPr>
        <w:pStyle w:val="Heading2"/>
      </w:pPr>
      <w:r>
        <w:t>MISSION4Sax: Sektorübergreifende onkologische Versorgungsmodelle</w:t>
      </w:r>
    </w:p>
    <w:p>
      <w:r>
        <w:rPr>
          <w:i/>
          <w:color w:val="666666"/>
          <w:sz w:val="18"/>
        </w:rPr>
        <w:t>Richter C et al.  ·  J Cancer Res Clin Oncol  ·  02.09.2026  ·  PMID 42693346</w:t>
      </w:r>
    </w:p>
    <w:p>
      <w:r>
        <w:t>Studienprotokoll eines multizentrischen Pilotstudien zur Machbarkeit einer integrierten onkologischen Versorgung über Regionaltumorbrett zwischen Maximalversorgung und Landpraxis mit standardisierten Patientenpfaden.</w:t>
      </w:r>
    </w:p>
    <w:p>
      <w:r>
        <w:rPr>
          <w:b/>
        </w:rPr>
        <w:t xml:space="preserve">Ergebnis: </w:t>
      </w:r>
      <w:r>
        <w:t>Geplante Bewertung von Machbarkeit, Akzeptanz, Implementierung und Datenqualität (keine Effektivitätsfrage); Fokus auf Wartezeiten, Adhärenz, klinische und Patient-Reported Outcomes. Routinedaten der Krankenkasse als externe Referenz geplant, keine Individualverlinkung.</w:t>
      </w:r>
    </w:p>
    <w:p>
      <w:r>
        <w:rPr>
          <w:b/>
          <w:sz w:val="19"/>
        </w:rPr>
        <w:t xml:space="preserve">Übertragbarkeit: </w:t>
      </w:r>
      <w:r>
        <w:rPr>
          <w:sz w:val="19"/>
        </w:rPr>
        <w:t>Deutschland (Sachsen), Versorgungsforschungs-Design direkt übertragbar</w:t>
      </w:r>
    </w:p>
    <w:p>
      <w:r>
        <w:rPr>
          <w:color w:val="5A7D3A"/>
          <w:sz w:val="18"/>
        </w:rPr>
        <w:t>https://pubmed.ncbi.nlm.nih.gov/42693346/</w:t>
      </w:r>
    </w:p>
    <w:p>
      <w:pPr>
        <w:pStyle w:val="Heading1"/>
      </w:pPr>
      <w:r>
        <w:t>Aufgenommen am 13.09.2026</w:t>
      </w:r>
    </w:p>
    <w:p>
      <w:pPr>
        <w:pStyle w:val="Heading2"/>
      </w:pPr>
      <w:r>
        <w:t>Direkt-OP-Teledermatologie für Hautkrebs: Sicherheit und Effizienz</w:t>
      </w:r>
    </w:p>
    <w:p>
      <w:r>
        <w:rPr>
          <w:i/>
          <w:color w:val="666666"/>
          <w:sz w:val="18"/>
        </w:rPr>
        <w:t>Nour S et al.  ·  BMJ Open Qual  ·  11.09.2026  ·  PMID 42731848</w:t>
      </w:r>
    </w:p>
    <w:p>
      <w:r>
        <w:t>Evaluierung eines Direct-to-Surgery-Teledermatologie-Pfads für verdächtige Hautkrebs-Referrals in einem großen NHS-Hautkrebs-Service mit 18.587 Patienten.</w:t>
      </w:r>
    </w:p>
    <w:p>
      <w:r>
        <w:rPr>
          <w:b/>
        </w:rPr>
        <w:t xml:space="preserve">Ergebnis: </w:t>
      </w:r>
      <w:r>
        <w:t>Von 5.099 eingeschlossenen Patienten wurde 99,86% die 28-Tage-Faster-Diagnosis-Standard erreicht (Ziel: 75%); 75,5% der Melanom-/Plattenepithel-Karzinom-Patienten begannen Behandlung innerhalb der 62-Tage-Zielmarke. Histologie identifizierte 35,5% maligne und 15,5% prämaligne Pathologie; Diagnostische Konkordanz 41,5% (Cohen's κ=0,34). Komplikationsrate 1,3%. Der Pfad demonstriert sichere hochvolumige Hautkrebs-Chirurgie mit exzellenter Compliance zur Faster Diagnosis Standard.</w:t>
      </w:r>
    </w:p>
    <w:p>
      <w:r>
        <w:rPr>
          <w:b/>
          <w:sz w:val="19"/>
        </w:rPr>
        <w:t xml:space="preserve">Übertragbarkeit: </w:t>
      </w:r>
      <w:r>
        <w:rPr>
          <w:sz w:val="19"/>
        </w:rPr>
        <w:t>UK-NHS-Setting, aber Prozessoptimierung für Versorgung übertragbar</w:t>
      </w:r>
    </w:p>
    <w:p>
      <w:r>
        <w:rPr>
          <w:color w:val="5A7D3A"/>
          <w:sz w:val="18"/>
        </w:rPr>
        <w:t>https://pubmed.ncbi.nlm.nih.gov/42731848/</w:t>
      </w:r>
    </w:p>
    <w:p>
      <w:pPr>
        <w:pStyle w:val="Heading2"/>
      </w:pPr>
      <w:r>
        <w:t>Merkmale von Hausärzten und potenziell unangemessene Medikation bei älteren Patienten</w:t>
      </w:r>
    </w:p>
    <w:p>
      <w:r>
        <w:rPr>
          <w:i/>
          <w:color w:val="666666"/>
          <w:sz w:val="18"/>
        </w:rPr>
        <w:t>Tatsuno Y et al.  ·  Health Aff Sch  ·  28.08.2026  ·  PMID 42730259</w:t>
      </w:r>
    </w:p>
    <w:p>
      <w:r>
        <w:t>Japanische Querschnittsstudie zu Zusammenhängen zwischen Arztmerkmalen (Alter, Patientenvolumen) und der Verschreibung potenziell unangemessener Medikamente (PIMs) bei ≥75-Jährigen.</w:t>
      </w:r>
    </w:p>
    <w:p>
      <w:r>
        <w:rPr>
          <w:b/>
        </w:rPr>
        <w:t xml:space="preserve">Ergebnis: </w:t>
      </w:r>
      <w:r>
        <w:t>Von 184.097 Patienten erhielten 38,2% mindestens eine PIM; zwei Drittel der PIM-Verschreibungen konzentrierten sich auf 20% der Ärzte. Jüngere Ärzte (aOR 1,27; 95%-KI 1,05–1,55), solche mit niedrigerem Volumen älterer Patienten (aOR 1,39; 95%-KI 1,19–1,61) und Ärzte in Ost- oder Mittel-Japan verschrieben häufiger PIMs. Gezielte Interventionen bei Hochverschreibern könnten PIMs effizient reduzieren.</w:t>
      </w:r>
    </w:p>
    <w:p>
      <w:r>
        <w:rPr>
          <w:b/>
          <w:sz w:val="19"/>
        </w:rPr>
        <w:t xml:space="preserve">Übertragbarkeit: </w:t>
      </w:r>
      <w:r>
        <w:rPr>
          <w:sz w:val="19"/>
        </w:rPr>
        <w:t>Japan, aber Fragestellung zur Arztqualität systemunabhängig übertragbar</w:t>
      </w:r>
    </w:p>
    <w:p>
      <w:r>
        <w:rPr>
          <w:color w:val="5A7D3A"/>
          <w:sz w:val="18"/>
        </w:rPr>
        <w:t>https://pubmed.ncbi.nlm.nih.gov/42730259/</w:t>
      </w:r>
    </w:p>
    <w:p>
      <w:pPr>
        <w:pStyle w:val="Heading2"/>
      </w:pPr>
      <w:r>
        <w:t>Integration Flexibles Assertive Community Treatment mit kommunalen Sozialservices</w:t>
      </w:r>
    </w:p>
    <w:p>
      <w:r>
        <w:rPr>
          <w:i/>
          <w:color w:val="666666"/>
          <w:sz w:val="18"/>
        </w:rPr>
        <w:t>Kleijburg A et al.  ·  Int J Integr Care  ·  08.09.2026  ·  PMID 42729928</w:t>
      </w:r>
    </w:p>
    <w:p>
      <w:r>
        <w:t>Qualitative Studie mit 15 Interviews zur Implementierung von FACT+DSS-Teams (Flexible Assertive Community Treatment + District Social Services) in der Niederlande für Patienten mit schwerer psychischer Erkrankung.</w:t>
      </w:r>
    </w:p>
    <w:p>
      <w:r>
        <w:rPr>
          <w:b/>
        </w:rPr>
        <w:t xml:space="preserve">Ergebnis: </w:t>
      </w:r>
      <w:r>
        <w:t>FACT+DSS wurde von Teamkräften als deutlich positiv erlebt und verbesserte Zugangsbarrieren, Kontinuität der Versorgung, Case-Finding und Vernetzungskollaboration. Wichtige Erfolgsfaktoren waren starke Führung, geteilter Besitz, gleichberechtigte Zusammenarbeit und direkte Beziehungen. Barrieren waren unzureichende Ressourcen und fehlende klare Rollenverteilung.</w:t>
      </w:r>
    </w:p>
    <w:p>
      <w:r>
        <w:rPr>
          <w:b/>
          <w:sz w:val="19"/>
        </w:rPr>
        <w:t xml:space="preserve">Übertragbarkeit: </w:t>
      </w:r>
      <w:r>
        <w:rPr>
          <w:sz w:val="19"/>
        </w:rPr>
        <w:t>Niederlande, vergleichbares Sozialversicherungssystem, integrierte Versorgung</w:t>
      </w:r>
    </w:p>
    <w:p>
      <w:r>
        <w:rPr>
          <w:color w:val="5A7D3A"/>
          <w:sz w:val="18"/>
        </w:rPr>
        <w:t>https://pubmed.ncbi.nlm.nih.gov/42729928/</w:t>
      </w:r>
    </w:p>
    <w:p>
      <w:pPr>
        <w:pStyle w:val="Heading2"/>
      </w:pPr>
      <w:r>
        <w:t>Auswirkung Brandon Act auf Suizidversuche im US-Militär</w:t>
      </w:r>
    </w:p>
    <w:p>
      <w:r>
        <w:rPr>
          <w:i/>
          <w:color w:val="666666"/>
          <w:sz w:val="18"/>
        </w:rPr>
        <w:t>Yoon J et al.  ·  Health Serv Res  ·  Okt. 2026  ·  PMID 42728782</w:t>
      </w:r>
    </w:p>
    <w:p>
      <w:r>
        <w:t>Unterbrochene Zeitreihen-Analyse (2018–2024) der Military Health System-Daten zu Effekten des Brandon Acts (Geheime Selbst-Überweisungs-Pathways für psychische Gesundheit) auf Suizidversuche bei Active-Duty-Soldaten.</w:t>
      </w:r>
    </w:p>
    <w:p>
      <w:r>
        <w:rPr>
          <w:b/>
        </w:rPr>
        <w:t xml:space="preserve">Ergebnis: </w:t>
      </w:r>
      <w:r>
        <w:t>Brandon Act im Dezember 2021 assoziiert mit unmittelbare Reduktion von 6,51 pro 100.000 (95%-KI: -10,54, -2,47) und Trendwechsel von -2,25 pro Quartal (95%-KI: -3,81, -0,70). Nach Implementation Mai 2023 weitere Reduktion von 21,19 pro 100.000 (95%-KI: -26,83, -15,55). Über 3 Jahre geschätzt ~3.800 Suizidversuche verhindert. Größte Effekte bei junior Enlisted, Frauen, Army/Marines.</w:t>
      </w:r>
    </w:p>
    <w:p>
      <w:r>
        <w:rPr>
          <w:b/>
          <w:sz w:val="19"/>
        </w:rPr>
        <w:t xml:space="preserve">Übertragbarkeit: </w:t>
      </w:r>
      <w:r>
        <w:rPr>
          <w:sz w:val="19"/>
        </w:rPr>
        <w:t>US-Militärsystem, aber Fragestellung zu Stigma-Reduktion systemunabhängig übertragbar</w:t>
      </w:r>
    </w:p>
    <w:p>
      <w:r>
        <w:rPr>
          <w:color w:val="5A7D3A"/>
          <w:sz w:val="18"/>
        </w:rPr>
        <w:t>https://pubmed.ncbi.nlm.nih.gov/42728782/</w:t>
      </w:r>
    </w:p>
    <w:p>
      <w:pPr>
        <w:pStyle w:val="Heading2"/>
      </w:pPr>
      <w:r>
        <w:t>Subjektive Bedarfserkennung und Inanspruchnahme psychischer Gesundheitsversorgung</w:t>
      </w:r>
    </w:p>
    <w:p>
      <w:r>
        <w:rPr>
          <w:i/>
          <w:color w:val="666666"/>
          <w:sz w:val="18"/>
        </w:rPr>
        <w:t>Reinhold AK et al.  ·  BMC Health Serv Res  ·  10.09.2026  ·  PMID 42728591</w:t>
      </w:r>
    </w:p>
    <w:p>
      <w:r>
        <w:t>Gemischte Methoden-Studie mit 456 Teilnehmern mit depressiven Symptomen (PHQ-9≥5) zur Diskrepanz zwischen objektivem, subjektivem Bedarf und tatsächlicher Inanspruchnahme von psychischer Versorgung.</w:t>
      </w:r>
    </w:p>
    <w:p>
      <w:r>
        <w:rPr>
          <w:b/>
        </w:rPr>
        <w:t xml:space="preserve">Ergebnis: </w:t>
      </w:r>
      <w:r>
        <w:t>Subjektive Bedarfserkennung ist starker Prädiktor für Inanspruchnahme: 38,1% der Negativ-Gescreenten und 45,8% der Positiv-Gescreenten berichteten weniger als "sehr genau" zu Suizid-Gedanken geantwortet zu haben. Qualitative Analyse (n=23) identifizierte eine Sechsteilung-Typologie von subjektivem Bedarf statt binärer Klassifikation.</w:t>
      </w:r>
    </w:p>
    <w:p>
      <w:r>
        <w:rPr>
          <w:b/>
          <w:sz w:val="19"/>
        </w:rPr>
        <w:t xml:space="preserve">Übertragbarkeit: </w:t>
      </w:r>
      <w:r>
        <w:rPr>
          <w:sz w:val="19"/>
        </w:rPr>
        <w:t>Deutsche Routinedaten, populationsbasierte Stichprobe, Hausarzt-nahe Versorgung</w:t>
      </w:r>
    </w:p>
    <w:p>
      <w:r>
        <w:rPr>
          <w:color w:val="5A7D3A"/>
          <w:sz w:val="18"/>
        </w:rPr>
        <w:t>https://pubmed.ncbi.nlm.nih.gov/42728591/</w:t>
      </w:r>
    </w:p>
    <w:p>
      <w:pPr>
        <w:pStyle w:val="Heading2"/>
      </w:pPr>
      <w:r>
        <w:t>Vial-Sharing-Strategie reduziert Arzneimittelabfall bei CT-Kontrastmittel</w:t>
      </w:r>
    </w:p>
    <w:p>
      <w:r>
        <w:rPr>
          <w:i/>
          <w:color w:val="666666"/>
          <w:sz w:val="18"/>
        </w:rPr>
        <w:t>Yin Y et al.  ·  BMC Health Serv Res  ·  30.07.2026  ·  PMID 42723046</w:t>
      </w:r>
    </w:p>
    <w:p>
      <w:r>
        <w:t>Retrospektive Studie in chinesischem Universitätskrankenhaus zur Kostenreduktion durch Umstellung von Einzelvial- auf gemeinsame Vial-Abrechnung für CT-Kontrastmittel mit Prozessoptimierung.</w:t>
      </w:r>
    </w:p>
    <w:p>
      <w:r>
        <w:rPr>
          <w:b/>
        </w:rPr>
        <w:t xml:space="preserve">Ergebnis: </w:t>
      </w:r>
      <w:r>
        <w:t>Vial-Sharing-Strategie führte zu jährlicher Einsparung von 2.906.398,8 mL Kontrastmittel und Kostenreduktion von 9.181.958,83 CNY; durchschnittlich 66,93 CNY Kostenreduktion pro Patient. Multidisziplinäre Prozessoptimierung verbesserte Drug Utilization Efficiency und Ressourcenschonung.</w:t>
      </w:r>
    </w:p>
    <w:p>
      <w:r>
        <w:rPr>
          <w:b/>
          <w:sz w:val="19"/>
        </w:rPr>
        <w:t xml:space="preserve">Übertragbarkeit: </w:t>
      </w:r>
      <w:r>
        <w:rPr>
          <w:sz w:val="19"/>
        </w:rPr>
        <w:t>China, aber Versorgungseffizienz-Ansatz für deutsche Krankenhäuser adaptierbar</w:t>
      </w:r>
    </w:p>
    <w:p>
      <w:r>
        <w:rPr>
          <w:color w:val="5A7D3A"/>
          <w:sz w:val="18"/>
        </w:rPr>
        <w:t>https://pubmed.ncbi.nlm.nih.gov/42723046/</w:t>
      </w:r>
    </w:p>
    <w:p>
      <w:pPr>
        <w:pStyle w:val="Heading1"/>
      </w:pPr>
      <w:r>
        <w:t>Aufgenommen am 12.09.2026</w:t>
      </w:r>
    </w:p>
    <w:p>
      <w:pPr>
        <w:pStyle w:val="Heading2"/>
      </w:pPr>
      <w:r>
        <w:t>Geografische Erreichbarkeit Primärversorgung Schweden</w:t>
      </w:r>
    </w:p>
    <w:p>
      <w:r>
        <w:rPr>
          <w:i/>
          <w:color w:val="666666"/>
          <w:sz w:val="18"/>
        </w:rPr>
        <w:t>Isaksson D et al.  ·  BMJ Open  ·  11.09.2026  ·  PMID 42727971</w:t>
      </w:r>
    </w:p>
    <w:p>
      <w:r>
        <w:t>Landesweite Querschnittsstudie zur Fahrtzeit-Erreichbarkeit von Hausarztpraxen in Schweden anhand von Routinedaten.</w:t>
      </w:r>
    </w:p>
    <w:p>
      <w:r>
        <w:rPr>
          <w:b/>
        </w:rPr>
        <w:t xml:space="preserve">Ergebnis: </w:t>
      </w:r>
      <w:r>
        <w:t>Mittlere Fahrtzeit zur nächsten Praxis: 5,6 Min (SD 6,3), Median 3,3 Min; 15,8% erreichen Praxis nicht in ≤10 Min; deutliche Urban-Rural-Disparität (15,1 Min vs 3,0 Min in Großstädten). Geographischer Zugang hoch im Mittel, aber substantielle Unterschiede bleiben.</w:t>
      </w:r>
    </w:p>
    <w:p>
      <w:r>
        <w:rPr>
          <w:b/>
          <w:sz w:val="19"/>
        </w:rPr>
        <w:t xml:space="preserve">Übertragbarkeit: </w:t>
      </w:r>
      <w:r>
        <w:rPr>
          <w:sz w:val="19"/>
        </w:rPr>
        <w:t>Schweden, steuerfinanziert; Prozessmessungen zur Zugänglichkeit auf deutsche Strukturen gut übertragbar.</w:t>
      </w:r>
    </w:p>
    <w:p>
      <w:r>
        <w:rPr>
          <w:color w:val="5A7D3A"/>
          <w:sz w:val="18"/>
        </w:rPr>
        <w:t>https://pubmed.ncbi.nlm.nih.gov/42727971/</w:t>
      </w:r>
    </w:p>
    <w:p>
      <w:pPr>
        <w:pStyle w:val="Heading2"/>
      </w:pPr>
      <w:r>
        <w:t>Psychische Belastung von Gesundheitsfachkräften durch COVID-19</w:t>
      </w:r>
    </w:p>
    <w:p>
      <w:r>
        <w:rPr>
          <w:i/>
          <w:color w:val="666666"/>
          <w:sz w:val="18"/>
        </w:rPr>
        <w:t>Alonso J et al.  ·  Span J Psychiatry Ment Health  ·  11.09.2026  ·  PMID 42727923</w:t>
      </w:r>
    </w:p>
    <w:p>
      <w:r>
        <w:t>Dreieinhalb-Jahres-Längsschnittstudie zu psychischen Auswirkungen von COVID-19 auf spanische Gesundheitsfachkräfte.</w:t>
      </w:r>
    </w:p>
    <w:p>
      <w:r>
        <w:rPr>
          <w:b/>
        </w:rPr>
        <w:t xml:space="preserve">Ergebnis: </w:t>
      </w:r>
      <w:r>
        <w:t>38,1% der negativ gescreenten und 45,8% der positiv gescreenten Veteranen berichteten unauffällige Disclosure bei Suizidales-Screening. Weniger genaue Angaben assoziiert mit niedrigerem Glauben, Suizid sei Ausweg (OR 0,46 bzw 0,40), und höherer Sorge vor Überreaktion (OR 2,36 bzw 3,73). Screening-Genauigkeit limitiert durch Offenbarungshemmungen.</w:t>
      </w:r>
    </w:p>
    <w:p>
      <w:r>
        <w:rPr>
          <w:b/>
          <w:sz w:val="19"/>
        </w:rPr>
        <w:t xml:space="preserve">Übertragbarkeit: </w:t>
      </w:r>
      <w:r>
        <w:rPr>
          <w:sz w:val="19"/>
        </w:rPr>
        <w:t>Spanische Gesundheitsfachkräfte; Health Services Research-Perspektive auf Implementierungsbarrieren auf deutsche Verhältnisse übertragbar.</w:t>
      </w:r>
    </w:p>
    <w:p>
      <w:r>
        <w:rPr>
          <w:color w:val="5A7D3A"/>
          <w:sz w:val="18"/>
        </w:rPr>
        <w:t>https://pubmed.ncbi.nlm.nih.gov/42727923/</w:t>
      </w:r>
    </w:p>
    <w:p>
      <w:pPr>
        <w:pStyle w:val="Heading2"/>
      </w:pPr>
      <w:r>
        <w:t>Technische Unterstützung für Leitlinien-Implementation in LMICs</w:t>
      </w:r>
    </w:p>
    <w:p>
      <w:r>
        <w:rPr>
          <w:i/>
          <w:color w:val="666666"/>
          <w:sz w:val="18"/>
        </w:rPr>
        <w:t>Fahim C et al.  ·  Health Res Policy Syst  ·  10.09.2026  ·  PMID 42723069</w:t>
      </w:r>
    </w:p>
    <w:p>
      <w:r>
        <w:t>Mixed-Methods-Evaluation eines Unterstützungszentrums zur Stärkung der Forschungskapazität für Health Systems Research und Implementierung in Ländern mit niedrigem und mittlerem Einkommen.</w:t>
      </w:r>
    </w:p>
    <w:p>
      <w:r>
        <w:rPr>
          <w:b/>
        </w:rPr>
        <w:t xml:space="preserve">Ergebnis: </w:t>
      </w:r>
      <w:r>
        <w:t>22 Teilnehmer aus 6 Ländern; 8 von 9 Forschungskapazitäts-Outcomes verbesserten sich signifikant; signifikante Unterschiede in der Fähigkeit zur Entwicklung evidenzgestützter Knowledge-Translation-Interventionen (Z=-2,93, p&lt;0,05). Hauptbarrieren: fragmentierte Dienstleistungen, mangelnde Daten/Ausrüstung; Enabler: Stakeholder-Partnerschaften, multi-sektorale Ansätze.</w:t>
      </w:r>
    </w:p>
    <w:p>
      <w:r>
        <w:rPr>
          <w:b/>
          <w:sz w:val="19"/>
        </w:rPr>
        <w:t xml:space="preserve">Übertragbarkeit: </w:t>
      </w:r>
      <w:r>
        <w:rPr>
          <w:sz w:val="19"/>
        </w:rPr>
        <w:t>Low- and Middle-Income Countries; Implementierungswissenschaft auf deutsche Kapazitätsentwicklung nicht direkt übertragbar.</w:t>
      </w:r>
    </w:p>
    <w:p>
      <w:r>
        <w:rPr>
          <w:color w:val="5A7D3A"/>
          <w:sz w:val="18"/>
        </w:rPr>
        <w:t>https://pubmed.ncbi.nlm.nih.gov/42723069/</w:t>
      </w:r>
    </w:p>
    <w:p>
      <w:pPr>
        <w:pStyle w:val="Heading2"/>
      </w:pPr>
      <w:r>
        <w:t>Conversational Agent für Magenkrebspatienten</w:t>
      </w:r>
    </w:p>
    <w:p>
      <w:r>
        <w:rPr>
          <w:i/>
          <w:color w:val="666666"/>
          <w:sz w:val="18"/>
        </w:rPr>
        <w:t>Kang Y et al.  ·  J Med Internet Res  ·  10.09.2026  ·  PMID 42721321</w:t>
      </w:r>
    </w:p>
    <w:p>
      <w:r>
        <w:t>Action-Research-Studie zur Entwicklung und Usability-Bewertung eines KI-gestützten Conversational Agents für Patientenschulung bei Magenkrebs.</w:t>
      </w:r>
    </w:p>
    <w:p>
      <w:r>
        <w:rPr>
          <w:b/>
        </w:rPr>
        <w:t xml:space="preserve">Ergebnis: </w:t>
      </w:r>
      <w:r>
        <w:t>44 Patienten, 13 Pflegekräfte, 3 Manager, 2 Chirurgen getestet; Accuracy über 3 Testzyklen: 67%, 71%, 82%; RAG-Knowledge-Hit-Rate: 86%, 98%, 100% (signifikante Verbesserung p&lt;0,01). Chatbot-Usability-Score: 91,9 (SD 3,6); Content-Relevanz: 3,75 (SD 0,9). Drei Themen nutzer-zentriert: Wahrgenommene Nützlichkeit, Ease of Use, Nutzungsabsicht.</w:t>
      </w:r>
    </w:p>
    <w:p>
      <w:r>
        <w:rPr>
          <w:b/>
          <w:sz w:val="19"/>
        </w:rPr>
        <w:t xml:space="preserve">Übertragbarkeit: </w:t>
      </w:r>
      <w:r>
        <w:rPr>
          <w:sz w:val="19"/>
        </w:rPr>
        <w:t>China, Krankenhaus-Setting; Technologie-Anwendung für Patientenbildung auf deutsche Systeme prinzipiell übertragbar, Validierung erforderlich.</w:t>
      </w:r>
    </w:p>
    <w:p>
      <w:r>
        <w:rPr>
          <w:color w:val="5A7D3A"/>
          <w:sz w:val="18"/>
        </w:rPr>
        <w:t>https://pubmed.ncbi.nlm.nih.gov/42721321/</w:t>
      </w:r>
    </w:p>
    <w:p>
      <w:pPr>
        <w:pStyle w:val="Heading2"/>
      </w:pPr>
      <w:r>
        <w:t>Lebensqualität bei Krebspatienten in der DR Kongo</w:t>
      </w:r>
    </w:p>
    <w:p>
      <w:r>
        <w:rPr>
          <w:i/>
          <w:color w:val="666666"/>
          <w:sz w:val="18"/>
        </w:rPr>
        <w:t>Pilz MJ et al.  ·  BMJ Open  ·  09.09.2026  ·  PMID 42716684</w:t>
      </w:r>
    </w:p>
    <w:p>
      <w:r>
        <w:t>Querschnitts-Mixed-Methods-Studie zur gesundheitsbezogenen Lebensqualität von Krebspatienten in Lubumbashi, Demokratische Republik Kongo.</w:t>
      </w:r>
    </w:p>
    <w:p>
      <w:r>
        <w:rPr>
          <w:b/>
        </w:rPr>
        <w:t xml:space="preserve">Ergebnis: </w:t>
      </w:r>
      <w:r>
        <w:t>103 Patienten untersucht; 94,1% berichten finanzielle Probleme, 80,4% soziale Isolation, 71,8% Besorgnis. Symptombelastung deutlich höher als in Spanien-Kontrollgruppe (OR 1,18–28,0 für Symptome); nach Adjustierung für Alter, Geschlecht, Komorbiditäten blieben signifikante Unterschiede für 10 von 16 Skalen (p&lt;0,05). Hohe Symptombelastung erfordert Unterstützungsmaßnahmen.</w:t>
      </w:r>
    </w:p>
    <w:p>
      <w:r>
        <w:rPr>
          <w:b/>
          <w:sz w:val="19"/>
        </w:rPr>
        <w:t xml:space="preserve">Übertragbarkeit: </w:t>
      </w:r>
      <w:r>
        <w:rPr>
          <w:sz w:val="19"/>
        </w:rPr>
        <w:t>DR Kongo, Low-Income Setting; Bedeutung für ressourcenlimitierte Systeme, eingeschränkte Übertragbarkeit auf deutsche Verhältnisse.</w:t>
      </w:r>
    </w:p>
    <w:p>
      <w:r>
        <w:rPr>
          <w:color w:val="5A7D3A"/>
          <w:sz w:val="18"/>
        </w:rPr>
        <w:t>https://pubmed.ncbi.nlm.nih.gov/42716684/</w:t>
      </w:r>
    </w:p>
    <w:p>
      <w:pPr>
        <w:pStyle w:val="Heading2"/>
      </w:pPr>
      <w:r>
        <w:t>Verbrauchergesteuerte Forschungspriorität in Australien</w:t>
      </w:r>
    </w:p>
    <w:p>
      <w:r>
        <w:rPr>
          <w:i/>
          <w:color w:val="666666"/>
          <w:sz w:val="18"/>
        </w:rPr>
        <w:t>Catapan SC et al.  ·  Rural Remote Health  ·  01.09.2026  ·  PMID 42716571</w:t>
      </w:r>
    </w:p>
    <w:p>
      <w:r>
        <w:t>Qualitative Studie mit World Café-Methode zur Bestimmung von Forschungsprioritäten für Gesundheit in ruralen australischen Gemeinden.</w:t>
      </w:r>
    </w:p>
    <w:p>
      <w:r>
        <w:rPr>
          <w:b/>
        </w:rPr>
        <w:t xml:space="preserve">Ergebnis: </w:t>
      </w:r>
      <w:r>
        <w:t>Fünf identifizierte Prioritäten: (1) Rekrutierung/Bindung von Hausärzten, (2) multidisziplinäre Versorgung, (3) Bewusstsein für lokale Dienste, (4) erweiterte Chroniker-Betreuung mit Remote-Monitoring, (5) Verbindung zu sozialen Determinanten (Wohnung, Finanzen). Konsens zwischen Verbrauchern und Forschern auf Bedarf für maßgeschneiderte, gemeindegesteuerte Interventionen.</w:t>
      </w:r>
    </w:p>
    <w:p>
      <w:r>
        <w:rPr>
          <w:b/>
          <w:sz w:val="19"/>
        </w:rPr>
        <w:t xml:space="preserve">Übertragbarkeit: </w:t>
      </w:r>
      <w:r>
        <w:rPr>
          <w:sz w:val="19"/>
        </w:rPr>
        <w:t>Australien, steuerfinanziert; Partizipativmethode zur Prioritätensetzung auf deutsche Versorgungsforschung teilweise übertragbar.</w:t>
      </w:r>
    </w:p>
    <w:p>
      <w:r>
        <w:rPr>
          <w:color w:val="5A7D3A"/>
          <w:sz w:val="18"/>
        </w:rPr>
        <w:t>https://pubmed.ncbi.nlm.nih.gov/42716571/</w:t>
      </w:r>
    </w:p>
    <w:p>
      <w:pPr>
        <w:pStyle w:val="Heading1"/>
      </w:pPr>
      <w:r>
        <w:t>Aufgenommen am 11.09.2026</w:t>
      </w:r>
    </w:p>
    <w:p>
      <w:pPr>
        <w:pStyle w:val="Heading2"/>
      </w:pPr>
      <w:r>
        <w:t>Mobile Single-Lead ECG-Screening für Vorhofflimmern in Routine-Settings</w:t>
      </w:r>
    </w:p>
    <w:p>
      <w:r>
        <w:rPr>
          <w:i/>
          <w:color w:val="666666"/>
          <w:sz w:val="18"/>
        </w:rPr>
        <w:t>Fenske R et al.  ·  JMIR Cardio  ·  10.09.2026  ·  PMID 42721301</w:t>
      </w:r>
    </w:p>
    <w:p>
      <w:r>
        <w:t>Deutsche Multizenterstudie zur Machbarkeit von mobiler Single-Lead-EKG-Detektion für Vorhofflimmern in Krankenhaus und Praxis.</w:t>
      </w:r>
    </w:p>
    <w:p>
      <w:r>
        <w:rPr>
          <w:b/>
        </w:rPr>
        <w:t xml:space="preserve">Ergebnis: </w:t>
      </w:r>
      <w:r>
        <w:t>Von 237 Patienten lieferte das Gerät Interpretation bei 95,3% (41/43) der Ambulanten und 85,6% (166/194) der Stationären. Neu vermutetes Vorhofflimmern fand sich bei 1,7% (4/237); technische Probleme bei 16,0% (38/237). Nur 6,3% (15/237) nutzten regelmäßig Telemedizin. Die Machbarkeit ist gegeben, aber systematische Bestätigungstests und höhere Telemedizin-Akzeptanz fehlen.</w:t>
      </w:r>
    </w:p>
    <w:p>
      <w:r>
        <w:rPr>
          <w:b/>
          <w:sz w:val="19"/>
        </w:rPr>
        <w:t xml:space="preserve">Übertragbarkeit: </w:t>
      </w:r>
      <w:r>
        <w:rPr>
          <w:sz w:val="19"/>
        </w:rPr>
        <w:t>Deutsche Multizenterstudie mit lokalem Versorgungskontext</w:t>
      </w:r>
    </w:p>
    <w:p>
      <w:r>
        <w:rPr>
          <w:color w:val="5A7D3A"/>
          <w:sz w:val="18"/>
        </w:rPr>
        <w:t>https://pubmed.ncbi.nlm.nih.gov/42721301/</w:t>
      </w:r>
    </w:p>
    <w:p>
      <w:pPr>
        <w:pStyle w:val="Heading2"/>
      </w:pPr>
      <w:r>
        <w:t>Trends bei Milchpumpen-Verschreibungen in Deutschland 2011-2024</w:t>
      </w:r>
    </w:p>
    <w:p>
      <w:r>
        <w:rPr>
          <w:i/>
          <w:color w:val="666666"/>
          <w:sz w:val="18"/>
        </w:rPr>
        <w:t>Fischer L et al.  ·  Breastfeed Med  ·  10.09.2026  ·  PMID 42720285</w:t>
      </w:r>
    </w:p>
    <w:p>
      <w:r>
        <w:t>Sekundäranalyse von Routinedaten der gesetzlichen Krankenversicherung zu Trends bei Verordnungen von Milchpumpen im ambulanten Sektor.</w:t>
      </w:r>
    </w:p>
    <w:p>
      <w:r>
        <w:rPr>
          <w:b/>
        </w:rPr>
        <w:t xml:space="preserve">Ergebnis: </w:t>
      </w:r>
      <w:r>
        <w:t>Elektrische Milchpumpen-Ansprüche stiegen von 235 auf 605 Ansprüche pro 1.000 Neugeborene (durchschnittliches jährliches Wachstum 8,2%). 2024 betrugen die Krankenkassen-Kosten für Leih-Pumpen €15,3 Millionen. Erhebliche regionale Schwankungen zwischen Bundesländern, aber überall Anstieg.</w:t>
      </w:r>
    </w:p>
    <w:p>
      <w:r>
        <w:rPr>
          <w:b/>
          <w:sz w:val="19"/>
        </w:rPr>
        <w:t xml:space="preserve">Übertragbarkeit: </w:t>
      </w:r>
      <w:r>
        <w:rPr>
          <w:sz w:val="19"/>
        </w:rPr>
        <w:t>Deutsche Routinedaten der gesetzlichen Krankenversicherung, vollständig übertragbar</w:t>
      </w:r>
    </w:p>
    <w:p>
      <w:r>
        <w:rPr>
          <w:color w:val="5A7D3A"/>
          <w:sz w:val="18"/>
        </w:rPr>
        <w:t>https://pubmed.ncbi.nlm.nih.gov/42720285/</w:t>
      </w:r>
    </w:p>
    <w:p>
      <w:pPr>
        <w:pStyle w:val="Heading2"/>
      </w:pPr>
      <w:r>
        <w:t>Medical Invalidation: Systematische Konzeptualisierung eines Versorgungsproblems</w:t>
      </w:r>
    </w:p>
    <w:p>
      <w:r>
        <w:rPr>
          <w:i/>
          <w:color w:val="666666"/>
          <w:sz w:val="18"/>
        </w:rPr>
        <w:t>Lerch SP et al.  ·  BMC Health Serv Res  ·  08.09.2026  ·  PMID 42717341</w:t>
      </w:r>
    </w:p>
    <w:p>
      <w:r>
        <w:t>Scoping Review zur konzeptuellen Klärung von Medical Invalidation, Ursachen, Konsequenzen und Lösungsansätze in der Gesundheitsversorgung.</w:t>
      </w:r>
    </w:p>
    <w:p>
      <w:r>
        <w:rPr>
          <w:b/>
        </w:rPr>
        <w:t xml:space="preserve">Ergebnis: </w:t>
      </w:r>
      <w:r>
        <w:t>158 Studien zeigen inkonsistente Definitionen von Invalidation und Gaslighting. Multifaktorielle Ursachen identifiziert: diagnostische Herausforderungen, strukturelle Faktoren, Stigma, Diagnostikskills-Defizite. Validierung hatte konsistent positive Effekte; Invalidation führte zu Verhaltens-, emotionalen, kognitiven und physischen Schäden. Lösungen: Kommunikationstraining, klinische Schulung, Patientenunterstützung, Forschung, systemische Änderungen.</w:t>
      </w:r>
    </w:p>
    <w:p>
      <w:r>
        <w:rPr>
          <w:b/>
          <w:sz w:val="19"/>
        </w:rPr>
        <w:t xml:space="preserve">Übertragbarkeit: </w:t>
      </w:r>
      <w:r>
        <w:rPr>
          <w:sz w:val="19"/>
        </w:rPr>
        <w:t>Universeller Problembereich, besonders relevant für deutsches Versorgungssystem</w:t>
      </w:r>
    </w:p>
    <w:p>
      <w:r>
        <w:rPr>
          <w:color w:val="5A7D3A"/>
          <w:sz w:val="18"/>
        </w:rPr>
        <w:t>https://pubmed.ncbi.nlm.nih.gov/42717341/</w:t>
      </w:r>
    </w:p>
    <w:p>
      <w:pPr>
        <w:pStyle w:val="Heading2"/>
      </w:pPr>
      <w:r>
        <w:t>Cardiolotse: Transitionales Care-Modell für kardiovaskuläre Patienten</w:t>
      </w:r>
    </w:p>
    <w:p>
      <w:r>
        <w:rPr>
          <w:i/>
          <w:color w:val="666666"/>
          <w:sz w:val="18"/>
        </w:rPr>
        <w:t>Kropp S et al.  ·  BMC Health Serv Res  ·  09.09.2026  ·  PMID 42717334</w:t>
      </w:r>
    </w:p>
    <w:p>
      <w:r>
        <w:t>Prozessevaluation eines Pflegefachpersonen-geführten Transitionscare-Modells in Deutschland zur Verbesserung der Versorgungskoordination nach Krankenhausentlassung.</w:t>
      </w:r>
    </w:p>
    <w:p>
      <w:r>
        <w:rPr>
          <w:b/>
        </w:rPr>
        <w:t xml:space="preserve">Ergebnis: </w:t>
      </w:r>
      <w:r>
        <w:t>Etwa 12.500 Kontakte wurden durchgeführt. Patienten berichteten hohe Zufriedenheit und vertrauten den Cardiolotsen. Jedoch konnten zufriedenheitsscore zwischen Interventions- und Kontrollgruppe hinsichtlich Behandlung nicht unterschieden werden. Nur 10% der niedergelassenen Ärzte erreichten regelmäßigen Kontakt – sektorübergreifende Kommunikation war die Haupthürde.</w:t>
      </w:r>
    </w:p>
    <w:p>
      <w:r>
        <w:rPr>
          <w:b/>
          <w:sz w:val="19"/>
        </w:rPr>
        <w:t xml:space="preserve">Übertragbarkeit: </w:t>
      </w:r>
      <w:r>
        <w:rPr>
          <w:sz w:val="19"/>
        </w:rPr>
        <w:t>Realistische deutsche Versorgungsforschung zu Care Coordination</w:t>
      </w:r>
    </w:p>
    <w:p>
      <w:r>
        <w:rPr>
          <w:color w:val="5A7D3A"/>
          <w:sz w:val="18"/>
        </w:rPr>
        <w:t>https://pubmed.ncbi.nlm.nih.gov/42717334/</w:t>
      </w:r>
    </w:p>
    <w:p>
      <w:pPr>
        <w:pStyle w:val="Heading2"/>
      </w:pPr>
      <w:r>
        <w:t>Patient-Reported Outcomes nach Revaskularisation bei Claudicatio intermittens</w:t>
      </w:r>
    </w:p>
    <w:p>
      <w:r>
        <w:rPr>
          <w:i/>
          <w:color w:val="666666"/>
          <w:sz w:val="18"/>
        </w:rPr>
        <w:t>Peters F et al.  ·  J Vasc Surg  ·  08.09.2026  ·  PMID 42710606</w:t>
      </w:r>
    </w:p>
    <w:p>
      <w:r>
        <w:t>Deutsche prospektive Multizenterstudie zu Patient-Reported Outcomes (PROMs) nach invasiver Revaskularisierung bei Claudicatio intermittens.</w:t>
      </w:r>
    </w:p>
    <w:p>
      <w:r>
        <w:rPr>
          <w:b/>
        </w:rPr>
        <w:t xml:space="preserve">Ergebnis: </w:t>
      </w:r>
      <w:r>
        <w:t>Von 963 Patienten (64% Männer, Median 68 Jahre) verbesserte sich der Physical Component Summary score (SF-12) von median 35 auf 45 (Bereich Q1-Q3: 28-43 auf 39-52). Maximale schmerzfreie Gehstrecke stieg um 20 Minuten, Beinschmerzen im Ruhezustand sank um 10 Punkte. Adipositas, Rentner-Status und Nicht-Erwerbstätigkeit waren mit kleineren Verbesserungen assoziiert.</w:t>
      </w:r>
    </w:p>
    <w:p>
      <w:r>
        <w:rPr>
          <w:b/>
          <w:sz w:val="19"/>
        </w:rPr>
        <w:t xml:space="preserve">Übertragbarkeit: </w:t>
      </w:r>
      <w:r>
        <w:rPr>
          <w:sz w:val="19"/>
        </w:rPr>
        <w:t>Deutsche Multizenterstudie, direkt auf deutsches Gesundheitssystem übertragbar</w:t>
      </w:r>
    </w:p>
    <w:p>
      <w:r>
        <w:rPr>
          <w:color w:val="5A7D3A"/>
          <w:sz w:val="18"/>
        </w:rPr>
        <w:t>https://pubmed.ncbi.nlm.nih.gov/42710606/</w:t>
      </w:r>
    </w:p>
    <w:p>
      <w:pPr>
        <w:pStyle w:val="Heading2"/>
      </w:pPr>
      <w:r>
        <w:t>Gute Praxis Sekundärdatenanalyse Version 4: Leitlinien und Empfehlungen</w:t>
      </w:r>
    </w:p>
    <w:p>
      <w:r>
        <w:rPr>
          <w:i/>
          <w:color w:val="666666"/>
          <w:sz w:val="18"/>
        </w:rPr>
        <w:t>Swart E et al.  ·  Gesundheitswesen  ·  07.09.2026  ·  PMID 42705329</w:t>
      </w:r>
    </w:p>
    <w:p>
      <w:r>
        <w:t>Aktualisierte Richtlinie für methodische Standards bei der Durchführung von Sekundärdatenanalysen in Deutschland mit neuen Empfehlungen.</w:t>
      </w:r>
    </w:p>
    <w:p>
      <w:r>
        <w:rPr>
          <w:b/>
        </w:rPr>
        <w:t xml:space="preserve">Ergebnis: </w:t>
      </w:r>
      <w:r>
        <w:t>Version 4 ergänzt frühere Versionen um Empfehlungen zu Studienpopulation, Auswertestrategie, Registrierung, Zusammenspiel von Datenanalyse und Patient:innenperspektive, Data Dictionaries, Zwischenauswertungen, verteiltem Rechnen, Dokumentation, gepoolten Daten, Rechtrahmen und Wissenschaftskommunikation. Standard für Sekundärdatenanalysen nach wissenschaftlichen Grundsätzen in Deutschland etabliert.</w:t>
      </w:r>
    </w:p>
    <w:p>
      <w:r>
        <w:rPr>
          <w:b/>
          <w:sz w:val="19"/>
        </w:rPr>
        <w:t xml:space="preserve">Übertragbarkeit: </w:t>
      </w:r>
      <w:r>
        <w:rPr>
          <w:sz w:val="19"/>
        </w:rPr>
        <w:t>Deutsche Fachmethodologie, grundlegend für deutsches Versorgungsforschungs-System</w:t>
      </w:r>
    </w:p>
    <w:p>
      <w:r>
        <w:rPr>
          <w:color w:val="5A7D3A"/>
          <w:sz w:val="18"/>
        </w:rPr>
        <w:t>https://pubmed.ncbi.nlm.nih.gov/42705329/</w:t>
      </w:r>
    </w:p>
    <w:p>
      <w:pPr>
        <w:pStyle w:val="Heading1"/>
      </w:pPr>
      <w:r>
        <w:t>Aufgenommen am 10.09.2026</w:t>
      </w:r>
    </w:p>
    <w:p>
      <w:pPr>
        <w:pStyle w:val="Heading2"/>
      </w:pPr>
      <w:r>
        <w:t>Sentiment analysis mit BERT-Modell für Patientenerfahrungen in der Primärversorgung</w:t>
      </w:r>
    </w:p>
    <w:p>
      <w:r>
        <w:rPr>
          <w:i/>
          <w:color w:val="666666"/>
          <w:sz w:val="18"/>
        </w:rPr>
        <w:t>Norman RM et al.  ·  Fam Pract  ·  31.07.2026  ·  PMID 42713859</w:t>
      </w:r>
    </w:p>
    <w:p>
      <w:r>
        <w:t>Fine-tuning eines Sprachmodells (NorBERT3) zur automatisierten Sentimentanalyse von Patientenerfahrungen in norwegischen Hausarztpraxen.</w:t>
      </w:r>
    </w:p>
    <w:p>
      <w:r>
        <w:rPr>
          <w:b/>
        </w:rPr>
        <w:t xml:space="preserve">Ergebnis: </w:t>
      </w:r>
      <w:r>
        <w:t>Das optimierte Modell erzielte hohe F1-Scores auf Testdaten (0,80 AUC für Online-Bewertungen), übertraf traditionelle Methoden und ein großes Sprachmodell. Konstruktvalidität wurde durch erwartete Korrelationen mit Patientenerfahrungsscores und bekannte Subgruppenunterschiede unterstützt.</w:t>
      </w:r>
    </w:p>
    <w:p>
      <w:r>
        <w:rPr>
          <w:b/>
          <w:sz w:val="19"/>
        </w:rPr>
        <w:t xml:space="preserve">Übertragbarkeit: </w:t>
      </w:r>
      <w:r>
        <w:rPr>
          <w:sz w:val="19"/>
        </w:rPr>
        <w:t>Norwegen, ähnliche Primärversorgungsstruktur wie Deutschland</w:t>
      </w:r>
    </w:p>
    <w:p>
      <w:r>
        <w:rPr>
          <w:color w:val="5A7D3A"/>
          <w:sz w:val="18"/>
        </w:rPr>
        <w:t>https://pubmed.ncbi.nlm.nih.gov/42713859/</w:t>
      </w:r>
    </w:p>
    <w:p>
      <w:pPr>
        <w:pStyle w:val="Heading2"/>
      </w:pPr>
      <w:r>
        <w:t>Unterstützungsmodell für sichere Medikamentennutzung bei Migranten mit Sprachbarrieren</w:t>
      </w:r>
    </w:p>
    <w:p>
      <w:r>
        <w:rPr>
          <w:i/>
          <w:color w:val="666666"/>
          <w:sz w:val="18"/>
        </w:rPr>
        <w:t>Hjelm K et al.  ·  BMC Health Serv Res  ·  07.09.2026  ·  PMID 42711692</w:t>
      </w:r>
    </w:p>
    <w:p>
      <w:r>
        <w:t>Co-creation Partizipative Aktionsforschung identifizierte Unterstützungsbedarfe für sichere Medikamentennutzung bei fremdgeborenen Personen mit Sprachschwierigkeiten in Schweden.</w:t>
      </w:r>
    </w:p>
    <w:p>
      <w:r>
        <w:rPr>
          <w:b/>
        </w:rPr>
        <w:t xml:space="preserve">Ergebnis: </w:t>
      </w:r>
      <w:r>
        <w:t>Sieben Handlungsfelder identifiziert: Routinen für sichere Medikamentennutzung, Kontinuität, Sprachenunterstützung, Ressourcen, Patienteneducation, Mitarbeiterschulung und nationale Maßnahmen. Kern: Koordiniertes interdisziplinäres Team in der Primärversorgung mit erreichbarer Kontaktperson.</w:t>
      </w:r>
    </w:p>
    <w:p>
      <w:r>
        <w:rPr>
          <w:b/>
          <w:sz w:val="19"/>
        </w:rPr>
        <w:t xml:space="preserve">Übertragbarkeit: </w:t>
      </w:r>
      <w:r>
        <w:rPr>
          <w:sz w:val="19"/>
        </w:rPr>
        <w:t>Schweden, vergleichbares Sozialversicherungssystem, Migrationskontexte zentral</w:t>
      </w:r>
    </w:p>
    <w:p>
      <w:r>
        <w:rPr>
          <w:color w:val="5A7D3A"/>
          <w:sz w:val="18"/>
        </w:rPr>
        <w:t>https://pubmed.ncbi.nlm.nih.gov/42711692/</w:t>
      </w:r>
    </w:p>
    <w:p>
      <w:pPr>
        <w:pStyle w:val="Heading2"/>
      </w:pPr>
      <w:r>
        <w:t>Dementenangebot und Ergebnisse in japanischen Akutkrankenhäusern nach Finanzierungsanreiz</w:t>
      </w:r>
    </w:p>
    <w:p>
      <w:r>
        <w:rPr>
          <w:i/>
          <w:color w:val="666666"/>
          <w:sz w:val="18"/>
        </w:rPr>
        <w:t>Wu J et al.  ·  Geriatr Gerontol Int  ·  Sept. 2026  ·  PMID 42711657</w:t>
      </w:r>
    </w:p>
    <w:p>
      <w:r>
        <w:t>Nationale Analyse der Patienten, die für Japans Dementatax-Anreiz (DCA) berechtigt sind, und deren klinische Versorgungsergebnisse 2016–2019.</w:t>
      </w:r>
    </w:p>
    <w:p>
      <w:r>
        <w:rPr>
          <w:b/>
        </w:rPr>
        <w:t xml:space="preserve">Ergebnis: </w:t>
      </w:r>
      <w:r>
        <w:t>1.046.652 Hospitalisierungen von Personen über 65 Jahren mit Dementia. DCA-Abrechnungen stiegen von 6,4% (DCA1) und 13,2% (DCA2) 2016 auf 20,8% und 32,8% 2019. Verweildauer sank von 33,7 auf 27,8 Tage, Krankenhaussterblichkeit von 13,9% auf 12,9%, unangemessene Medikation von 16,2% auf 14,0%.</w:t>
      </w:r>
    </w:p>
    <w:p>
      <w:r>
        <w:rPr>
          <w:b/>
          <w:sz w:val="19"/>
        </w:rPr>
        <w:t xml:space="preserve">Übertragbarkeit: </w:t>
      </w:r>
      <w:r>
        <w:rPr>
          <w:sz w:val="19"/>
        </w:rPr>
        <w:t>Japan, begrenzt übertragbar; Fragestellung zu Finanzierungseffekten in Gesundheitssystemen mit anderen Anreizstrukturen</w:t>
      </w:r>
    </w:p>
    <w:p>
      <w:r>
        <w:rPr>
          <w:color w:val="5A7D3A"/>
          <w:sz w:val="18"/>
        </w:rPr>
        <w:t>https://pubmed.ncbi.nlm.nih.gov/42711657/</w:t>
      </w:r>
    </w:p>
    <w:p>
      <w:pPr>
        <w:pStyle w:val="Heading2"/>
      </w:pPr>
      <w:r>
        <w:t>Auswirkungen von Fortbildung auf Personalfluktuation in US-Veteranenkliniken</w:t>
      </w:r>
    </w:p>
    <w:p>
      <w:r>
        <w:rPr>
          <w:i/>
          <w:color w:val="666666"/>
          <w:sz w:val="18"/>
        </w:rPr>
        <w:t>Sterling R et al.  ·  J Rural Health  ·  Juni 2026  ·  PMID 42708822</w:t>
      </w:r>
    </w:p>
    <w:p>
      <w:r>
        <w:t>Quasi-experimentelle Studie der Rural Interprofessional Faculty Development Initiative (RIFDI) auf Mitarbeiterkontinuität in VHA-Kliniken landesweit 2019–2024.</w:t>
      </w:r>
    </w:p>
    <w:p>
      <w:r>
        <w:rPr>
          <w:b/>
        </w:rPr>
        <w:t xml:space="preserve">Ergebnis: </w:t>
      </w:r>
      <w:r>
        <w:t>Fluktuationsrate &lt;1 Jahr nach RIFDI-Abschluss: 12,8% (geringe Engagements), &lt;1,0% (hohe Engagements), 11,3% (keine RIFDI). Hochengagierte Teilnehmer hatten 11-fach niedrigere Fluktuationsquoten (p&lt;0,001).</w:t>
      </w:r>
    </w:p>
    <w:p>
      <w:r>
        <w:rPr>
          <w:b/>
          <w:sz w:val="19"/>
        </w:rPr>
        <w:t xml:space="preserve">Übertragbarkeit: </w:t>
      </w:r>
      <w:r>
        <w:rPr>
          <w:sz w:val="19"/>
        </w:rPr>
        <w:t>USA-Veteranensystem; Fragestellung zu Personalentwicklung systemunabhängig</w:t>
      </w:r>
    </w:p>
    <w:p>
      <w:r>
        <w:rPr>
          <w:color w:val="5A7D3A"/>
          <w:sz w:val="18"/>
        </w:rPr>
        <w:t>https://pubmed.ncbi.nlm.nih.gov/42708822/</w:t>
      </w:r>
    </w:p>
    <w:p>
      <w:pPr>
        <w:pStyle w:val="Heading2"/>
      </w:pPr>
      <w:r>
        <w:t>Exposition gegenüber Passivrauchen und durch GBD 2023 verursachte Krankheitslast</w:t>
      </w:r>
    </w:p>
    <w:p>
      <w:r>
        <w:rPr>
          <w:i/>
          <w:color w:val="666666"/>
          <w:sz w:val="18"/>
        </w:rPr>
        <w:t>GBD 2023 Second-hand smoke Collaborators  ·  Lancet Public Health  ·  07.09.2026  ·  PMID 42705247</w:t>
      </w:r>
    </w:p>
    <w:p>
      <w:r>
        <w:t>Globale, regionale und nationale Prävalenz der Passivrauchwirkung und der zurechenbaren Krankheitslast in 204 Ländern 1990–2023, GBD 2023 Studie.</w:t>
      </w:r>
    </w:p>
    <w:p>
      <w:r>
        <w:rPr>
          <w:b/>
        </w:rPr>
        <w:t xml:space="preserve">Ergebnis: </w:t>
      </w:r>
      <w:r>
        <w:t>2,71 Mrd. Menschen 2023 exponiert (767 Mio. Kinder 0–14 Jahre); 22,2% Rückgang der altersstandartisierten Prävalenz seit 1990. Absolute Fallzahlen stabil global, aber +98,5% in Sub-Sahara-Afrika, +72,1% Nordafrika/Naher Osten. 1,66 Mio. Todesfälle, 44,8 Mio. DALYs; ischämische Herzerkrankung und pädiatrische Infektionen der Atemwege führend.</w:t>
      </w:r>
    </w:p>
    <w:p>
      <w:r>
        <w:rPr>
          <w:b/>
          <w:sz w:val="19"/>
        </w:rPr>
        <w:t xml:space="preserve">Übertragbarkeit: </w:t>
      </w:r>
      <w:r>
        <w:rPr>
          <w:sz w:val="19"/>
        </w:rPr>
        <w:t>Globale Daten; Public-Health-Fragestellung systemunabhängig relevant</w:t>
      </w:r>
    </w:p>
    <w:p>
      <w:r>
        <w:rPr>
          <w:color w:val="5A7D3A"/>
          <w:sz w:val="18"/>
        </w:rPr>
        <w:t>https://pubmed.ncbi.nlm.nih.gov/42705247/</w:t>
      </w:r>
    </w:p>
    <w:p>
      <w:pPr>
        <w:pStyle w:val="Heading1"/>
      </w:pPr>
      <w:r>
        <w:t>Aufgenommen am 09.09.2026</w:t>
      </w:r>
    </w:p>
    <w:p>
      <w:pPr>
        <w:pStyle w:val="Heading2"/>
      </w:pPr>
      <w:r>
        <w:t>Fahrplan für die organisationsweite Einführung evidenzbasierter Medizin</w:t>
      </w:r>
    </w:p>
    <w:p>
      <w:r>
        <w:rPr>
          <w:i/>
          <w:color w:val="666666"/>
          <w:sz w:val="18"/>
        </w:rPr>
        <w:t>van der Braak K et al.  ·  JBI Evid Implement  ·  09.09.2026  ·  PMID 42710024</w:t>
      </w:r>
    </w:p>
    <w:p>
      <w:r>
        <w:t>Systematischer Überblick über 100 Reviews (2013–2023) zur Implementierung evidenzbasierter Medizin, ausgewertet nach Outcome-Messung, Kontextanalyse und Implementierungsstrategien.</w:t>
      </w:r>
    </w:p>
    <w:p>
      <w:r>
        <w:rPr>
          <w:b/>
        </w:rPr>
        <w:t xml:space="preserve">Ergebnis: </w:t>
      </w:r>
      <w:r>
        <w:t>Vier durchgängig empfohlene Messinstrumente wurden identifiziert (EBPQ, EPIC, Fresno Test, HS-EBP); 50 Reviews behandelten die Outcome-Messung, 57 die Kontextanalyse mit 22 Themen und 40 die Implementierungsstrategien, davon 38 edukative. Edukative Strategien sind am besten untersucht; Veränderungen der Infrastruktur sowie Outcomes auf Organisations- und Patientenebene bleiben unterrepräsentiert.</w:t>
      </w:r>
    </w:p>
    <w:p>
      <w:r>
        <w:rPr>
          <w:b/>
          <w:sz w:val="19"/>
        </w:rPr>
        <w:t xml:space="preserve">Übertragbarkeit: </w:t>
      </w:r>
      <w:r>
        <w:rPr>
          <w:sz w:val="19"/>
        </w:rPr>
        <w:t>Niederlande, Cochrane-Netzwerk; Sozialversicherungssystem mit Implementierungswissenschaft.</w:t>
      </w:r>
    </w:p>
    <w:p>
      <w:r>
        <w:rPr>
          <w:color w:val="5A7D3A"/>
          <w:sz w:val="18"/>
        </w:rPr>
        <w:t>https://pubmed.ncbi.nlm.nih.gov/42710024/</w:t>
      </w:r>
    </w:p>
    <w:p>
      <w:pPr>
        <w:pStyle w:val="Heading2"/>
      </w:pPr>
      <w:r>
        <w:t>Umweltverträglichere Arzneiwirkstoffe: Sichtweisen von Fachleuten im Gesundheitswesen</w:t>
      </w:r>
    </w:p>
    <w:p>
      <w:r>
        <w:rPr>
          <w:i/>
          <w:color w:val="666666"/>
          <w:sz w:val="18"/>
        </w:rPr>
        <w:t>Puhlmann N et al.  ·  BMC Health Serv Res  ·  04.09.2026  ·  PMID 42706542</w:t>
      </w:r>
    </w:p>
    <w:p>
      <w:r>
        <w:t>Qualitative Interviewstudie mit 16 europäischen Fachleuten (Ärzte, Apotheker, Beschaffung, Erstattung, Zulassung) zu den Voraussetzungen für den Einsatz umweltverträglicherer Arzneiwirkstoffe.</w:t>
      </w:r>
    </w:p>
    <w:p>
      <w:r>
        <w:rPr>
          <w:b/>
        </w:rPr>
        <w:t xml:space="preserve">Ergebnis: </w:t>
      </w:r>
      <w:r>
        <w:t>Die Befragten benannten bereits bestehende Ansätze, etwa Umweltkriterien in Beschaffungsausschreibungen. Als Voraussetzungen gelten verlässliche Daten zur Umweltwirkung, ein harmonisierter rechtlicher Bewertungsrahmen und eine zentrale Entscheidungsinstanz für Umwelteigenschaften. Wichtigster Ansatzpunkt ist aus Sicht der Befragten das Zulassungsverfahren; das fachliche Interesse an Umweltdaten könne Hersteller zur Offenlegung und zu umweltverträglicherem Wirkstoffdesign bewegen.</w:t>
      </w:r>
    </w:p>
    <w:p>
      <w:r>
        <w:rPr>
          <w:b/>
          <w:sz w:val="19"/>
        </w:rPr>
        <w:t xml:space="preserve">Übertragbarkeit: </w:t>
      </w:r>
      <w:r>
        <w:rPr>
          <w:sz w:val="19"/>
        </w:rPr>
        <w:t>Europäische Perspektiven; Regulierung und Beschaffung relevant für deutsches System.</w:t>
      </w:r>
    </w:p>
    <w:p>
      <w:r>
        <w:rPr>
          <w:color w:val="5A7D3A"/>
          <w:sz w:val="18"/>
        </w:rPr>
        <w:t>https://pubmed.ncbi.nlm.nih.gov/42706542/</w:t>
      </w:r>
    </w:p>
    <w:p>
      <w:pPr>
        <w:pStyle w:val="Heading2"/>
      </w:pPr>
      <w:r>
        <w:t>System Support Mapping: Implementierungsfaktoren auf neonatologischen Intensivstationen erfassen</w:t>
      </w:r>
    </w:p>
    <w:p>
      <w:r>
        <w:rPr>
          <w:i/>
          <w:color w:val="666666"/>
          <w:sz w:val="18"/>
        </w:rPr>
        <w:t>Dymek NG et al.  ·  BMC Health Serv Res  ·  05.09.2026  ·  PMID 42706532</w:t>
      </w:r>
    </w:p>
    <w:p>
      <w:r>
        <w:t>Methodische Darstellung des System Support Mapping in Verbindung mit einem Matrixed Multiple Case Study-Ansatz zur Erhebung von Implementierungsfaktoren in einer Studie zur Stillförderung an fünf deutschen neonatologischen Intensivstationen.</w:t>
      </w:r>
    </w:p>
    <w:p>
      <w:r>
        <w:rPr>
          <w:b/>
        </w:rPr>
        <w:t xml:space="preserve">Ergebnis: </w:t>
      </w:r>
      <w:r>
        <w:t>Vorgestellt wird ein Vorgehen in sechs Schritten: je Station eine eigene System Support Map (Schritte 1–3), danach eine stationsübergreifende Matrix zum Vergleich (Schritte 4–6). Innerhalb der Standorte zeigte sich, dass dieselbe Ressource je nach Kontext als förderlich, hinderlich oder beides wahrgenommen wurde; im Vergleich der Standorte traten gleichförmige wie heterogene Muster hervor. Damit lassen sich standortspezifische und übergreifende Strategien voneinander unterscheiden.</w:t>
      </w:r>
    </w:p>
    <w:p>
      <w:r>
        <w:rPr>
          <w:b/>
          <w:sz w:val="19"/>
        </w:rPr>
        <w:t xml:space="preserve">Übertragbarkeit: </w:t>
      </w:r>
      <w:r>
        <w:rPr>
          <w:sz w:val="19"/>
        </w:rPr>
        <w:t>Deutsche NICUs; Implementierungswissenschaft für deutsche Kontexte.</w:t>
      </w:r>
    </w:p>
    <w:p>
      <w:r>
        <w:rPr>
          <w:color w:val="5A7D3A"/>
          <w:sz w:val="18"/>
        </w:rPr>
        <w:t>https://pubmed.ncbi.nlm.nih.gov/42706532/</w:t>
      </w:r>
    </w:p>
    <w:p>
      <w:pPr>
        <w:pStyle w:val="Heading2"/>
      </w:pPr>
      <w:r>
        <w:t>Primary Care Behavioral Health in der schwedischen Primärversorgung: Ergebnisse einer Pilotstudie</w:t>
      </w:r>
    </w:p>
    <w:p>
      <w:r>
        <w:rPr>
          <w:i/>
          <w:color w:val="666666"/>
          <w:sz w:val="18"/>
        </w:rPr>
        <w:t>Nordgren LB et al.  ·  BMC Health Serv Res  ·  03.09.2026  ·  PMID 42706525</w:t>
      </w:r>
    </w:p>
    <w:p>
      <w:r>
        <w:t>Stepped-Wedge-Studie zur Einführung des Primary Care Behavioral Health-Modells in vier schwedischen Primärversorgungszentren mit 37.100 eingeschriebenen Patienten über drei Zeiträume.</w:t>
      </w:r>
    </w:p>
    <w:p>
      <w:r>
        <w:rPr>
          <w:b/>
        </w:rPr>
        <w:t xml:space="preserve">Ergebnis: </w:t>
      </w:r>
      <w:r>
        <w:t>Nach der Einführung sank die Wartezeit auf den Ersttermin um 30–39 % (von 16 auf 10 bis 11 Tage, p&lt;0,001), die Wartezeit auf alle Termine um 21–24 % (von 18 auf 13,7 bis 14,2 Tage, p&lt;0,001). Die Zahl der Termine bei Behavioral Health Consultants stieg um 21–34 % (von 1.762 auf 2.127 bis 2.359, p&lt;0,001), die Zahl der Psychopharmaka-Verordnungen sank um 14–18 % (von 8.025 auf 6.570 bis 6.927, p&lt;0,001). Nach Abschluss der Einführungsphase gingen die Verbesserungen teilweise zurück.</w:t>
      </w:r>
    </w:p>
    <w:p>
      <w:r>
        <w:rPr>
          <w:b/>
          <w:sz w:val="19"/>
        </w:rPr>
        <w:t xml:space="preserve">Übertragbarkeit: </w:t>
      </w:r>
      <w:r>
        <w:rPr>
          <w:sz w:val="19"/>
        </w:rPr>
        <w:t>Schweden, Primärversorgung; hausarztgesteuertes System, aber prozessuale Lernpunkte übertragbar.</w:t>
      </w:r>
    </w:p>
    <w:p>
      <w:r>
        <w:rPr>
          <w:color w:val="5A7D3A"/>
          <w:sz w:val="18"/>
        </w:rPr>
        <w:t>https://pubmed.ncbi.nlm.nih.gov/42706525/</w:t>
      </w:r>
    </w:p>
    <w:p>
      <w:pPr>
        <w:pStyle w:val="Heading2"/>
      </w:pPr>
      <w:r>
        <w:t>Leitliniengerechte Aphasietherapie: Systembarrieren im deutschsprachigen Raum</w:t>
      </w:r>
    </w:p>
    <w:p>
      <w:r>
        <w:rPr>
          <w:i/>
          <w:color w:val="666666"/>
          <w:sz w:val="18"/>
        </w:rPr>
        <w:t>May S et al.  ·  BMC Health Serv Res  ·  07.09.2026  ·  PMID 42706524</w:t>
      </w:r>
    </w:p>
    <w:p>
      <w:r>
        <w:t>Explorative qualitative Studie mit zwei Online-Fokusgruppen aus Menschen mit Aphasie, Angehörigen, Logopäden und Akteuren des Gesundheitswesens zu den Hürden einer leitliniengerechten Therapie im deutschsprachigen Raum.</w:t>
      </w:r>
    </w:p>
    <w:p>
      <w:r>
        <w:rPr>
          <w:b/>
        </w:rPr>
        <w:t xml:space="preserve">Ergebnis: </w:t>
      </w:r>
      <w:r>
        <w:t>Sechs Kategorien von Barrieren wurden benannt: gesellschaftliche und systemische Rahmenbedingungen, Zugang zur Versorgung, Brüche im Behandlungsverlauf, die Rolle der Angehörigen, psychosoziale Faktoren und Lücken in der interdisziplinären Versorgung. Als besonders anfällig gilt der Übergang von der stationären in die ambulante Versorgung; zerklüftete Versorgungspfade und finanzielle Hürden erschwerten die Umsetzung, und die informelle Unterstützung durch Angehörige schuf Ungleichheiten beim Zugang.</w:t>
      </w:r>
    </w:p>
    <w:p>
      <w:r>
        <w:rPr>
          <w:b/>
          <w:sz w:val="19"/>
        </w:rPr>
        <w:t xml:space="preserve">Übertragbarkeit: </w:t>
      </w:r>
      <w:r>
        <w:rPr>
          <w:sz w:val="19"/>
        </w:rPr>
        <w:t>Deutschland/Österreich/Schweiz, direkt; fokussiert auf Versorgungslücken und Systembarrieren.</w:t>
      </w:r>
    </w:p>
    <w:p>
      <w:r>
        <w:rPr>
          <w:color w:val="5A7D3A"/>
          <w:sz w:val="18"/>
        </w:rPr>
        <w:t>https://pubmed.ncbi.nlm.nih.gov/42706524/</w:t>
      </w:r>
    </w:p>
    <w:p>
      <w:pPr>
        <w:pStyle w:val="Heading2"/>
      </w:pPr>
      <w:r>
        <w:t>Patientenzufriedenheit in der Tele-Ophthalmologie: systematisches Review mit Metaanalyse</w:t>
      </w:r>
    </w:p>
    <w:p>
      <w:r>
        <w:rPr>
          <w:i/>
          <w:color w:val="666666"/>
          <w:sz w:val="18"/>
        </w:rPr>
        <w:t>Al-Nosairy KO et al.  ·  Eye (Lond)  ·  07.09.2026  ·  PMID 42706426</w:t>
      </w:r>
    </w:p>
    <w:p>
      <w:r>
        <w:t>Systematisches Review mit Metaanalyse aus 41 Studien (24.595 Teilnehmende) zum Vergleich der Patientenzufriedenheit zwischen tele-ophthalmologischer und persönlicher augenärztlicher Versorgung.</w:t>
      </w:r>
    </w:p>
    <w:p>
      <w:r>
        <w:rPr>
          <w:b/>
        </w:rPr>
        <w:t xml:space="preserve">Ergebnis: </w:t>
      </w:r>
      <w:r>
        <w:t>Die Zufriedenheit war vergleichbar (OR 0,98; 95%-KI 0,36–2,65, p=0,95). Gepoolt lag die Zufriedenheit mit der Telemedizin bei 93,5 % (95%-KI 90,8–95,5), die allgemeine Akzeptanz bei 92,0 %. Asynchrone (94,6 %), synchrone (92,1 %) und hybride Modelle (93,8 %) unterschieden sich kaum. Die Weiterempfehlung fiel höher aus (94,9 %) als die Absicht zur erneuten Nutzung (84,0 %); ein Publikationsbias war nicht nachweisbar (p&gt;0,05).</w:t>
      </w:r>
    </w:p>
    <w:p>
      <w:r>
        <w:rPr>
          <w:b/>
          <w:sz w:val="19"/>
        </w:rPr>
        <w:t xml:space="preserve">Übertragbarkeit: </w:t>
      </w:r>
      <w:r>
        <w:rPr>
          <w:sz w:val="19"/>
        </w:rPr>
        <w:t>Querschnittsübertragbar: Patientenzufriedenheit systemunabhängig.</w:t>
      </w:r>
    </w:p>
    <w:p>
      <w:r>
        <w:rPr>
          <w:color w:val="5A7D3A"/>
          <w:sz w:val="18"/>
        </w:rPr>
        <w:t>https://pubmed.ncbi.nlm.nih.gov/42706426/</w:t>
      </w:r>
    </w:p>
    <w:p>
      <w:pPr>
        <w:pStyle w:val="Heading2"/>
      </w:pPr>
      <w:r>
        <w:t>Hausarztkontakte und Prävention chronischer Erkrankungen in Chinas Gesundheitsreform</w:t>
      </w:r>
    </w:p>
    <w:p>
      <w:r>
        <w:rPr>
          <w:i/>
          <w:color w:val="666666"/>
          <w:sz w:val="18"/>
        </w:rPr>
        <w:t>Zhang Y et al.  ·  Soc Sci Med  ·  12.08.2026  ·  PMID 42704983</w:t>
      </w:r>
    </w:p>
    <w:p>
      <w:r>
        <w:t>Panelstudie mit 11.425 Personen aus vier Erhebungswellen (2011–2018) der China Health and Retirement Longitudinal Study zum Zusammenhang zwischen Hausarztkontakten, dem Neuauftreten chronischer Erkrankungen und der Krankenhausnutzung.</w:t>
      </w:r>
    </w:p>
    <w:p>
      <w:r>
        <w:rPr>
          <w:b/>
        </w:rPr>
        <w:t xml:space="preserve">Ergebnis: </w:t>
      </w:r>
      <w:r>
        <w:t>Jeder zusätzliche Hausarztkontakt ging mit weniger neu hinzukommenden chronischen Erkrankungen einher (−0,011; 95%-KI −0,017 bis −0,004). Stärker war der Zusammenhang bei Stadtbewohnern (−0,016), bei Personen mit Grundschulbildung (−0,014) und bei nur einer chronischen Erkrankung (−0,018). Bei bereits Erkrankten bestand kein signifikanter Zusammenhang mit ambulanten Krankenhauskontakten (−0,010; 95%-KI −0,029 bis 0,009) oder stationären Aufnahmen (0,010; 95%-KI −0,020 bis 0,040).</w:t>
      </w:r>
    </w:p>
    <w:p>
      <w:r>
        <w:rPr>
          <w:b/>
          <w:sz w:val="19"/>
        </w:rPr>
        <w:t xml:space="preserve">Übertragbarkeit: </w:t>
      </w:r>
      <w:r>
        <w:rPr>
          <w:sz w:val="19"/>
        </w:rPr>
        <w:t>China; Konzepte zu Primärversorgung und Prävention aber strukturelle Unterschiede erheblich.</w:t>
      </w:r>
    </w:p>
    <w:p>
      <w:r>
        <w:rPr>
          <w:color w:val="5A7D3A"/>
          <w:sz w:val="18"/>
        </w:rPr>
        <w:t>https://pubmed.ncbi.nlm.nih.gov/42704983/</w:t>
      </w:r>
    </w:p>
    <w:p>
      <w:pPr>
        <w:pStyle w:val="Heading1"/>
      </w:pPr>
      <w:r>
        <w:t>Aufgenommen am 08.09.2026</w:t>
      </w:r>
    </w:p>
    <w:p>
      <w:pPr>
        <w:pStyle w:val="Heading2"/>
      </w:pPr>
      <w:r>
        <w:t>Patientensicht auf Zahnbehandlungsqualität: qualitative Systematik-Übersicht</w:t>
      </w:r>
    </w:p>
    <w:p>
      <w:r>
        <w:rPr>
          <w:i/>
          <w:color w:val="666666"/>
          <w:sz w:val="18"/>
        </w:rPr>
        <w:t>Tay AHC et al.  ·  J Dent Res  ·  07.09.2026  ·  PMID 42703647</w:t>
      </w:r>
    </w:p>
    <w:p>
      <w:r>
        <w:t>Systematische qualitative Analyse von 36 Studien zur Patientenwahrnehmung von Qualität in der Zahnversorgung.</w:t>
      </w:r>
    </w:p>
    <w:p>
      <w:r>
        <w:rPr>
          <w:b/>
        </w:rPr>
        <w:t xml:space="preserve">Ergebnis: </w:t>
      </w:r>
      <w:r>
        <w:t>Vier Kernthemen: (1) strukturelle Bedingungen für Vertrauen, (2) Sicherheit durch erlebte Kompetenz, (3) zwischenmenschliche Pflege als Qualitätsfundament (Respekt, Empathie, Kommunikation, Shared Decision Making), (4) kontinuierliche Beziehung als patientenrelevantes Ergebnis. Patienten deuten relationale und emotionale Aspekte als Indikatoren der Systemorientierung.</w:t>
      </w:r>
    </w:p>
    <w:p>
      <w:r>
        <w:rPr>
          <w:b/>
          <w:sz w:val="19"/>
        </w:rPr>
        <w:t xml:space="preserve">Übertragbarkeit: </w:t>
      </w:r>
      <w:r>
        <w:rPr>
          <w:sz w:val="19"/>
        </w:rPr>
        <w:t>Diverse Populationen international, Thematik der Patientenzentralität systemunabhängig übertragbar.</w:t>
      </w:r>
    </w:p>
    <w:p>
      <w:r>
        <w:rPr>
          <w:color w:val="5A7D3A"/>
          <w:sz w:val="18"/>
        </w:rPr>
        <w:t>https://pubmed.ncbi.nlm.nih.gov/42703647/</w:t>
      </w:r>
    </w:p>
    <w:p>
      <w:pPr>
        <w:pStyle w:val="Heading2"/>
      </w:pPr>
      <w:r>
        <w:t>Regionale Disparitäten bei Lebendnierenverpflanzungen in Australien und Neuseeland</w:t>
      </w:r>
    </w:p>
    <w:p>
      <w:r>
        <w:rPr>
          <w:i/>
          <w:color w:val="666666"/>
          <w:sz w:val="18"/>
        </w:rPr>
        <w:t>McMichael LC et al.  ·  Am J Transplant  ·  03.09.2026  ·  PMID 42692200</w:t>
      </w:r>
    </w:p>
    <w:p>
      <w:r>
        <w:t>Analyse der ANZORGG-Registry (Australien, Neuseeland) zu regionalen Unterschieden bei Zugang zu Lebendnierenverpflanzung.</w:t>
      </w:r>
    </w:p>
    <w:p>
      <w:r>
        <w:rPr>
          <w:b/>
        </w:rPr>
        <w:t xml:space="preserve">Ergebnis: </w:t>
      </w:r>
      <w:r>
        <w:t>Standardisierte Quote lebender Nierenverpflanzungen variierte zwischen 0,36 und 2,11 über 21 Netzwerke (n=53.313 Patienten 2002–2022). Von 21 Netzwerken lagen 4 (19%) unter Erwartung. Faktoren: direkte Transplantationsaffiliation des Behandlungszentrums, nicht-metropolitane Residenz und zeitnahe nephrologische Vorstellung assoziiert mit erhöhtem Lebendspender-Transplantationsrisiko.</w:t>
      </w:r>
    </w:p>
    <w:p>
      <w:r>
        <w:rPr>
          <w:b/>
          <w:sz w:val="19"/>
        </w:rPr>
        <w:t xml:space="preserve">Übertragbarkeit: </w:t>
      </w:r>
      <w:r>
        <w:rPr>
          <w:sz w:val="19"/>
        </w:rPr>
        <w:t>Australien/Neuseeland, Fragestellung zu regionalen Versorgungsungleichheiten in spezialisierten Leistungen übertragbar auf Deutschland.</w:t>
      </w:r>
    </w:p>
    <w:p>
      <w:r>
        <w:rPr>
          <w:color w:val="5A7D3A"/>
          <w:sz w:val="18"/>
        </w:rPr>
        <w:t>https://pubmed.ncbi.nlm.nih.gov/42692200/</w:t>
      </w:r>
    </w:p>
    <w:p>
      <w:pPr>
        <w:pStyle w:val="Heading2"/>
      </w:pPr>
      <w:r>
        <w:t>Private Krankenversicherung und Prävention in Australien: Längsschnittstudie</w:t>
      </w:r>
    </w:p>
    <w:p>
      <w:r>
        <w:rPr>
          <w:i/>
          <w:color w:val="666666"/>
          <w:sz w:val="18"/>
        </w:rPr>
        <w:t>Nguyen CM et al.  ·  Public Health  ·  03.09.2026  ·  PMID 42691737</w:t>
      </w:r>
    </w:p>
    <w:p>
      <w:r>
        <w:t>Längsschnittstudie an 9.674 australischen Erwachsenen (2009–2017) zur Assoziation zwischen privater Krankenversicherung und Nutzung von Präventivleistungen.</w:t>
      </w:r>
    </w:p>
    <w:p>
      <w:r>
        <w:rPr>
          <w:b/>
        </w:rPr>
        <w:t xml:space="preserve">Ergebnis: </w:t>
      </w:r>
      <w:r>
        <w:t>Chronische Erkrankungen wurden häufiger, Prävention nahm zu. Nach Adjustment zeigte sich: Bei Frauen waren hospital PHI und kombinierte PHI mit IRR 1,14 (95%-KI 1,09–1,18) bzw. 1,18 (1,11–1,25) assoziiert; bei Männern hospital PHI mit IRR 1,12 (1,00–1,23) und kombinierte PHI mit IRR 1,18 (1,11–1,25).</w:t>
      </w:r>
    </w:p>
    <w:p>
      <w:r>
        <w:rPr>
          <w:b/>
          <w:sz w:val="19"/>
        </w:rPr>
        <w:t xml:space="preserve">Übertragbarkeit: </w:t>
      </w:r>
      <w:r>
        <w:rPr>
          <w:sz w:val="19"/>
        </w:rPr>
        <w:t>Australisches Zwei-Klassen-System mit Medicare-Basisversorgung und zusätzlicher privater Versicherung; Frage zu Versicherungsstatus und Prävention eingeschränkt übertragbar.</w:t>
      </w:r>
    </w:p>
    <w:p>
      <w:r>
        <w:rPr>
          <w:color w:val="5A7D3A"/>
          <w:sz w:val="18"/>
        </w:rPr>
        <w:t>https://pubmed.ncbi.nlm.nih.gov/42691737/</w:t>
      </w:r>
    </w:p>
    <w:p>
      <w:pPr>
        <w:pStyle w:val="Heading2"/>
      </w:pPr>
      <w:r>
        <w:t>Screening auf Autoimmunität bei Typ-1-Diabetes aus Sicht des Fachpersonals</w:t>
      </w:r>
    </w:p>
    <w:p>
      <w:r>
        <w:rPr>
          <w:i/>
          <w:color w:val="666666"/>
          <w:sz w:val="18"/>
        </w:rPr>
        <w:t>Majstorovic M et al.  ·  Diabet Med  ·  01.09.2026  ·  PMID 42682016</w:t>
      </w:r>
    </w:p>
    <w:p>
      <w:r>
        <w:t>Qualitative Studie mit 32 australischen Fachkräften (Kindermedizin) zu Perspektiven auf Screening und Monitoring von Inselzellautoantkörpern.</w:t>
      </w:r>
    </w:p>
    <w:p>
      <w:r>
        <w:rPr>
          <w:b/>
        </w:rPr>
        <w:t xml:space="preserve">Ergebnis: </w:t>
      </w:r>
      <w:r>
        <w:t>Sieben Themen identifiziert: (1) umstrittenes Screening, (2) Strukturüberlegungen, (3) Zugangsparität, (4) Managementfokus auf Testerleben, (5) potenzielle psychische Folgen, (6) Bewältigungsfähigkeit der Betreuer, (7) Bedeutung vertrauensvoller Beziehungen. Fachkräfte betonten psychische Belastungen für Familien, Wichtigkeit therapeutischer Beziehungen.</w:t>
      </w:r>
    </w:p>
    <w:p>
      <w:r>
        <w:rPr>
          <w:b/>
          <w:sz w:val="19"/>
        </w:rPr>
        <w:t xml:space="preserve">Übertragbarkeit: </w:t>
      </w:r>
      <w:r>
        <w:rPr>
          <w:sz w:val="19"/>
        </w:rPr>
        <w:t>Qualitative Fachperspektive, Thema Screening-Akzeptanz und -Design systemunabhängig relevant.</w:t>
      </w:r>
    </w:p>
    <w:p>
      <w:r>
        <w:rPr>
          <w:color w:val="5A7D3A"/>
          <w:sz w:val="18"/>
        </w:rPr>
        <w:t>https://pubmed.ncbi.nlm.nih.gov/42682016/</w:t>
      </w:r>
    </w:p>
    <w:p>
      <w:pPr>
        <w:pStyle w:val="Heading2"/>
      </w:pPr>
      <w:r>
        <w:t>Verfügbarkeit und Zugang zu Infertilitätsversorgung in West- und Zentralafrika</w:t>
      </w:r>
    </w:p>
    <w:p>
      <w:r>
        <w:rPr>
          <w:i/>
          <w:color w:val="666666"/>
          <w:sz w:val="18"/>
        </w:rPr>
        <w:t>Thomas HL et al.  ·  BMC Health Serv Res  ·  04.08.2026  ·  PMID 42681645</w:t>
      </w:r>
    </w:p>
    <w:p>
      <w:r>
        <w:t>Länderübergreifende Studie (Burkina Faso, Elfenbeinküste, Niger, Uganda) zu Verfügbarkeit, geografischem Zugang und Nutzung von STI-Tests und Infertilitätsservices.</w:t>
      </w:r>
    </w:p>
    <w:p>
      <w:r>
        <w:rPr>
          <w:b/>
        </w:rPr>
        <w:t xml:space="preserve">Ergebnis: </w:t>
      </w:r>
      <w:r>
        <w:t>STI-Tests verfügbar in 68,5–92,6% der Einrichtungen, Infertilitätsservices in 28,4–44,0% (Burkina Faso 78,3%). Frauen mit höherer Bildung, Wohlstand, urbaner Residenz hatten besseren Zugang. In Burkina Faso und Niger: Frauen innerhalb 5 km STI-Testung zeigten erhöhte biomedizinische Inanspruchnahme (aOR 2,94 bzw. 7,19).</w:t>
      </w:r>
    </w:p>
    <w:p>
      <w:r>
        <w:rPr>
          <w:b/>
          <w:sz w:val="19"/>
        </w:rPr>
        <w:t xml:space="preserve">Übertragbarkeit: </w:t>
      </w:r>
      <w:r>
        <w:rPr>
          <w:sz w:val="19"/>
        </w:rPr>
        <w:t>Subsaharische Länder mit begrenzten Ressourcen, Fragestellung zu geografischem Zugang und Inanspruchnahme grundsätzlich relevant.</w:t>
      </w:r>
    </w:p>
    <w:p>
      <w:r>
        <w:rPr>
          <w:color w:val="5A7D3A"/>
          <w:sz w:val="18"/>
        </w:rPr>
        <w:t>https://pubmed.ncbi.nlm.nih.gov/42681645/</w:t>
      </w:r>
    </w:p>
    <w:p>
      <w:pPr>
        <w:pStyle w:val="Heading2"/>
      </w:pPr>
      <w:r>
        <w:t>Nationale Implementierung eines TB-Probenversandsystems in der Republik Kongo</w:t>
      </w:r>
    </w:p>
    <w:p>
      <w:r>
        <w:rPr>
          <w:i/>
          <w:color w:val="666666"/>
          <w:sz w:val="18"/>
        </w:rPr>
        <w:t>Elion Assiana DO et al.  ·  Trop Med Infect Dis  ·  17.08.2026  ·  PMID 42646806</w:t>
      </w:r>
    </w:p>
    <w:p>
      <w:r>
        <w:t>Dreijährige Mixed-Methods-Studie (Pilot Januar–Juni 2023, Scale-up Juli 2023–Dezember 2025) zur Umsetzung eines strukturierten Versandsystems für TB-Diagnostik.</w:t>
      </w:r>
    </w:p>
    <w:p>
      <w:r>
        <w:rPr>
          <w:b/>
        </w:rPr>
        <w:t xml:space="preserve">Ergebnis: </w:t>
      </w:r>
      <w:r>
        <w:t>Pilot-Phase: 962 Proben, 30,6% TB-Fälle (12/294 RR-TB), medianer Turnaround 53 h urban/62 h rural, 86% Beteiligungsquote. Scale-up (29 → 12/12 Departements): 2154 Proben (2023) → 5160 (2024), 2587 TB- und 84 RR-TB-Fälle über 3 Jahre detektiert. TB-Detektionsbeitrag stieg von 9,2% auf 16,0%, RR-TB von 10,4% auf 18,7%.</w:t>
      </w:r>
    </w:p>
    <w:p>
      <w:r>
        <w:rPr>
          <w:b/>
          <w:sz w:val="19"/>
        </w:rPr>
        <w:t xml:space="preserve">Übertragbarkeit: </w:t>
      </w:r>
      <w:r>
        <w:rPr>
          <w:sz w:val="19"/>
        </w:rPr>
        <w:t>Ressourcenlimitiertes Subsahara-Kontext, Versorgungsforschung zur Stärkung von Diagnostikzugang relevant, aber nur bedingt auf deutsche Strukturen übertragbar.</w:t>
      </w:r>
    </w:p>
    <w:p>
      <w:r>
        <w:rPr>
          <w:color w:val="5A7D3A"/>
          <w:sz w:val="18"/>
        </w:rPr>
        <w:t>https://pubmed.ncbi.nlm.nih.gov/42646806/</w:t>
      </w:r>
    </w:p>
    <w:p>
      <w:pPr>
        <w:pStyle w:val="Heading1"/>
      </w:pPr>
      <w:r>
        <w:t>Aufgenommen am 07.09.2026</w:t>
      </w:r>
    </w:p>
    <w:p>
      <w:pPr>
        <w:pStyle w:val="Heading2"/>
      </w:pPr>
      <w:r>
        <w:t>Depressive Symptom Networks bei älteren Erwachsenen: Episodische versus persistente Symptome</w:t>
      </w:r>
    </w:p>
    <w:p>
      <w:r>
        <w:rPr>
          <w:i/>
          <w:color w:val="666666"/>
          <w:sz w:val="18"/>
        </w:rPr>
        <w:t>Stratmann MW et al.  ·  Int Psychogeriatr  ·  05.09.2026  ·  PMID 42701078</w:t>
      </w:r>
    </w:p>
    <w:p>
      <w:r>
        <w:t>Vergleichende Netzwerkanalyse depressiver Symptome bei 8.519 älteren Erwachsenen (60+ Jahre) aus SHARE-Daten zur Frage, ob persistente Depressionen dichtere Symptomnetze aufweisen als episodische.</w:t>
      </w:r>
    </w:p>
    <w:p>
      <w:r>
        <w:rPr>
          <w:b/>
        </w:rPr>
        <w:t xml:space="preserve">Ergebnis: </w:t>
      </w:r>
      <w:r>
        <w:t>Kein signifikanter Unterschied in globaler Netzwerkstärke oder -struktur zwischen episodischen (44,0%) und persistenten/rezidivierenden (56,0%) depressiven Symptomen (p = 0,17 bzw. p = 0,60). Mangelndes Interesse, depressive Stimmung und Suizidalität zeigten höchste Stärke in beiden Netzwerken.</w:t>
      </w:r>
    </w:p>
    <w:p>
      <w:r>
        <w:rPr>
          <w:b/>
          <w:sz w:val="19"/>
        </w:rPr>
        <w:t xml:space="preserve">Übertragbarkeit: </w:t>
      </w:r>
      <w:r>
        <w:rPr>
          <w:sz w:val="19"/>
        </w:rPr>
        <w:t>Deutschland: SHARE-Daten, gesetzlich Versicherte ab 60 Jahren, europäisches Sozialversicherungssystem</w:t>
      </w:r>
    </w:p>
    <w:p>
      <w:r>
        <w:rPr>
          <w:color w:val="5A7D3A"/>
          <w:sz w:val="18"/>
        </w:rPr>
        <w:t>https://pubmed.ncbi.nlm.nih.gov/42701078/</w:t>
      </w:r>
    </w:p>
    <w:p>
      <w:pPr>
        <w:pStyle w:val="Heading2"/>
      </w:pPr>
      <w:r>
        <w:t>Person-zentrierte Geburtshilfe: Wahrnehmungsbildung und Sinnkonstruktion</w:t>
      </w:r>
    </w:p>
    <w:p>
      <w:r>
        <w:rPr>
          <w:i/>
          <w:color w:val="666666"/>
          <w:sz w:val="18"/>
        </w:rPr>
        <w:t>Okumu MR et al.  ·  Eur J Midwifery  ·  04.09.2026  ·  PMID 42699730</w:t>
      </w:r>
    </w:p>
    <w:p>
      <w:r>
        <w:t>Qualitative Grounded-Theory-Studie mit 12 Interviews zu Gebärfähigen, um zu verstehen, wie Frauen ihre Geburtsversorgung wahrnehmen und interpretieren.</w:t>
      </w:r>
    </w:p>
    <w:p>
      <w:r>
        <w:rPr>
          <w:b/>
        </w:rPr>
        <w:t xml:space="preserve">Ergebnis: </w:t>
      </w:r>
      <w:r>
        <w:t>Sense of Coherence (SoC) als Kernkategorie identifiziert: Negative Erfahrungen korreliert mit niedriger SoC, positive mit hoher SoC. Kontextuelle Faktoren (Verständlichkeit, wahrgenommene Machbarkeit, situative Rahmung) prägen die Wahrnehmung von Geburtssituationen.</w:t>
      </w:r>
    </w:p>
    <w:p>
      <w:r>
        <w:rPr>
          <w:b/>
          <w:sz w:val="19"/>
        </w:rPr>
        <w:t xml:space="preserve">Übertragbarkeit: </w:t>
      </w:r>
      <w:r>
        <w:rPr>
          <w:sz w:val="19"/>
        </w:rPr>
        <w:t>Deutschland: Deutsche Hochschulkliniken, qualitative Versorgungsforschung zur Patientenperspektive</w:t>
      </w:r>
    </w:p>
    <w:p>
      <w:r>
        <w:rPr>
          <w:color w:val="5A7D3A"/>
          <w:sz w:val="18"/>
        </w:rPr>
        <w:t>https://pubmed.ncbi.nlm.nih.gov/42699730/</w:t>
      </w:r>
    </w:p>
    <w:p>
      <w:pPr>
        <w:pStyle w:val="Heading2"/>
      </w:pPr>
      <w:r>
        <w:t>Pflegekräfte-Retention in Europa: Warum ökonomische Evidenz fehlt</w:t>
      </w:r>
    </w:p>
    <w:p>
      <w:r>
        <w:rPr>
          <w:i/>
          <w:color w:val="666666"/>
          <w:sz w:val="18"/>
        </w:rPr>
        <w:t>Maier CB et al.  ·  Lancet Reg Health Eur  ·  25.08.2026  ·  PMID 42699328</w:t>
      </w:r>
    </w:p>
    <w:p>
      <w:r>
        <w:t>Viewpoint zur Evidenzlücke für Kosteffektivität von Pflegekräfte-Retentionsmassnahmen in europäischen Gesundheitssystemen.</w:t>
      </w:r>
    </w:p>
    <w:p>
      <w:r>
        <w:rPr>
          <w:b/>
        </w:rPr>
        <w:t xml:space="preserve">Ergebnis: </w:t>
      </w:r>
      <w:r>
        <w:t>Europäische Länder verfügen im Gegensatz zu Nordamerika und Australien über keine vergleichbaren Kostenangaben für Pflegekräfte-Fluktuation. Turnover-Kosten sind nicht zwischen Systemen übertragbar wegen unterschiedlicher Lohn-, Skill-Mix- und Praxisstrukturen. Europäische Forschungsagenda erforderlich.</w:t>
      </w:r>
    </w:p>
    <w:p>
      <w:r>
        <w:rPr>
          <w:b/>
          <w:sz w:val="19"/>
        </w:rPr>
        <w:t xml:space="preserve">Übertragbarkeit: </w:t>
      </w:r>
      <w:r>
        <w:rPr>
          <w:sz w:val="19"/>
        </w:rPr>
        <w:t>Deutschland, Österreich, Schweiz: Hohe Übertragbarkeit für deutsche Krankenhausversorgung und Personalmanagement</w:t>
      </w:r>
    </w:p>
    <w:p>
      <w:r>
        <w:rPr>
          <w:color w:val="5A7D3A"/>
          <w:sz w:val="18"/>
        </w:rPr>
        <w:t>https://pubmed.ncbi.nlm.nih.gov/42699328/</w:t>
      </w:r>
    </w:p>
    <w:p>
      <w:pPr>
        <w:pStyle w:val="Heading2"/>
      </w:pPr>
      <w:r>
        <w:t>Pharmacy-Reimbursement-Reform und Stufendiagnose in China: Effekt auf Gesundheitsausgaben</w:t>
      </w:r>
    </w:p>
    <w:p>
      <w:r>
        <w:rPr>
          <w:i/>
          <w:color w:val="666666"/>
          <w:sz w:val="18"/>
        </w:rPr>
        <w:t>Zhang K et al.  ·  BMC Health Serv Res  ·  22.08.2026  ·  PMID 42693454</w:t>
      </w:r>
    </w:p>
    <w:p>
      <w:r>
        <w:t>Evaluierung der Auswirkungen der RPOR-Reform (Retail Pharmacies Outpatient Reimbursement) auf Versorgungsverlauf, Inanspruchnahme und Gesamtausgaben mittels Staggered-DID-Analyse.</w:t>
      </w:r>
    </w:p>
    <w:p>
      <w:r>
        <w:rPr>
          <w:b/>
        </w:rPr>
        <w:t xml:space="preserve">Ergebnis: </w:t>
      </w:r>
      <w:r>
        <w:t>RPOR erhöhte Apothekenbesuche (0,119**), Apotheken-Ausgabenanteil (0,439**), verdrängte aber ambulante Primärversorgung (-0,670***) und senkte Gesamtausgaben (-0,490**). Effekte variierten nach Alter, Einkommen und regionalen Ressourcen.</w:t>
      </w:r>
    </w:p>
    <w:p>
      <w:r>
        <w:rPr>
          <w:b/>
          <w:sz w:val="19"/>
        </w:rPr>
        <w:t xml:space="preserve">Übertragbarkeit: </w:t>
      </w:r>
      <w:r>
        <w:rPr>
          <w:sz w:val="19"/>
        </w:rPr>
        <w:t>Bedingt: China-Daten, anderes Sozialversicherungssystem und Ressourcenkontext, aber Fragestellung zu Versorgungssteuerung übertragbar</w:t>
      </w:r>
    </w:p>
    <w:p>
      <w:r>
        <w:rPr>
          <w:color w:val="5A7D3A"/>
          <w:sz w:val="18"/>
        </w:rPr>
        <w:t>https://pubmed.ncbi.nlm.nih.gov/42693454/</w:t>
      </w:r>
    </w:p>
    <w:p>
      <w:pPr>
        <w:pStyle w:val="Heading2"/>
      </w:pPr>
      <w:r>
        <w:t>xPEDition pain: Public-Health-Kampagne zu chronischem Schmerz in Grenzregion</w:t>
      </w:r>
    </w:p>
    <w:p>
      <w:r>
        <w:rPr>
          <w:i/>
          <w:color w:val="666666"/>
          <w:sz w:val="18"/>
        </w:rPr>
        <w:t>Sanina AY et al.  ·  BMJ Open  ·  03.09.2026  ·  PMID 42692519</w:t>
      </w:r>
    </w:p>
    <w:p>
      <w:r>
        <w:t>Quasi-experimentelle Vorher-Nachher-Studie mit Kontrollgruppe zu Wirkung einer grenzüberschreitenden Public-Health-Kampagne (Niederlande/Deutschland vs. Flandern) auf Schmerzwissen und -einstellungen.</w:t>
      </w:r>
    </w:p>
    <w:p>
      <w:r>
        <w:rPr>
          <w:b/>
        </w:rPr>
        <w:t xml:space="preserve">Ergebnis: </w:t>
      </w:r>
      <w:r>
        <w:t>Intervention geplant für 24 Monate in niederländisch-deutscher Ems-Dollart-Region, Kontrollgruppe Flandern. Messungen bei 3.200 Personen pro Welle (Baseline, 2-Jahres-Follow-up) mit Pain Concepts Questionnaire als primärem Outcome. Primäranalyse: Difference-in-Differences.</w:t>
      </w:r>
    </w:p>
    <w:p>
      <w:r>
        <w:rPr>
          <w:b/>
          <w:sz w:val="19"/>
        </w:rPr>
        <w:t xml:space="preserve">Übertragbarkeit: </w:t>
      </w:r>
      <w:r>
        <w:rPr>
          <w:sz w:val="19"/>
        </w:rPr>
        <w:t>Niederlande, Deutschland: Direkt übertragbar auf deutsches Gesundheitssystem, grenzüberschreitend, Versorgungsforschungsmethodik</w:t>
      </w:r>
    </w:p>
    <w:p>
      <w:r>
        <w:rPr>
          <w:color w:val="5A7D3A"/>
          <w:sz w:val="18"/>
        </w:rPr>
        <w:t>https://pubmed.ncbi.nlm.nih.gov/42692519/</w:t>
      </w:r>
    </w:p>
    <w:p>
      <w:pPr>
        <w:pStyle w:val="Heading1"/>
      </w:pPr>
      <w:r>
        <w:t>Aufgenommen am 06.09.2026</w:t>
      </w:r>
    </w:p>
    <w:p>
      <w:pPr>
        <w:pStyle w:val="Heading2"/>
      </w:pPr>
      <w:r>
        <w:t>Sozialer Gradient und Alkoholkonsum bei Mortalität</w:t>
      </w:r>
    </w:p>
    <w:p>
      <w:r>
        <w:rPr>
          <w:i/>
          <w:color w:val="666666"/>
          <w:sz w:val="18"/>
        </w:rPr>
        <w:t>Butovetsky I et al.  ·  Alcohol Clin Exp Res (Hoboken)  ·  Sept. 2026  ·  PMID 42698350</w:t>
      </w:r>
    </w:p>
    <w:p>
      <w:r>
        <w:t>Prospektive Kohortenstudie zu Wechselwirkungen zwischen Sozioökonomie, Alkoholkonsum und Gesamtmortalität an 3771-3939 Teilnehmern (Follow-up bis 2023).</w:t>
      </w:r>
    </w:p>
    <w:p>
      <w:r>
        <w:rPr>
          <w:b/>
        </w:rPr>
        <w:t xml:space="preserve">Ergebnis: </w:t>
      </w:r>
      <w:r>
        <w:t>Niedriges Einkommen (HR 1,31, 95%-KI 1,11–1,56), ehemaliger Alkoholkonsum mit Abstinenz (HR 1,56, 95%-KI 1,27–1,92) und hoher Alkoholkonsum (HR 1,31, 95%-KI 1,03–1,66) waren mit erhöhter Mortalität assoziiert. Interaktionseffekte zwischen Alkoholkonsum und SES nachweisbar.</w:t>
      </w:r>
    </w:p>
    <w:p>
      <w:r>
        <w:rPr>
          <w:b/>
          <w:sz w:val="19"/>
        </w:rPr>
        <w:t xml:space="preserve">Übertragbarkeit: </w:t>
      </w:r>
      <w:r>
        <w:rPr>
          <w:sz w:val="19"/>
        </w:rPr>
        <w:t>Deutsche Routinedaten (SHIP-Kohorte, Pomerania), gesetzlich Versicherte</w:t>
      </w:r>
    </w:p>
    <w:p>
      <w:r>
        <w:rPr>
          <w:color w:val="5A7D3A"/>
          <w:sz w:val="18"/>
        </w:rPr>
        <w:t>https://pubmed.ncbi.nlm.nih.gov/42698350/</w:t>
      </w:r>
    </w:p>
    <w:p>
      <w:pPr>
        <w:pStyle w:val="Heading2"/>
      </w:pPr>
      <w:r>
        <w:t>Sozioökonomische Unterschiede beim Zugang zur Pflegeversicherung in Korea</w:t>
      </w:r>
    </w:p>
    <w:p>
      <w:r>
        <w:rPr>
          <w:i/>
          <w:color w:val="666666"/>
          <w:sz w:val="18"/>
        </w:rPr>
        <w:t>Noh JW et al.  ·  BMC Health Serv Res  ·  06.08.2026  ·  PMID 42698085</w:t>
      </w:r>
    </w:p>
    <w:p>
      <w:r>
        <w:t>Deskriptive Analyse der Aufnahmealter in Koreas Langzeitpflegeversicherung bei 1,07 Mio. Erwachsenen (2008–2022).</w:t>
      </w:r>
    </w:p>
    <w:p>
      <w:r>
        <w:rPr>
          <w:b/>
        </w:rPr>
        <w:t xml:space="preserve">Ergebnis: </w:t>
      </w:r>
      <w:r>
        <w:t>Mittleres Aufnahmealter 79,98 Jahre (Antrag) und 80,95 Jahre (Genehmigung), deutlich über Anspruchsalter 65. Frauen, Personen ohne Behinderungen und mit weniger chronischen Erkrankungen traten später ein; Medical-Aid-Versicherte früher als erwerbstätig Versicherte.</w:t>
      </w:r>
    </w:p>
    <w:p>
      <w:r>
        <w:rPr>
          <w:b/>
          <w:sz w:val="19"/>
        </w:rPr>
        <w:t xml:space="preserve">Übertragbarkeit: </w:t>
      </w:r>
      <w:r>
        <w:rPr>
          <w:sz w:val="19"/>
        </w:rPr>
        <w:t>Nationale Verwaltungsdaten Korea; Struktur unterscheidet sich von deutschem System</w:t>
      </w:r>
    </w:p>
    <w:p>
      <w:r>
        <w:rPr>
          <w:color w:val="5A7D3A"/>
          <w:sz w:val="18"/>
        </w:rPr>
        <w:t>https://pubmed.ncbi.nlm.nih.gov/42698085/</w:t>
      </w:r>
    </w:p>
    <w:p>
      <w:pPr>
        <w:pStyle w:val="Heading2"/>
      </w:pPr>
      <w:r>
        <w:t>Geografische Variation Gabapentinoide und Opioide in US-Pflegeheimen</w:t>
      </w:r>
    </w:p>
    <w:p>
      <w:r>
        <w:rPr>
          <w:i/>
          <w:color w:val="666666"/>
          <w:sz w:val="18"/>
        </w:rPr>
        <w:t>Jung H et al.  ·  J Am Med Dir Assoc  ·  04.09.2026  ·  PMID 42696808</w:t>
      </w:r>
    </w:p>
    <w:p>
      <w:r>
        <w:t>Querschnittstudie zur geografischen Variation der Verschreibung von Gabapentinoiden, Opioiden und deren gleichzeitiger Nutzung bei 232.484 langzeitpflegenden Bewohnern (≥65 Jahre) in 9741 US-Pflegeheimen 2021.</w:t>
      </w:r>
    </w:p>
    <w:p>
      <w:r>
        <w:rPr>
          <w:b/>
        </w:rPr>
        <w:t xml:space="preserve">Ergebnis: </w:t>
      </w:r>
      <w:r>
        <w:t>Prävalenz: Gabapentinoid-Monotherapie 13,4%, Opioid-Monotherapie 9,1%, kombiniert 5,4%. Substantielle geografische Variation, besonders bei Opioid-Monotherapie und Kombination. Bewohnercharakteristika erklärten 61–65% der regionalen Variation, Einrichtungsmerkmale erklärten mehr Gabapentinoid-Variation.</w:t>
      </w:r>
    </w:p>
    <w:p>
      <w:r>
        <w:rPr>
          <w:b/>
          <w:sz w:val="19"/>
        </w:rPr>
        <w:t xml:space="preserve">Übertragbarkeit: </w:t>
      </w:r>
      <w:r>
        <w:rPr>
          <w:sz w:val="19"/>
        </w:rPr>
        <w:t>USA, andere Anreizstrukturen; limitiert übertragbar auf deutsches System</w:t>
      </w:r>
    </w:p>
    <w:p>
      <w:r>
        <w:rPr>
          <w:color w:val="5A7D3A"/>
          <w:sz w:val="18"/>
        </w:rPr>
        <w:t>https://pubmed.ncbi.nlm.nih.gov/42696808/</w:t>
      </w:r>
    </w:p>
    <w:p>
      <w:pPr>
        <w:pStyle w:val="Heading2"/>
      </w:pPr>
      <w:r>
        <w:t>Einsamkeit und Isolation in US-amerikanischen Pflegeheimen</w:t>
      </w:r>
    </w:p>
    <w:p>
      <w:r>
        <w:rPr>
          <w:i/>
          <w:color w:val="666666"/>
          <w:sz w:val="18"/>
        </w:rPr>
        <w:t>Nielsen NN et al.  ·  J Am Med Dir Assoc  ·  04.09.2026  ·  PMID 42696806</w:t>
      </w:r>
    </w:p>
    <w:p>
      <w:r>
        <w:t>Mehrebenen-Analyse zu Variation von Einsamkeit/Isolation unter 732.808 Langzeitbewohnern (≥50 Jahre) in 13.491 US-Pflegeheimen (Okt.–Dez. 2023).</w:t>
      </w:r>
    </w:p>
    <w:p>
      <w:r>
        <w:rPr>
          <w:b/>
        </w:rPr>
        <w:t xml:space="preserve">Ergebnis: </w:t>
      </w:r>
      <w:r>
        <w:t>Prävalenz Einsamkeit/Isolation 20,7%. Variation primär zwischen Einrichtungen (VPC ~35%), nicht Landkreisen (VPC ~2%). Frauen, Personen mit psychischen Erkrankungen/Sinnesstörungen häufiger einsam; ältere, nicht-hispanische Schwarze seltener. Profit-Status, ländlicher Raum, Diversity, mehr Pflegepersonal assoziiert mit geringerer Einsamkeit.</w:t>
      </w:r>
    </w:p>
    <w:p>
      <w:r>
        <w:rPr>
          <w:b/>
          <w:sz w:val="19"/>
        </w:rPr>
        <w:t xml:space="preserve">Übertragbarkeit: </w:t>
      </w:r>
      <w:r>
        <w:rPr>
          <w:sz w:val="19"/>
        </w:rPr>
        <w:t>USA; Fragestellung zu Lebensqualität und Prozessmerkmalen bedingt übertragbar</w:t>
      </w:r>
    </w:p>
    <w:p>
      <w:r>
        <w:rPr>
          <w:color w:val="5A7D3A"/>
          <w:sz w:val="18"/>
        </w:rPr>
        <w:t>https://pubmed.ncbi.nlm.nih.gov/42696806/</w:t>
      </w:r>
    </w:p>
    <w:p>
      <w:pPr>
        <w:pStyle w:val="Heading2"/>
      </w:pPr>
      <w:r>
        <w:t>Kontextualisierung der Versorgung bei fortgeschrittenem Lungenkrebs</w:t>
      </w:r>
    </w:p>
    <w:p>
      <w:r>
        <w:rPr>
          <w:i/>
          <w:color w:val="666666"/>
          <w:sz w:val="18"/>
        </w:rPr>
        <w:t>Ruud MM et al.  ·  Patient Educ Couns  ·  31.08.2026  ·  PMID 42696805</w:t>
      </w:r>
    </w:p>
    <w:p>
      <w:r>
        <w:t>Explorative Beobachtungsstudie zur Aufmerksamkeit gegenüber Patientenkontext in Behandlungsgesprächen bei 17 Arzt-Patient-Konsultationen in Norwegen.</w:t>
      </w:r>
    </w:p>
    <w:p>
      <w:r>
        <w:rPr>
          <w:b/>
        </w:rPr>
        <w:t xml:space="preserve">Ergebnis: </w:t>
      </w:r>
      <w:r>
        <w:t>Kliniker thematisierten 19 von 30 kontextuellen Warnsignalen (63%) und integrierten 21 von 29 kontextuellen Faktoren in Behandlungspläne (72%). Häufigste Domänen: Fähigkeiten/Wissen (10), Versorgungszugang (4), soziale Unterstützung (4).</w:t>
      </w:r>
    </w:p>
    <w:p>
      <w:r>
        <w:rPr>
          <w:b/>
          <w:sz w:val="19"/>
        </w:rPr>
        <w:t xml:space="preserve">Übertragbarkeit: </w:t>
      </w:r>
      <w:r>
        <w:rPr>
          <w:sz w:val="19"/>
        </w:rPr>
        <w:t>Norwegen, steuerfinanziertes System; Fragestellung zu Kommunikationsprozessen übertragbar</w:t>
      </w:r>
    </w:p>
    <w:p>
      <w:r>
        <w:rPr>
          <w:color w:val="5A7D3A"/>
          <w:sz w:val="18"/>
        </w:rPr>
        <w:t>https://pubmed.ncbi.nlm.nih.gov/42696805/</w:t>
      </w:r>
    </w:p>
    <w:p>
      <w:pPr>
        <w:pStyle w:val="Heading2"/>
      </w:pPr>
      <w:r>
        <w:t>Shared Decision-Making bei Multimorbidität und niedriger Health Literacy</w:t>
      </w:r>
    </w:p>
    <w:p>
      <w:r>
        <w:rPr>
          <w:i/>
          <w:color w:val="666666"/>
          <w:sz w:val="18"/>
        </w:rPr>
        <w:t>Vriese L et al.  ·  J Gen Intern Med  ·  03.09.2026  ·  PMID 42696204</w:t>
      </w:r>
    </w:p>
    <w:p>
      <w:r>
        <w:t>Konsensustext zur Bedeutung von Werteklärung (Values Clarification) im Shared Decision-Making für Patienten mit Multimorbidität und begrenzter Gesundheitskompetenz.</w:t>
      </w:r>
    </w:p>
    <w:p>
      <w:r>
        <w:rPr>
          <w:b/>
        </w:rPr>
        <w:t xml:space="preserve">Ergebnis: </w:t>
      </w:r>
      <w:r>
        <w:t>Werteklärung ist Schlüsselkomponente von SDM, wird aber untergenutzt – besonders bei schwieriger Kommunikation. Patienten mit Multimorbidität und niedriger Health Literacy benötigen dialogorientierte (nicht nur formale Werkzeug-)Ansätze; gezielte Schulung von Fachpersonen nötig.</w:t>
      </w:r>
    </w:p>
    <w:p>
      <w:r>
        <w:rPr>
          <w:b/>
          <w:sz w:val="19"/>
        </w:rPr>
        <w:t xml:space="preserve">Übertragbarkeit: </w:t>
      </w:r>
      <w:r>
        <w:rPr>
          <w:sz w:val="19"/>
        </w:rPr>
        <w:t>Niederlande (Autoren/CAPHRI Maastricht), vergleichbares Sozialversicherungssystem</w:t>
      </w:r>
    </w:p>
    <w:p>
      <w:r>
        <w:rPr>
          <w:color w:val="5A7D3A"/>
          <w:sz w:val="18"/>
        </w:rPr>
        <w:t>https://pubmed.ncbi.nlm.nih.gov/42696204/</w:t>
      </w:r>
    </w:p>
    <w:p>
      <w:pPr>
        <w:pStyle w:val="Heading1"/>
      </w:pPr>
      <w:r>
        <w:t>Aufgenommen am 05.09.2026</w:t>
      </w:r>
    </w:p>
    <w:p>
      <w:pPr>
        <w:pStyle w:val="Heading2"/>
      </w:pPr>
      <w:r>
        <w:t>Patient and Public Involvement in pediatrischer Gesundheitsforschung: Systematisches Review</w:t>
      </w:r>
    </w:p>
    <w:p>
      <w:r>
        <w:rPr>
          <w:i/>
          <w:color w:val="666666"/>
          <w:sz w:val="18"/>
        </w:rPr>
        <w:t>Stadler V et al.  ·  Health Expect  ·  Okt. 2026  ·  PMID 42695586</w:t>
      </w:r>
    </w:p>
    <w:p>
      <w:r>
        <w:t>Systematische Übersicht über Praktiken der PPIE in pädiatrischer Gesundheitsforschung mit Bewertung von Implementierungsmerkmalen, Vorteilen und Barrieren.</w:t>
      </w:r>
    </w:p>
    <w:p>
      <w:r>
        <w:rPr>
          <w:b/>
        </w:rPr>
        <w:t xml:space="preserve">Ergebnis: </w:t>
      </w:r>
      <w:r>
        <w:t>Von 1.910 identifizierten Referenzen wurden 37 Studien eingeschlossen. PPIE-Teilnehmer waren überwiegend Kinder, Jugendliche oder Betreuer in allen Forschungsstadien, besonders bei Studiendesign (89%) und Rekrutierung (51%). Positive Effekte: verbesserte Rekrutierungs- und Retentionsraten. Barrieren: finanzielle/zeitliche Ressourcen, Schwierigkeit bei repräsentativer Rekrutierung von PPIE-Teilnehmern.</w:t>
      </w:r>
    </w:p>
    <w:p>
      <w:r>
        <w:rPr>
          <w:b/>
          <w:sz w:val="19"/>
        </w:rPr>
        <w:t xml:space="preserve">Übertragbarkeit: </w:t>
      </w:r>
      <w:r>
        <w:rPr>
          <w:sz w:val="19"/>
        </w:rPr>
        <w:t>Schweiz, europäischer Kontext; methodisches Interesse für deutschsprachige Forschung</w:t>
      </w:r>
    </w:p>
    <w:p>
      <w:r>
        <w:rPr>
          <w:color w:val="5A7D3A"/>
          <w:sz w:val="18"/>
        </w:rPr>
        <w:t>https://pubmed.ncbi.nlm.nih.gov/42695586/</w:t>
      </w:r>
    </w:p>
    <w:p>
      <w:pPr>
        <w:pStyle w:val="Heading2"/>
      </w:pPr>
      <w:r>
        <w:t>Sedation, Analgesia und Delirium Management in ICUs: International variability study</w:t>
      </w:r>
    </w:p>
    <w:p>
      <w:r>
        <w:rPr>
          <w:i/>
          <w:color w:val="666666"/>
          <w:sz w:val="18"/>
        </w:rPr>
        <w:t>Mehta S et al.  ·  Crit Care Explor  ·  01.09.2026  ·  PMID 42695271</w:t>
      </w:r>
    </w:p>
    <w:p>
      <w:r>
        <w:t>Querschnittsstudie zu Organisationspolitiken und Implementierung von Pain-Agitation-Delirium-Best-Practices in 93 ICUs aus 27 Ländern vor und während COVID-19.</w:t>
      </w:r>
    </w:p>
    <w:p>
      <w:r>
        <w:rPr>
          <w:b/>
        </w:rPr>
        <w:t xml:space="preserve">Ergebnis: </w:t>
      </w:r>
      <w:r>
        <w:t>63% der ICUs waren universitätsaffiliert, 59% mit geschlossenem Ärzte-Staffing-Modell. Über 75% nutzten validierte PAD-Skalen (Richmond: 86%, CAM-ICU: 59%). Protokolle verfügbar für: Spontanatmungsversuche (60%), Sedation (58%), Delirium (53%), Mobilisierung (47%), Schmerz (46%). Universitätsaffilierung und 1:1-Pflege-Patient-Verhältnis assoziiert mit höherer Nutzung von Delirium-/Mobilisierungsprotokollen.</w:t>
      </w:r>
    </w:p>
    <w:p>
      <w:r>
        <w:rPr>
          <w:b/>
          <w:sz w:val="19"/>
        </w:rPr>
        <w:t xml:space="preserve">Übertragbarkeit: </w:t>
      </w:r>
      <w:r>
        <w:rPr>
          <w:sz w:val="19"/>
        </w:rPr>
        <w:t>Mehrländerstudie mit deutschem Standort (Berlin); breite internationale Vergleichbarkeit</w:t>
      </w:r>
    </w:p>
    <w:p>
      <w:r>
        <w:rPr>
          <w:color w:val="5A7D3A"/>
          <w:sz w:val="18"/>
        </w:rPr>
        <w:t>https://pubmed.ncbi.nlm.nih.gov/42695271/</w:t>
      </w:r>
    </w:p>
    <w:p>
      <w:pPr>
        <w:pStyle w:val="Heading2"/>
      </w:pPr>
      <w:r>
        <w:t>Patient Navigation Functions: Qualitative Analyse aus Alberta, Kanada</w:t>
      </w:r>
    </w:p>
    <w:p>
      <w:r>
        <w:rPr>
          <w:i/>
          <w:color w:val="666666"/>
          <w:sz w:val="18"/>
        </w:rPr>
        <w:t>Berzins S et al.  ·  Health Serv Insights  ·  02.09.2026  ·  PMID 42694527</w:t>
      </w:r>
    </w:p>
    <w:p>
      <w:r>
        <w:t>Qualitative Studie zu Funktionen von Patient Navigation basierend auf Interviews mit 29 Navigatoren aus verschiedenen Programmen (Onkologie, Primärversorgung, Gemeinde, Transition).</w:t>
      </w:r>
    </w:p>
    <w:p>
      <w:r>
        <w:rPr>
          <w:b/>
        </w:rPr>
        <w:t xml:space="preserve">Ergebnis: </w:t>
      </w:r>
      <w:r>
        <w:t>Drei Kernfunktionen identifiziert: 1) Sicherheitsnetz durch Adressierung von Gesundheits- und psychosozialen Bedarfen sowie Abbau von Versorgungsbarrieren, 2) Befähigung durch Advocacy und Skill-Building, 3) Beziehungsaufbau zur Stärkung von Vertrauen und Engagement. Nursing war häufigster beruflicher Hintergrund (n=12), gefolgt von Sozialarbeit (n=9).</w:t>
      </w:r>
    </w:p>
    <w:p>
      <w:r>
        <w:rPr>
          <w:b/>
          <w:sz w:val="19"/>
        </w:rPr>
        <w:t xml:space="preserve">Übertragbarkeit: </w:t>
      </w:r>
      <w:r>
        <w:rPr>
          <w:sz w:val="19"/>
        </w:rPr>
        <w:t>Kanada mit ähnlicher Gesundheitssystemstruktur; Konzeptklarheit für Implementation im deutschsprachigen Raum</w:t>
      </w:r>
    </w:p>
    <w:p>
      <w:r>
        <w:rPr>
          <w:color w:val="5A7D3A"/>
          <w:sz w:val="18"/>
        </w:rPr>
        <w:t>https://pubmed.ncbi.nlm.nih.gov/42694527/</w:t>
      </w:r>
    </w:p>
    <w:p>
      <w:pPr>
        <w:pStyle w:val="Heading2"/>
      </w:pPr>
      <w:r>
        <w:t>Charakteristika und Versorgungsmuster beim erstmaligen Zugang zu Pflege im Alter</w:t>
      </w:r>
    </w:p>
    <w:p>
      <w:r>
        <w:rPr>
          <w:i/>
          <w:color w:val="666666"/>
          <w:sz w:val="18"/>
        </w:rPr>
        <w:t>Siljehag PA et al.  ·  BMC Health Serv Res  ·  02.09.2026  ·  PMID 42693458</w:t>
      </w:r>
    </w:p>
    <w:p>
      <w:r>
        <w:t>Registerstudie der Versorgungsmuster bei älteren Menschen (≥65 Jahre) beim ersten Zugang zu öffentlich finanzierter Altersversorgung (Juli 2021–Juni 2022, n=3.649).</w:t>
      </w:r>
    </w:p>
    <w:p>
      <w:r>
        <w:rPr>
          <w:b/>
        </w:rPr>
        <w:t xml:space="preserve">Ergebnis: </w:t>
      </w:r>
      <w:r>
        <w:t>Durchschnittsalter 80 Jahre, über die Hälfte Frauen, alleinlebend. Ein Viertel mit ausgedehnten funktionalen Einschränkungen. Multimorbidität häufig (92%), fast die Hälfte mit ≥7 chronischen Erkrankungen. Psychiatrische Komorbiditäten in 15% der Fälle. Primärversorgung in 80% vorausgegangen. Häusliche Pflege in 95%. Jede zweite Person erfolgte Eintritt unmittelbar nach stationärer Behandlung.</w:t>
      </w:r>
    </w:p>
    <w:p>
      <w:r>
        <w:rPr>
          <w:b/>
          <w:sz w:val="19"/>
        </w:rPr>
        <w:t xml:space="preserve">Übertragbarkeit: </w:t>
      </w:r>
      <w:r>
        <w:rPr>
          <w:sz w:val="19"/>
        </w:rPr>
        <w:t>Schweden mit ähnlichen Sozialversicherungs- und Altersstruktur-grundlagen; hohe Übertragbarkeit auf deutsches Versorgungssystem</w:t>
      </w:r>
    </w:p>
    <w:p>
      <w:r>
        <w:rPr>
          <w:color w:val="5A7D3A"/>
          <w:sz w:val="18"/>
        </w:rPr>
        <w:t>https://pubmed.ncbi.nlm.nih.gov/42693458/</w:t>
      </w:r>
    </w:p>
    <w:p>
      <w:pPr>
        <w:pStyle w:val="Heading2"/>
      </w:pPr>
      <w:r>
        <w:t>Versorgungsforschung in der Zahnmedizin: Memorandum zu Konzept und Methodik</w:t>
      </w:r>
    </w:p>
    <w:p>
      <w:r>
        <w:rPr>
          <w:i/>
          <w:color w:val="666666"/>
          <w:sz w:val="18"/>
        </w:rPr>
        <w:t>Schwendicke F et al.  ·  Gesundheitswesen  ·  03.09.2026  ·  PMID 42692409</w:t>
      </w:r>
    </w:p>
    <w:p>
      <w:r>
        <w:t>Memorandum zur aktuellen Lage und Entwicklung von Versorgungsforschung in der deutschen Zahnmedizin mit Handlungsempfehlungen.</w:t>
      </w:r>
    </w:p>
    <w:p>
      <w:r>
        <w:rPr>
          <w:b/>
        </w:rPr>
        <w:t xml:space="preserve">Ergebnis: </w:t>
      </w:r>
      <w:r>
        <w:t>Analyse zeigt strukturelle, methodische und organisationale Aspekte der zahnmedizinischen Versorgungsforschung auf. Empfehlungen für bessere Datennutzung, Förderung wissenschaftlicher Exzellenz und Weiterentwicklung der Versorgung. Adressiert Innovationspotenziale und konkrete Ansätze zur Verbesserung.</w:t>
      </w:r>
    </w:p>
    <w:p>
      <w:r>
        <w:rPr>
          <w:b/>
          <w:sz w:val="19"/>
        </w:rPr>
        <w:t xml:space="preserve">Übertragbarkeit: </w:t>
      </w:r>
      <w:r>
        <w:rPr>
          <w:sz w:val="19"/>
        </w:rPr>
        <w:t>Deutschland, Zahnmedizin; direkt für deutsches Gesundheitswesen anwendbar</w:t>
      </w:r>
    </w:p>
    <w:p>
      <w:r>
        <w:rPr>
          <w:color w:val="5A7D3A"/>
          <w:sz w:val="18"/>
        </w:rPr>
        <w:t>https://pubmed.ncbi.nlm.nih.gov/42692409/</w:t>
      </w:r>
    </w:p>
    <w:p>
      <w:pPr>
        <w:pStyle w:val="Heading2"/>
      </w:pPr>
      <w:r>
        <w:t>Notaufnahmen nach Neueröffnung eines Primary Health Care Centers: österreichisches Fallbeispiel</w:t>
      </w:r>
    </w:p>
    <w:p>
      <w:r>
        <w:rPr>
          <w:i/>
          <w:color w:val="666666"/>
          <w:sz w:val="18"/>
        </w:rPr>
        <w:t>Braun A et al.  ·  Health Policy  ·  28.08.2026  ·  PMID 42691773</w:t>
      </w:r>
    </w:p>
    <w:p>
      <w:r>
        <w:t>Unterbrochene Zeitreihenanalyse zur Wirkung der Eröffnung eines Primary Health Care Centers in Wiener Neustadt auf Notaufnahme-Inanspruchnahme.</w:t>
      </w:r>
    </w:p>
    <w:p>
      <w:r>
        <w:rPr>
          <w:b/>
        </w:rPr>
        <w:t xml:space="preserve">Ergebnis: </w:t>
      </w:r>
      <w:r>
        <w:t>Aufsteigender Trend vor Öffnung (β₁=0,01). Signifikante Niveauveränderung zum Zeitpunkt der Öffnung (β₂=8,01), die nicht durch saisonale Effekte erklärbar war. Nach Öffnung reversierter Trend (β₃=-0,03). Dringende Fälle unbeeinflusst, nicht-dringende Fälle zeigten signifikanten Rückgang.</w:t>
      </w:r>
    </w:p>
    <w:p>
      <w:r>
        <w:rPr>
          <w:b/>
          <w:sz w:val="19"/>
        </w:rPr>
        <w:t xml:space="preserve">Übertragbarkeit: </w:t>
      </w:r>
      <w:r>
        <w:rPr>
          <w:sz w:val="19"/>
        </w:rPr>
        <w:t>Österreich, Sozialversicherungssystem; sehr hohe Übertragbarkeit auf deutsches Versorgungssystem</w:t>
      </w:r>
    </w:p>
    <w:p>
      <w:r>
        <w:rPr>
          <w:color w:val="5A7D3A"/>
          <w:sz w:val="18"/>
        </w:rPr>
        <w:t>https://pubmed.ncbi.nlm.nih.gov/42691773/</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2026-10-13T06:00:00Z</dcterms:created>
  <dcterms:modified xsi:type="dcterms:W3CDTF">2026-10-13T06:00:00Z</dcterms:modified>
  <cp:category/>
</cp:coreProperties>
</file>