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02.09.2026  |  6 Studien  |  wissen.m-vf.de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Das oregis-IVOM-Register: Systematische Real-World-Datenerfassung zur IVOM-Versorgung in Deutschland</w:t>
      </w:r>
    </w:p>
    <w:p>
      <w:r>
        <w:rPr>
          <w:i/>
          <w:color w:val="666666"/>
          <w:sz w:val="18"/>
        </w:rPr>
        <w:t>Piszár I et al.  ·  Ophthalmologie  ·  01.09.2026  ·  PMID 42678546</w:t>
      </w:r>
    </w:p>
    <w:p>
      <w:r>
        <w:t>Prospektive Registerstudie zur systematischen Erfassung von Daten zu Intravitrealen Operativen Medikamenteneingaben (IVOM) bei Makulaerkrankungen im klinischen Alltag in Deutschland.</w:t>
      </w:r>
    </w:p>
    <w:p>
      <w:r>
        <w:rPr>
          <w:b/>
        </w:rPr>
        <w:t xml:space="preserve">Ergebnis: </w:t>
      </w:r>
      <w:r>
        <w:t>Das Register erfasst erstmals national standardisierte Real-World-Daten zu IVOM-Therapieverläufen bei nAMD, DMÖ, RVV und CNV und schließt eine wichtige Wissenslücke in der deutschen IVOM-Versorgungsforschung durch prospektive Datenerfassung mittels REDCap-Datenbank.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prospektive Real-World-Daten, nationale Registerstudie zu Versorgungsrealität</w:t>
      </w:r>
    </w:p>
    <w:p>
      <w:r>
        <w:rPr>
          <w:color w:val="5A7D3A"/>
          <w:sz w:val="18"/>
        </w:rPr>
        <w:t>https://pubmed.ncbi.nlm.nih.gov/42678546/</w:t>
      </w:r>
    </w:p>
    <w:p>
      <w:pPr>
        <w:pStyle w:val="Heading2"/>
      </w:pPr>
      <w:r>
        <w:t>Pharmacogenetic-Drug-Dispensing bei kardiovaskulären Erkrankungen in der Nördlichen Niederlande</w:t>
      </w:r>
    </w:p>
    <w:p>
      <w:r>
        <w:rPr>
          <w:i/>
          <w:color w:val="666666"/>
          <w:sz w:val="18"/>
        </w:rPr>
        <w:t>Zhang Z et al.  ·  Clin Pharmacol Ther  ·  01.09.2026  ·  PMID 42677489</w:t>
      </w:r>
    </w:p>
    <w:p>
      <w:r>
        <w:t>Serienquerschnittstudie zur Prävalenz und jährlichen Initiierungsrate von Arzneimitteln mit pharmakokinetischen Gen-Wechselwirkungen bei erwachsenen Patienten mit Herz-Kreislauf-Erkrankungen.</w:t>
      </w:r>
    </w:p>
    <w:p>
      <w:r>
        <w:rPr>
          <w:b/>
        </w:rPr>
        <w:t xml:space="preserve">Ergebnis: </w:t>
      </w:r>
      <w:r>
        <w:t>Die Prävalenz mindestens eines Pharmacogenetic-Drugs lag bei ~90 % und mehrerer bei ~68 %, stabil über 5 Jahre (2019–2023). CYP2C19-, CYP2D6- und SLCO1B1-assoziierte Arzneimittel bei 60 %, 53 % bzw. 51 % der Patienten; 24–66 % hätten Möglichkeiten zur Wiederverwendung von Testergebnissen.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Sozialversicherungssystem, vergleichbare Versorgungsstruktur mit Deutschland</w:t>
      </w:r>
    </w:p>
    <w:p>
      <w:r>
        <w:rPr>
          <w:color w:val="5A7D3A"/>
          <w:sz w:val="18"/>
        </w:rPr>
        <w:t>https://pubmed.ncbi.nlm.nih.gov/42677489/</w:t>
      </w:r>
    </w:p>
    <w:p>
      <w:pPr>
        <w:pStyle w:val="Heading2"/>
      </w:pPr>
      <w:r>
        <w:t>Familienperspektive auf multidisziplinäre Nachbarschaftsteams für Kinder im UK: Qualitative Akzeptanzanalyse</w:t>
      </w:r>
    </w:p>
    <w:p>
      <w:r>
        <w:rPr>
          <w:i/>
          <w:color w:val="666666"/>
          <w:sz w:val="18"/>
        </w:rPr>
        <w:t>Litchfield I et al.  ·  Front Pediatr  ·  17.08.2026  ·  PMID 42676754</w:t>
      </w:r>
    </w:p>
    <w:p>
      <w:r>
        <w:t>Qualitative Fokusgruppenstudie zur Akzeptabilität eines frühen Beispiels von Neighbourhood Multidisciplinary Teams (NMDT) für Kinder und Jugendliche in Birmingham.</w:t>
      </w:r>
    </w:p>
    <w:p>
      <w:r>
        <w:rPr>
          <w:b/>
        </w:rPr>
        <w:t xml:space="preserve">Ergebnis: </w:t>
      </w:r>
      <w:r>
        <w:t>8 Eltern berichteten starke Zustimmung zu kollokaler Multidisziplinarität gegenüber Regelversorgung; wichtig waren lokale Erreichbarkeit, personalisierte Beziehungen und erweiterte Konsultationszeiten (Burden, Cultural sensitivity, Perceived effectiveness); Unsicherheiten zur genauen Organisationszugehörigkeit.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steuerfinanziert, qualitative Erkenntnisse zu integrierter Versorgung prinzipiell übertragbar</w:t>
      </w:r>
    </w:p>
    <w:p>
      <w:r>
        <w:rPr>
          <w:color w:val="5A7D3A"/>
          <w:sz w:val="18"/>
        </w:rPr>
        <w:t>https://pubmed.ncbi.nlm.nih.gov/42676754/</w:t>
      </w:r>
    </w:p>
    <w:p>
      <w:pPr>
        <w:pStyle w:val="Heading2"/>
      </w:pPr>
      <w:r>
        <w:t>Lean-basiertes Digital-Twin-Modell für Krankenhausnetzwerk-Planung</w:t>
      </w:r>
    </w:p>
    <w:p>
      <w:r>
        <w:rPr>
          <w:i/>
          <w:color w:val="666666"/>
          <w:sz w:val="18"/>
        </w:rPr>
        <w:t>Salabert Carreras J et al.  ·  BMC Health Serv Res  ·  12.08.2026  ·  PMID 42675496</w:t>
      </w:r>
    </w:p>
    <w:p>
      <w:r>
        <w:t>Aktionsforschung zur Entwicklung eines konzeptionellen Digital-Twin-Modells, das Lean-Prinzipien mit Versorgungsplanung auf Netzwerk-Ebene in Krankenhaussystemen verbindet.</w:t>
      </w:r>
    </w:p>
    <w:p>
      <w:r>
        <w:rPr>
          <w:b/>
        </w:rPr>
        <w:t xml:space="preserve">Ergebnis: </w:t>
      </w:r>
      <w:r>
        <w:t>Vier-Schicht-Architektur mit Standardisierung von Kernelementen (Nachfrage, Aktivität, Kapazität, Performance), Szenarien-Analyse für taktische Verträge und Bottleneck-Erkennung; Expert-Review mit CEOs und Medical Directors (&gt;20 Jahre Erfahrung) validierte Strukturintegrität.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multinationale Strukturprinzipien; Design-Architektur prinzipiell auf deutsches Netzwerk-Management übertragbar</w:t>
      </w:r>
    </w:p>
    <w:p>
      <w:r>
        <w:rPr>
          <w:color w:val="5A7D3A"/>
          <w:sz w:val="18"/>
        </w:rPr>
        <w:t>https://pubmed.ncbi.nlm.nih.gov/42675496/</w:t>
      </w:r>
    </w:p>
    <w:p>
      <w:pPr>
        <w:pStyle w:val="Heading2"/>
      </w:pPr>
      <w:r>
        <w:t>Patient Journey Map für diabetische Retinopathie: Synthese qualitativer Evidenz</w:t>
      </w:r>
    </w:p>
    <w:p>
      <w:r>
        <w:rPr>
          <w:i/>
          <w:color w:val="666666"/>
          <w:sz w:val="18"/>
        </w:rPr>
        <w:t>Wang N et al.  ·  BMC Health Serv Res  ·  28.08.2026  ·  PMID 42675492</w:t>
      </w:r>
    </w:p>
    <w:p>
      <w:r>
        <w:t>Zweigeteilte qualitative Evidenzsynthese (narrative Literaturübersicht mit systematischem Suchschema + 13 Semi-strukturierte Interviews mit DR-Patienten) zur Entwicklung einer integrierten Patient Journey Map.</w:t>
      </w:r>
    </w:p>
    <w:p>
      <w:r>
        <w:rPr>
          <w:b/>
        </w:rPr>
        <w:t xml:space="preserve">Ergebnis: </w:t>
      </w:r>
      <w:r>
        <w:t>25 Studien und 13 Interviews bildeten Phasen-Framework (Screening, perioperativ, Post-Akut-Versorgung); Patient Journey Map zeigt Erfahrungen, Emotionen und Bedarfe über den Versorgungsverlauf; etabliert theoretische Grundlage für individualisierte Diabetesbetreuung.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(Stichprobe), qualitatives Design systemunabhängig zur Abbildung von Patientenerleben relevant</w:t>
      </w:r>
    </w:p>
    <w:p>
      <w:r>
        <w:rPr>
          <w:color w:val="5A7D3A"/>
          <w:sz w:val="18"/>
        </w:rPr>
        <w:t>https://pubmed.ncbi.nlm.nih.gov/42675492/</w:t>
      </w:r>
    </w:p>
    <w:p>
      <w:pPr>
        <w:pStyle w:val="Heading2"/>
      </w:pPr>
      <w:r>
        <w:t>Scale-up-Frameworks: Systemische Analyse von Treibern und Rückkopplungsschleifen</w:t>
      </w:r>
    </w:p>
    <w:p>
      <w:r>
        <w:rPr>
          <w:i/>
          <w:color w:val="666666"/>
          <w:sz w:val="18"/>
        </w:rPr>
        <w:t>Hooley C et al.  ·  BMC Health Serv Res  ·  24.07.2026  ·  PMID 42675488</w:t>
      </w:r>
    </w:p>
    <w:p>
      <w:r>
        <w:t>Scoping Review mit Systemdenken-Synthese zur Konsolidierung von Scale-up-Determinanten aus 40 ausgewählten Artikeln und Erstellung eines Causal-Loop-Diagrams.</w:t>
      </w:r>
    </w:p>
    <w:p>
      <w:r>
        <w:rPr>
          <w:b/>
        </w:rPr>
        <w:t xml:space="preserve">Ergebnis: </w:t>
      </w:r>
      <w:r>
        <w:t>1053 ursprüngliche Determinanten reduziert auf 25 Modell-Variablen; 6 verstärkende und 3 ausgleichende Rückkopplungsschleifen identifiziert; Motivation, Kapazität, Enabling Environment und Alignment als prominenteste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Konzeptuelle Rahmensynthese systemunabhängig für Scale-up-Prozesse im Gesundheitswesen relevant</w:t>
      </w:r>
    </w:p>
    <w:p>
      <w:r>
        <w:rPr>
          <w:color w:val="5A7D3A"/>
          <w:sz w:val="18"/>
        </w:rPr>
        <w:t>https://pubmed.ncbi.nlm.nih.gov/42675488/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2026-09-02T06:00:00Z</dcterms:created>
  <dcterms:modified xsi:type="dcterms:W3CDTF">2026-09-02T06:00:00Z</dcterms:modified>
  <cp:category/>
</cp:coreProperties>
</file>