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Versorgungsforschung</w:t>
      </w:r>
    </w:p>
    <w:p>
      <w:r>
        <w:rPr>
          <w:i/>
          <w:color w:val="666666"/>
          <w:sz w:val="18"/>
        </w:rPr>
        <w:t>Stand: 08.09.2026  |  6 Studien  |  wissen.m-vf.de</w:t>
      </w:r>
    </w:p>
    <w:p>
      <w:pPr>
        <w:pStyle w:val="Heading1"/>
      </w:pPr>
      <w:r>
        <w:t>Aufgenommen am 08.09.2026</w:t>
      </w:r>
    </w:p>
    <w:p>
      <w:pPr>
        <w:pStyle w:val="Heading2"/>
      </w:pPr>
      <w:r>
        <w:t>Patientensicht auf Zahnbehandlungsqualität: qualitative Systematik-Übersicht</w:t>
      </w:r>
    </w:p>
    <w:p>
      <w:r>
        <w:rPr>
          <w:i/>
          <w:color w:val="666666"/>
          <w:sz w:val="18"/>
        </w:rPr>
        <w:t>Tay AHC et al.  ·  J Dent Res  ·  07.09.2026  ·  PMID 42703647</w:t>
      </w:r>
    </w:p>
    <w:p>
      <w:r>
        <w:t>Systematische qualitative Analyse von 36 Studien zur Patientenwahrnehmung von Qualität in der Zahnversorgung.</w:t>
      </w:r>
    </w:p>
    <w:p>
      <w:r>
        <w:rPr>
          <w:b/>
        </w:rPr>
        <w:t xml:space="preserve">Ergebnis: </w:t>
      </w:r>
      <w:r>
        <w:t>Vier Kernthemen: (1) strukturelle Bedingungen für Vertrauen, (2) Sicherheit durch erlebte Kompetenz, (3) zwischenmenschliche Pflege als Qualitätsfundament (Respekt, Empathie, Kommunikation, Shared Decision Making), (4) kontinuierliche Beziehung als patientenrelevantes Ergebnis. Patienten deuten relationale und emotionale Aspekte als Indikatoren der Systemorientierung.</w:t>
      </w:r>
    </w:p>
    <w:p>
      <w:r>
        <w:rPr>
          <w:b/>
          <w:sz w:val="19"/>
        </w:rPr>
        <w:t xml:space="preserve">Übertragbarkeit: </w:t>
      </w:r>
      <w:r>
        <w:rPr>
          <w:sz w:val="19"/>
        </w:rPr>
        <w:t>Diverse Populationen international, Thematik der Patientenzentralität systemunabhängig übertragbar.</w:t>
      </w:r>
    </w:p>
    <w:p>
      <w:r>
        <w:rPr>
          <w:color w:val="5A7D3A"/>
          <w:sz w:val="18"/>
        </w:rPr>
        <w:t>https://pubmed.ncbi.nlm.nih.gov/42703647/</w:t>
      </w:r>
    </w:p>
    <w:p>
      <w:pPr>
        <w:pStyle w:val="Heading2"/>
      </w:pPr>
      <w:r>
        <w:t>Regionale Disparitäten bei Lebendnierenverpflanzungen in Australien und Neuseeland</w:t>
      </w:r>
    </w:p>
    <w:p>
      <w:r>
        <w:rPr>
          <w:i/>
          <w:color w:val="666666"/>
          <w:sz w:val="18"/>
        </w:rPr>
        <w:t>McMichael LC et al.  ·  Am J Transplant  ·  03.09.2026  ·  PMID 42692200</w:t>
      </w:r>
    </w:p>
    <w:p>
      <w:r>
        <w:t>Analyse der ANZORGG-Registry (Australien, Neuseeland) zu regionalen Unterschieden bei Zugang zu Lebendnierenverpflanzung.</w:t>
      </w:r>
    </w:p>
    <w:p>
      <w:r>
        <w:rPr>
          <w:b/>
        </w:rPr>
        <w:t xml:space="preserve">Ergebnis: </w:t>
      </w:r>
      <w:r>
        <w:t>Standardisierte Quote lebender Nierenverpflanzungen variierte zwischen 0,36 und 2,11 über 21 Netzwerke (n=53.313 Patienten 2002–2022). Von 21 Netzwerken lagen 4 (19%) unter Erwartung. Faktoren: direkte Transplantationsaffiliation des Behandlungszentrums, nicht-metropolitane Residenz und zeitnahe nephrologische Vorstellung assoziiert mit erhöhtem Lebendspender-Transplantationsrisiko.</w:t>
      </w:r>
    </w:p>
    <w:p>
      <w:r>
        <w:rPr>
          <w:b/>
          <w:sz w:val="19"/>
        </w:rPr>
        <w:t xml:space="preserve">Übertragbarkeit: </w:t>
      </w:r>
      <w:r>
        <w:rPr>
          <w:sz w:val="19"/>
        </w:rPr>
        <w:t>Australien/Neuseeland, Fragestellung zu regionalen Versorgungsungleichheiten in spezialisierten Leistungen übertragbar auf Deutschland.</w:t>
      </w:r>
    </w:p>
    <w:p>
      <w:r>
        <w:rPr>
          <w:color w:val="5A7D3A"/>
          <w:sz w:val="18"/>
        </w:rPr>
        <w:t>https://pubmed.ncbi.nlm.nih.gov/42692200/</w:t>
      </w:r>
    </w:p>
    <w:p>
      <w:pPr>
        <w:pStyle w:val="Heading2"/>
      </w:pPr>
      <w:r>
        <w:t>Private Krankenversicherung und Prävention in Australien: Längsschnittstudie</w:t>
      </w:r>
    </w:p>
    <w:p>
      <w:r>
        <w:rPr>
          <w:i/>
          <w:color w:val="666666"/>
          <w:sz w:val="18"/>
        </w:rPr>
        <w:t>Nguyen CM et al.  ·  Public Health  ·  03.09.2026  ·  PMID 42691737</w:t>
      </w:r>
    </w:p>
    <w:p>
      <w:r>
        <w:t>Längsschnittstudie an 9.674 australischen Erwachsenen (2009–2017) zur Assoziation zwischen privater Krankenversicherung und Nutzung von Präventivleistungen.</w:t>
      </w:r>
    </w:p>
    <w:p>
      <w:r>
        <w:rPr>
          <w:b/>
        </w:rPr>
        <w:t xml:space="preserve">Ergebnis: </w:t>
      </w:r>
      <w:r>
        <w:t>Chronische Erkrankungen wurden häufiger, Prävention nahm zu. Nach Adjustment zeigte sich: Bei Frauen waren hospital PHI und kombinierte PHI mit IRR 1,14 (95%-KI 1,09–1,18) bzw. 1,18 (1,11–1,25) assoziiert; bei Männern hospital PHI mit IRR 1,12 (1,00–1,23) und kombinierte PHI mit IRR 1,18 (1,11–1,25).</w:t>
      </w:r>
    </w:p>
    <w:p>
      <w:r>
        <w:rPr>
          <w:b/>
          <w:sz w:val="19"/>
        </w:rPr>
        <w:t xml:space="preserve">Übertragbarkeit: </w:t>
      </w:r>
      <w:r>
        <w:rPr>
          <w:sz w:val="19"/>
        </w:rPr>
        <w:t>Australisches Zwei-Klassen-System mit Medicare-Basisversorgung und zusätzlicher privater Versicherung; Frage zu Versicherungsstatus und Prävention eingeschränkt übertragbar.</w:t>
      </w:r>
    </w:p>
    <w:p>
      <w:r>
        <w:rPr>
          <w:color w:val="5A7D3A"/>
          <w:sz w:val="18"/>
        </w:rPr>
        <w:t>https://pubmed.ncbi.nlm.nih.gov/42691737/</w:t>
      </w:r>
    </w:p>
    <w:p>
      <w:pPr>
        <w:pStyle w:val="Heading2"/>
      </w:pPr>
      <w:r>
        <w:t>Screening auf Autoimmunität bei Typ-1-Diabetes aus Sicht des Fachpersonals</w:t>
      </w:r>
    </w:p>
    <w:p>
      <w:r>
        <w:rPr>
          <w:i/>
          <w:color w:val="666666"/>
          <w:sz w:val="18"/>
        </w:rPr>
        <w:t>Majstorovic M et al.  ·  Diabet Med  ·  01.09.2026  ·  PMID 42682016</w:t>
      </w:r>
    </w:p>
    <w:p>
      <w:r>
        <w:t>Qualitative Studie mit 32 australischen Fachkräften (Kindermedizin) zu Perspektiven auf Screening und Monitoring von Inselzellautoantkörpern.</w:t>
      </w:r>
    </w:p>
    <w:p>
      <w:r>
        <w:rPr>
          <w:b/>
        </w:rPr>
        <w:t xml:space="preserve">Ergebnis: </w:t>
      </w:r>
      <w:r>
        <w:t>Sieben Themen identifiziert: (1) umstrittenes Screening, (2) Strukturüberlegungen, (3) Zugangsparität, (4) Managementfokus auf Testerleben, (5) potenzielle psychische Folgen, (6) Bewältigungsfähigkeit der Betreuer, (7) Bedeutung vertrauensvoller Beziehungen. Fachkräfte betonten psychische Belastungen für Familien, Wichtigkeit therapeutischer Beziehungen.</w:t>
      </w:r>
    </w:p>
    <w:p>
      <w:r>
        <w:rPr>
          <w:b/>
          <w:sz w:val="19"/>
        </w:rPr>
        <w:t xml:space="preserve">Übertragbarkeit: </w:t>
      </w:r>
      <w:r>
        <w:rPr>
          <w:sz w:val="19"/>
        </w:rPr>
        <w:t>Qualitative Fachperspektive, Thema Screening-Akzeptanz und -Design systemunabhängig relevant.</w:t>
      </w:r>
    </w:p>
    <w:p>
      <w:r>
        <w:rPr>
          <w:color w:val="5A7D3A"/>
          <w:sz w:val="18"/>
        </w:rPr>
        <w:t>https://pubmed.ncbi.nlm.nih.gov/42682016/</w:t>
      </w:r>
    </w:p>
    <w:p>
      <w:pPr>
        <w:pStyle w:val="Heading2"/>
      </w:pPr>
      <w:r>
        <w:t>Verfügbarkeit und Zugang zu Infertilitätsversorgung in West- und Zentralafrika</w:t>
      </w:r>
    </w:p>
    <w:p>
      <w:r>
        <w:rPr>
          <w:i/>
          <w:color w:val="666666"/>
          <w:sz w:val="18"/>
        </w:rPr>
        <w:t>Thomas HL et al.  ·  BMC Health Serv Res  ·  04.08.2026  ·  PMID 42681645</w:t>
      </w:r>
    </w:p>
    <w:p>
      <w:r>
        <w:t>Länderübergreifende Studie (Burkina Faso, Elfenbeinküste, Niger, Uganda) zu Verfügbarkeit, geografischem Zugang und Nutzung von STI-Tests und Infertilitätsservices.</w:t>
      </w:r>
    </w:p>
    <w:p>
      <w:r>
        <w:rPr>
          <w:b/>
        </w:rPr>
        <w:t xml:space="preserve">Ergebnis: </w:t>
      </w:r>
      <w:r>
        <w:t>STI-Tests verfügbar in 68,5–92,6% der Einrichtungen, Infertilitätsservices in 28,4–44,0% (Burkina Faso 78,3%). Frauen mit höherer Bildung, Wohlstand, urbaner Residenz hatten besseren Zugang. In Burkina Faso und Niger: Frauen innerhalb 5 km STI-Testung zeigten erhöhte biomedizinische Inanspruchnahme (aOR 2,94 bzw. 7,19).</w:t>
      </w:r>
    </w:p>
    <w:p>
      <w:r>
        <w:rPr>
          <w:b/>
          <w:sz w:val="19"/>
        </w:rPr>
        <w:t xml:space="preserve">Übertragbarkeit: </w:t>
      </w:r>
      <w:r>
        <w:rPr>
          <w:sz w:val="19"/>
        </w:rPr>
        <w:t>Subsaharische Länder mit begrenzten Ressourcen, Fragestellung zu geografischem Zugang und Inanspruchnahme grundsätzlich relevant.</w:t>
      </w:r>
    </w:p>
    <w:p>
      <w:r>
        <w:rPr>
          <w:color w:val="5A7D3A"/>
          <w:sz w:val="18"/>
        </w:rPr>
        <w:t>https://pubmed.ncbi.nlm.nih.gov/42681645/</w:t>
      </w:r>
    </w:p>
    <w:p>
      <w:pPr>
        <w:pStyle w:val="Heading2"/>
      </w:pPr>
      <w:r>
        <w:t>Nationale Implementierung eines TB-Probenversandsystems in der Republik Kongo</w:t>
      </w:r>
    </w:p>
    <w:p>
      <w:r>
        <w:rPr>
          <w:i/>
          <w:color w:val="666666"/>
          <w:sz w:val="18"/>
        </w:rPr>
        <w:t>Elion Assiana DO et al.  ·  Trop Med Infect Dis  ·  17.08.2026  ·  PMID 42646806</w:t>
      </w:r>
    </w:p>
    <w:p>
      <w:r>
        <w:t>Dreijährige Mixed-Methods-Studie (Pilot Januar–Juni 2023, Scale-up Juli 2023–Dezember 2025) zur Umsetzung eines strukturierten Versandsystems für TB-Diagnostik.</w:t>
      </w:r>
    </w:p>
    <w:p>
      <w:r>
        <w:rPr>
          <w:b/>
        </w:rPr>
        <w:t xml:space="preserve">Ergebnis: </w:t>
      </w:r>
      <w:r>
        <w:t>Pilot-Phase: 962 Proben, 30,6% TB-Fälle (12/294 RR-TB), medianer Turnaround 53 h urban/62 h rural, 86% Beteiligungsquote. Scale-up (29 → 12/12 Departements): 2154 Proben (2023) → 5160 (2024), 2587 TB- und 84 RR-TB-Fälle über 3 Jahre detektiert. TB-Detektionsbeitrag stieg von 9,2% auf 16,0%, RR-TB von 10,4% auf 18,7%.</w:t>
      </w:r>
    </w:p>
    <w:p>
      <w:r>
        <w:rPr>
          <w:b/>
          <w:sz w:val="19"/>
        </w:rPr>
        <w:t xml:space="preserve">Übertragbarkeit: </w:t>
      </w:r>
      <w:r>
        <w:rPr>
          <w:sz w:val="19"/>
        </w:rPr>
        <w:t>Ressourcenlimitiertes Subsahara-Kontext, Versorgungsforschung zur Stärkung von Diagnostikzugang relevant, aber nur bedingt auf deutsche Strukturen übertragbar.</w:t>
      </w:r>
    </w:p>
    <w:p>
      <w:r>
        <w:rPr>
          <w:color w:val="5A7D3A"/>
          <w:sz w:val="18"/>
        </w:rPr>
        <w:t>https://pubmed.ncbi.nlm.nih.gov/42646806/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Versorgungsforschung</dc:title>
  <dc:subject/>
  <dc:creator>Monitor Versorgungsforschung</dc:creator>
  <cp:keywords/>
  <dc:description>generated by python-docx</dc:description>
  <cp:lastModifiedBy/>
  <cp:revision>1</cp:revision>
  <dcterms:created xsi:type="dcterms:W3CDTF">2026-09-08T06:00:00Z</dcterms:created>
  <dcterms:modified xsi:type="dcterms:W3CDTF">2026-09-08T06:00:00Z</dcterms:modified>
  <cp:category/>
</cp:coreProperties>
</file>