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Studienarchiv Versorgungsforschung</w:t>
      </w:r>
    </w:p>
    <w:p>
      <w:r>
        <w:rPr>
          <w:i/>
          <w:color w:val="666666"/>
          <w:sz w:val="18"/>
        </w:rPr>
        <w:t>Stand: 18.08.2026  |  38 Studien  |  wissen.m-vf.de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Genomische Testung in der Nephrologie: Mainstreaming als effektives Versorgungsmodell</w:t>
      </w:r>
    </w:p>
    <w:p>
      <w:r>
        <w:rPr>
          <w:i/>
          <w:color w:val="666666"/>
          <w:sz w:val="18"/>
        </w:rPr>
        <w:t>Jayasinghe K et al.  ·  Clin J Am Soc Nephrol  ·  17.08.2026  ·  PMID 42606900</w:t>
      </w:r>
    </w:p>
    <w:p>
      <w:r>
        <w:t>Beobachtungsstudie an vier Zentren zur Evaluierung eines "hub and spoke"-Modells für genomische Testung bei Nierenkrankheiten mit Schulung niedergelassener Nephrologen.</w:t>
      </w:r>
    </w:p>
    <w:p>
      <w:r>
        <w:rPr>
          <w:b/>
        </w:rPr>
        <w:t xml:space="preserve">Ergebnis: </w:t>
      </w:r>
      <w:r>
        <w:t>1.028 genomische Tests wurden durchgeführt (diagnostische Ausbeute 34%); ähnlich erfolgreich in Zentren (32%) und bei lokalen Nephrologen (38%). Der Anteil der Tests in Mainstream-Nephrologie-Settings stieg von 23% auf 74%, während die Absolutzahlen in Spezialkliniken stabil blieben.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Daten, aber Implementierungsrahmen systemunabhängig auf deutsches Versorgungssystem übertragbar</w:t>
      </w:r>
    </w:p>
    <w:p>
      <w:r>
        <w:rPr>
          <w:color w:val="5A7D3A"/>
          <w:sz w:val="18"/>
        </w:rPr>
        <w:t>https://pubmed.ncbi.nlm.nih.gov/42606900/</w:t>
      </w:r>
    </w:p>
    <w:p>
      <w:pPr>
        <w:pStyle w:val="Heading2"/>
      </w:pPr>
      <w:r>
        <w:t>Sicherheit von Antikonvulsiva unter direkten oralen Antikoagulanzien bei Epilepsie</w:t>
      </w:r>
    </w:p>
    <w:p>
      <w:r>
        <w:rPr>
          <w:i/>
          <w:color w:val="666666"/>
          <w:sz w:val="18"/>
        </w:rPr>
        <w:t>Schubert KM et al.  ·  JAMA Neurol  ·  17.08.2026  ·  PMID 42606848</w:t>
      </w:r>
    </w:p>
    <w:p>
      <w:r>
        <w:t>Retrospektive Kohortenstudie mit TriNetX-Daten zu Thromboembolie-, Blutungs- und Mortalitätsrisiken verschiedener Antikonvulsiva bei Epilepsiepatienten unter DOAC-Therapie.</w:t>
      </w:r>
    </w:p>
    <w:p>
      <w:r>
        <w:rPr>
          <w:b/>
        </w:rPr>
        <w:t xml:space="preserve">Ergebnis: </w:t>
      </w:r>
      <w:r>
        <w:t>Levetiracetam war mit erhöhtem thromboembolischem Risiko assoziiert (HR 1,98; 95% CI 1,37–2,87) und höherer Mortalität (HR 1,60; 95% CI 1,23–2,08). Starke Enzym-induzierende ASMs zeigten erhöhtes thromboembolisches Risiko (HR 1,55), aber niedrigere Blutungsrate (HR 0,62).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TriNetX-Daten, Arzneisicherheit-Fragestellung systemunabhängig relevant</w:t>
      </w:r>
    </w:p>
    <w:p>
      <w:r>
        <w:rPr>
          <w:color w:val="5A7D3A"/>
          <w:sz w:val="18"/>
        </w:rPr>
        <w:t>https://pubmed.ncbi.nlm.nih.gov/42606848/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Expansion von Telehealth-Regelungen in US-Medicaid-Programmen 2018–2023: Legal-Mapping-Studie</w:t>
      </w:r>
    </w:p>
    <w:p>
      <w:r>
        <w:rPr>
          <w:i/>
          <w:color w:val="666666"/>
          <w:sz w:val="18"/>
        </w:rPr>
        <w:t>Leung LB et al.  ·  Milbank Q  ·  16.08.2026  ·  PMID 42604452</w:t>
      </w:r>
    </w:p>
    <w:p>
      <w:r>
        <w:t>50-Staaten-Analyse zur Adoption von Telehealth-Richtlinien in Medicaid-Programmen und deren mögliche Einflussfaktoren.</w:t>
      </w:r>
    </w:p>
    <w:p>
      <w:r>
        <w:rPr>
          <w:b/>
        </w:rPr>
        <w:t xml:space="preserve">Ergebnis: </w:t>
      </w:r>
      <w:r>
        <w:t>Durchschnittlich 2,7 Telehealth-Richtlinien je Bundesstaat (SD 1,4); Audiotelefonie in 43 Staaten eingeführt; schnellste Adoption 2020–2021; Adoption unabhängig von Ländlichkeit, Fachkräftemangel, Medicaid-Expansion oder Internetverfügbarkeit (alle p ≥ 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Fragestellung aber systemunabhängig</w:t>
      </w:r>
    </w:p>
    <w:p>
      <w:r>
        <w:rPr>
          <w:color w:val="5A7D3A"/>
          <w:sz w:val="18"/>
        </w:rPr>
        <w:t>https://pubmed.ncbi.nlm.nih.gov/42604452/</w:t>
      </w:r>
    </w:p>
    <w:p>
      <w:pPr>
        <w:pStyle w:val="Heading2"/>
      </w:pPr>
      <w:r>
        <w:t>Reale Effektivität und Sicherheit von Lebrikizumab bei atopischer Dermatitis: TREATgermany-Registerdaten</w:t>
      </w:r>
    </w:p>
    <w:p>
      <w:r>
        <w:rPr>
          <w:i/>
          <w:color w:val="666666"/>
          <w:sz w:val="18"/>
        </w:rPr>
        <w:t>Kind B et al.  ·  Acta Derm Venereol  ·  13.08.2026  ·  PMID 42593155</w:t>
      </w:r>
    </w:p>
    <w:p>
      <w:r>
        <w:t>Prospektive Evaluierung von Lebrikizumab (IL-13-Inhibitor) bei atopischer Dermatitis in deutschen Dermatologie-Praxen mit Effectiveness-Daten zur Routineversorgung.</w:t>
      </w:r>
    </w:p>
    <w:p>
      <w:r>
        <w:rPr>
          <w:b/>
        </w:rPr>
        <w:t xml:space="preserve">Ergebnis: </w:t>
      </w:r>
      <w:r>
        <w:t>80 Patienten mit Follow-up; EASI-Score sank von Baseline 14,8 auf 5,6 (Monat 3) und 3,0 (Monat 6); PP-NRS von 6,6 auf 3,8 und 3,4; DLQI von 11,9 auf 4,9 und 4,8; Nebenwirkungen bei 26,6 % (Konjunktivitis 20,3 %); EASI-75 in Kohorte mit EASI≥16 bei 60 % (M3) und 70 % (M6).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(TREATgermany-Registry)</w:t>
      </w:r>
    </w:p>
    <w:p>
      <w:r>
        <w:rPr>
          <w:color w:val="5A7D3A"/>
          <w:sz w:val="18"/>
        </w:rPr>
        <w:t>https://pubmed.ncbi.nlm.nih.gov/42593155/</w:t>
      </w:r>
    </w:p>
    <w:p>
      <w:pPr>
        <w:pStyle w:val="Heading2"/>
      </w:pPr>
      <w:r>
        <w:t>Mortalität von Hirntumor-Patienten in zertifizierten Onkologiezentren versus Nicht-Zentren: Deutschland</w:t>
      </w:r>
    </w:p>
    <w:p>
      <w:r>
        <w:rPr>
          <w:i/>
          <w:color w:val="666666"/>
          <w:sz w:val="18"/>
        </w:rPr>
        <w:t>Seliger C et al.  ·  Cancer Treat Res Commun  ·  11.08.2026  ·  PMID 42580197</w:t>
      </w:r>
    </w:p>
    <w:p>
      <w:r>
        <w:t>Kohortenstudie mit 62.735 GKV-Patienten und 5.196 Patienten aus klinischen Krebsregistern zu Überleben nach Behandlung in zertifizierten vs. nicht-zertifizierten Krankenhäusern.</w:t>
      </w:r>
    </w:p>
    <w:p>
      <w:r>
        <w:rPr>
          <w:b/>
        </w:rPr>
        <w:t xml:space="preserve">Ergebnis: </w:t>
      </w:r>
      <w:r>
        <w:t>91,9 % der SHI-Patienten nicht in neuro-onkologischen Zentren behandelt; adjustierte Cox-Regression zeigte verbessertes Gesamtüberleben in zertifizierten Zentren (HR SHI 0,93, 95%-KI 0,86–1,00; HR KKR 0,84, 95%-KI 0,76–0,93); ältere Patienten und höhere WHO-Grade profilierten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+ Krebsregister</w:t>
      </w:r>
    </w:p>
    <w:p>
      <w:r>
        <w:rPr>
          <w:color w:val="5A7D3A"/>
          <w:sz w:val="18"/>
        </w:rPr>
        <w:t>https://pubmed.ncbi.nlm.nih.gov/42580197/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Arbeitsbedingungen und psychische Gesundheit bei Ärztinnen und Ärzten sowie Pflegekräften in der EU: Querschnittsstudie</w:t>
      </w:r>
    </w:p>
    <w:p>
      <w:r>
        <w:rPr>
          <w:i/>
          <w:color w:val="666666"/>
          <w:sz w:val="18"/>
        </w:rPr>
        <w:t>Mediavilla R et al.  ·  Lancet Reg Health Eur  ·  08.08.2026  ·  PMID 42604020</w:t>
      </w:r>
    </w:p>
    <w:p>
      <w:r>
        <w:t>Die Studie untersuchte Zusammenhänge zwischen Arbeitsbedingungen und psychischer Gesundheit bei 90.171 Gesundheitsberuflern aus 28 EU-Staaten, Island und Norwegen im Zeitraum Oktober 2024 bis April 2025.</w:t>
      </w:r>
    </w:p>
    <w:p>
      <w:r>
        <w:rPr>
          <w:b/>
        </w:rPr>
        <w:t xml:space="preserve">Ergebnis: </w:t>
      </w:r>
      <w:r>
        <w:t>30% zeigten depressive Symptome, 23% Angstsymptome, 13% suizidale Gedanken. Physische Gewalt betraf 10% der Ärzte und 18% der Pflegekräfte. Ungünstige Arbeitsbedingungen korreliertten mit schlechterer psychischer Gesundheit (adjustierte Prävalenzratios 0,98-1,94), während Jobressourcen positive Effekte zeigten (PR 1,06-0,56).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systemisch vergleichbar mit Deutschland</w:t>
      </w:r>
    </w:p>
    <w:p>
      <w:r>
        <w:rPr>
          <w:color w:val="5A7D3A"/>
          <w:sz w:val="18"/>
        </w:rPr>
        <w:t>https://pubmed.ncbi.nlm.nih.gov/42604020/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 Popul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2"/>
      </w:pPr>
      <w:r>
        <w:t>Chirurgische Therapie bei Pankreaskarzinom im Alter ≥80 Jahren: Nutzen-Risiko-Analyse</w:t>
      </w:r>
    </w:p>
    <w:p>
      <w:r>
        <w:rPr>
          <w:i/>
          <w:color w:val="666666"/>
          <w:sz w:val="18"/>
        </w:rPr>
        <w:t>von Fritsch L et al.  ·  Cancers (Basel)  ·  28.07.2026  ·  PMID 42588642</w:t>
      </w:r>
    </w:p>
    <w:p>
      <w:r>
        <w:t>Vergleichende Analyse von 3016 Pankreaskarzinom-Patienten (≤65 Jahre: n=944; 66-79 Jahre: n=1535; ≥80 Jahre: n=537) aus deutschen Krebsregistern 2015-2023 bezüglich Behandlungsmuster und Überleben.</w:t>
      </w:r>
    </w:p>
    <w:p>
      <w:r>
        <w:rPr>
          <w:b/>
        </w:rPr>
        <w:t xml:space="preserve">Ergebnis: </w:t>
      </w:r>
      <w:r>
        <w:t>Anteil Patienten ≥80 Jahre stieg von 15% (2015) auf 32% (2023). 24% der operierten Oktogenare erhielten adjuvante Chemotherapie. Overall Survival und disease-free Survival waren schlechter als in jüngeren Kohorten. Oktogenare mit alleiniger Operation oder Chemotherapie hatten vergleichbare Überlebensraten wie palliativ behandelte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Krebsregisterdaten, gesetzlich Versicherte</w:t>
      </w:r>
    </w:p>
    <w:p>
      <w:r>
        <w:rPr>
          <w:color w:val="5A7D3A"/>
          <w:sz w:val="18"/>
        </w:rPr>
        <w:t>https://pubmed.ncbi.nlm.nih.gov/42588642/</w:t>
      </w:r>
    </w:p>
    <w:p>
      <w:pPr>
        <w:pStyle w:val="Heading2"/>
      </w:pPr>
      <w:r>
        <w:t>Erlebte integrierte Versorgung für Kinder mit Sonderbedarf in Deutschland: PART-CHILD-Kohortenstudie</w:t>
      </w:r>
    </w:p>
    <w:p>
      <w:r>
        <w:rPr>
          <w:i/>
          <w:color w:val="666666"/>
          <w:sz w:val="18"/>
        </w:rPr>
        <w:t>Bohnert K et al.  ·  BMC Health Serv Res  ·  08.08.2026  ·  PMID 42576220</w:t>
      </w:r>
    </w:p>
    <w:p>
      <w:r>
        <w:t>Querschnittsanalyse von 459 Betreuungspersonen von Kindern mit Sonderbedarf zu ihrer Erfahrung mit integrierten Versorgungsangeboten und Zusammenhänge mit soziodemografischen, gesundheits- und netzwerkbezogenen Faktoren.</w:t>
      </w:r>
    </w:p>
    <w:p>
      <w:r>
        <w:rPr>
          <w:b/>
        </w:rPr>
        <w:t xml:space="preserve">Ergebnis: </w:t>
      </w:r>
      <w:r>
        <w:t>Durchschnittliche Bewertung Teamqualität/Kommunikation 4,1±1,1 (Skala bis 9), Aufmerksamkeit für Familienbelastung 2,3±1,1. Höhere unmet needs assoziiert mit niedrigerer Teamqualität (≥5 unmet needs: β=-0,83; 95%-KI -1,28 bis -0,38). Größere Versorgungsnetzwerke (6-10 Anbieter) positiv mit Familienaufmerksamkeit (β=0,38; 95%-KI 0,07-0,70).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gesetzlich versicherte Bevölkerung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 Assist Technol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 Res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 Res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 R Soc Med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 Drug Saf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 Res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 Res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 Oncol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 Cancer Surviv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