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der Knowledge-Datenbank von Monitor Versorgungsforschung. Täglich automatisiert KI-kuratiert aus PubMed und auf Deutsch übersetzt.</w:t>
      </w:r>
    </w:p>
    <w:p>
      <w:pPr>
        <w:pStyle w:val="Title"/>
      </w:pPr>
      <w:r>
        <w:t>Neueste Studien der Versorgungsforschung</w:t>
      </w:r>
    </w:p>
    <w:p>
      <w:r>
        <w:rPr>
          <w:i/>
          <w:color w:val="666666"/>
          <w:sz w:val="18"/>
        </w:rPr>
        <w:t>Stand: 16.08.2026  |  4 Studien  |  wissen.m-vf.de</w:t>
      </w:r>
    </w:p>
    <w:p>
      <w:pPr>
        <w:pStyle w:val="Heading1"/>
      </w:pPr>
      <w:r>
        <w:t>Aufgenommen am 16.08.2026</w:t>
      </w:r>
    </w:p>
    <w:p>
      <w:pPr>
        <w:pStyle w:val="Heading2"/>
      </w:pPr>
      <w:r>
        <w:t>Arbeitsbedingungen und psychische Gesundheit bei Ärztinnen und Ärzten sowie Pflegekräften in der EU: Querschnittsstudie</w:t>
      </w:r>
    </w:p>
    <w:p>
      <w:r>
        <w:rPr>
          <w:i/>
          <w:color w:val="666666"/>
          <w:sz w:val="18"/>
        </w:rPr>
        <w:t>Mediavilla R et al.  ·  Lancet Regional Health Europe  ·  08.08.2026  ·  PMID 42604020</w:t>
      </w:r>
    </w:p>
    <w:p>
      <w:r>
        <w:t>Die Studie untersuchte Zusammenhänge zwischen Arbeitsbedingungen und psychischer Gesundheit bei 90.171 Gesundheitsberuflern aus 28 EU-Staaten, Island und Norwegen im Zeitraum Oktober 2024 bis April 2025.</w:t>
      </w:r>
    </w:p>
    <w:p>
      <w:r>
        <w:rPr>
          <w:b/>
        </w:rPr>
        <w:t xml:space="preserve">Ergebnis: </w:t>
      </w:r>
      <w:r>
        <w:t>30% zeigten depressive Symptome, 23% Angstsymptome, 13% suizidale Gedanken. Physische Gewalt betraf 10% der Ärzte und 18% der Pflegekräfte. Ungünstige Arbeitsbedingungen korreliertten mit schlechterer psychischer Gesundheit (adjustierte Prävalenzratios 0,98-1,94), während Jobressourcen positive Effekte zeigten (PR 1,06-0,56).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Daten, systemisch vergleichbar mit Deutschland</w:t>
      </w:r>
    </w:p>
    <w:p>
      <w:r>
        <w:rPr>
          <w:color w:val="5A7D3A"/>
          <w:sz w:val="18"/>
        </w:rPr>
        <w:t>https://pubmed.ncbi.nlm.nih.gov/42604020/</w:t>
      </w:r>
    </w:p>
    <w:p>
      <w:pPr>
        <w:pStyle w:val="Heading2"/>
      </w:pPr>
      <w:r>
        <w:t>Tage zu Hause nach Herzinsuffizienzspitalisierung in Singapur: Trends und Equity 2011-2019</w:t>
      </w:r>
    </w:p>
    <w:p>
      <w:r>
        <w:rPr>
          <w:i/>
          <w:color w:val="666666"/>
          <w:sz w:val="18"/>
        </w:rPr>
        <w:t>Liu S et al.  ·  Circulation: Population Health Outcomes  ·  14.08.2026  ·  PMID 42596879</w:t>
      </w:r>
    </w:p>
    <w:p>
      <w:r>
        <w:t>Die Studie untersuchte zeitliche Trends in Days Alive and Out of Hospital (DAOH) nach erster Hospitalisierung wegen Herzinsuffizienz mit reduzierter Auswurffraktion und prüfte Unterschiede zwischen Altersgruppen, Geschlecht und Ethnizität.</w:t>
      </w:r>
    </w:p>
    <w:p>
      <w:r>
        <w:rPr>
          <w:b/>
        </w:rPr>
        <w:t xml:space="preserve">Ergebnis: </w:t>
      </w:r>
      <w:r>
        <w:t>Von 10.147 Patienten (Medianalter 68,9 Jahre; 31,5% weiblich) verbesserte sich die 1-Jahres-DAOH von 291,7 auf 301,0 Tage (1,16 Tage pro Jahr; p&lt;0,001), während 30-Tage-DAOH stabil blieb (p=0,554). Die Rückgangsraten bei herzinsuffizienzbedingten Readmissionen waren bei Männern steiler als bei Frauen. 1-Jahres-DAOH-Gewinne waren bei Patienten malaiischer Abstammung größer als bei chinesischen Patienten.</w:t>
      </w:r>
    </w:p>
    <w:p>
      <w:r>
        <w:rPr>
          <w:color w:val="5A7D3A"/>
          <w:sz w:val="18"/>
        </w:rPr>
        <w:t>https://pubmed.ncbi.nlm.nih.gov/42596879/</w:t>
      </w:r>
    </w:p>
    <w:p>
      <w:pPr>
        <w:pStyle w:val="Heading2"/>
      </w:pPr>
      <w:r>
        <w:t>Chirurgische Therapie bei Pankreaskarzinom im Alter ≥80 Jahren: Nutzen-Risiko-Analyse</w:t>
      </w:r>
    </w:p>
    <w:p>
      <w:r>
        <w:rPr>
          <w:i/>
          <w:color w:val="666666"/>
          <w:sz w:val="18"/>
        </w:rPr>
        <w:t>von Fritsch L et al.  ·  Cancers  ·  28.07.2026  ·  PMID 42588642</w:t>
      </w:r>
    </w:p>
    <w:p>
      <w:r>
        <w:t>Vergleichende Analyse von 3016 Pankreaskarzinom-Patienten (≤65 Jahre: n=944; 66-79 Jahre: n=1535; ≥80 Jahre: n=537) aus deutschen Krebsregistern 2015-2023 bezüglich Behandlungsmuster und Überleben.</w:t>
      </w:r>
    </w:p>
    <w:p>
      <w:r>
        <w:rPr>
          <w:b/>
        </w:rPr>
        <w:t xml:space="preserve">Ergebnis: </w:t>
      </w:r>
      <w:r>
        <w:t>Anteil Patienten ≥80 Jahre stieg von 15% (2015) auf 32% (2023). 24% der operierten Oktogenare erhielten adjuvante Chemotherapie. Overall Survival und disease-free Survival waren schlechter als in jüngeren Kohorten. Oktogenare mit alleiniger Operation oder Chemotherapie hatten vergleichbare Überlebensraten wie palliativ behandelte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Krebsregisterdaten, gesetzlich Versicherte</w:t>
      </w:r>
    </w:p>
    <w:p>
      <w:r>
        <w:rPr>
          <w:color w:val="5A7D3A"/>
          <w:sz w:val="18"/>
        </w:rPr>
        <w:t>https://pubmed.ncbi.nlm.nih.gov/42588642/</w:t>
      </w:r>
    </w:p>
    <w:p>
      <w:pPr>
        <w:pStyle w:val="Heading2"/>
      </w:pPr>
      <w:r>
        <w:t>Erlebte integrierte Versorgung für Kinder mit Sonderbedarf in Deutschland: PART-CHILD-Kohortenstudie</w:t>
      </w:r>
    </w:p>
    <w:p>
      <w:r>
        <w:rPr>
          <w:i/>
          <w:color w:val="666666"/>
          <w:sz w:val="18"/>
        </w:rPr>
        <w:t>Bohnert K et al.  ·  BMC Health Services Research  ·  08.08.2026  ·  PMID 42576220</w:t>
      </w:r>
    </w:p>
    <w:p>
      <w:r>
        <w:t>Querschnittsanalyse von 459 Betreuungspersonen von Kindern mit Sonderbedarf zu ihrer Erfahrung mit integrierten Versorgungsangeboten und Zusammenhänge mit soziodemografischen, gesundheits- und netzwerkbezogenen Faktoren.</w:t>
      </w:r>
    </w:p>
    <w:p>
      <w:r>
        <w:rPr>
          <w:b/>
        </w:rPr>
        <w:t xml:space="preserve">Ergebnis: </w:t>
      </w:r>
      <w:r>
        <w:t>Durchschnittliche Bewertung Teamqualität/Kommunikation 4,1±1,1 (Skala bis 9), Aufmerksamkeit für Familienbelastung 2,3±1,1. Höhere unmet needs assoziiert mit niedrigerer Teamqualität (≥5 unmet needs: β=-0,83; 95%-KI -1,28 bis -0,38). Größere Versorgungsnetzwerke (6-10 Anbieter) positiv mit Familienaufmerksamkeit (β=0,38; 95%-KI 0,07-0,70).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gesetzlich versicherte Bevölkerung</w:t>
      </w:r>
    </w:p>
    <w:p>
      <w:r>
        <w:rPr>
          <w:color w:val="5A7D3A"/>
          <w:sz w:val="18"/>
        </w:rPr>
        <w:t>https://pubmed.ncbi.nlm.nih.gov/42576220/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der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2026-08-16T06:00:00Z</dcterms:created>
  <dcterms:modified xsi:type="dcterms:W3CDTF">2026-08-16T06:00:00Z</dcterms:modified>
  <cp:category/>
</cp:coreProperties>
</file>