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der Knowledge-Datenbank von Monitor Versorgungsforschung. Täglich automatisiert KI-kuratiert aus PubMed und auf Deutsch übersetzt.</w:t>
      </w:r>
    </w:p>
    <w:p>
      <w:pPr>
        <w:pStyle w:val="Title"/>
      </w:pPr>
      <w:r>
        <w:t>Studienarchiv Versorgungsforschung</w:t>
      </w:r>
    </w:p>
    <w:p>
      <w:r>
        <w:rPr>
          <w:i/>
          <w:color w:val="666666"/>
          <w:sz w:val="18"/>
        </w:rPr>
        <w:t>Stand: 16.08.2026  |  33 Studien  |  wissen.m-vf.de</w:t>
      </w:r>
    </w:p>
    <w:p>
      <w:pPr>
        <w:pStyle w:val="Heading1"/>
      </w:pPr>
      <w:r>
        <w:t>Aufgenommen am 16.08.2026</w:t>
      </w:r>
    </w:p>
    <w:p>
      <w:pPr>
        <w:pStyle w:val="Heading2"/>
      </w:pPr>
      <w:r>
        <w:t>Arbeitsbedingungen und psychische Gesundheit bei Ärztinnen und Ärzten sowie Pflegekräften in der EU: Querschnittsstudie</w:t>
      </w:r>
    </w:p>
    <w:p>
      <w:r>
        <w:rPr>
          <w:i/>
          <w:color w:val="666666"/>
          <w:sz w:val="18"/>
        </w:rPr>
        <w:t>Mediavilla R et al.  ·  Lancet Regional Health Europe  ·  08.08.2026  ·  PMID 42604020</w:t>
      </w:r>
    </w:p>
    <w:p>
      <w:r>
        <w:t>Die Studie untersuchte Zusammenhänge zwischen Arbeitsbedingungen und psychischer Gesundheit bei 90.171 Gesundheitsberuflern aus 28 EU-Staaten, Island und Norwegen im Zeitraum Oktober 2024 bis April 2025.</w:t>
      </w:r>
    </w:p>
    <w:p>
      <w:r>
        <w:rPr>
          <w:b/>
        </w:rPr>
        <w:t xml:space="preserve">Ergebnis: </w:t>
      </w:r>
      <w:r>
        <w:t>30% zeigten depressive Symptome, 23% Angstsymptome, 13% suizidale Gedanken. Physische Gewalt betraf 10% der Ärzte und 18% der Pflegekräfte. Ungünstige Arbeitsbedingungen korreliertten mit schlechterer psychischer Gesundheit (adjustierte Prävalenzratios 0,98-1,94), während Jobressourcen positive Effekte zeigten (PR 1,06-0,56).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Daten, systemisch vergleichbar mit Deutschland</w:t>
      </w:r>
    </w:p>
    <w:p>
      <w:r>
        <w:rPr>
          <w:color w:val="5A7D3A"/>
          <w:sz w:val="18"/>
        </w:rPr>
        <w:t>https://pubmed.ncbi.nlm.nih.gov/42604020/</w:t>
      </w:r>
    </w:p>
    <w:p>
      <w:pPr>
        <w:pStyle w:val="Heading2"/>
      </w:pPr>
      <w:r>
        <w:t>Tage zu Hause nach Herzinsuffizienzspitalisierung in Singapur: Trends und Equity 2011-2019</w:t>
      </w:r>
    </w:p>
    <w:p>
      <w:r>
        <w:rPr>
          <w:i/>
          <w:color w:val="666666"/>
          <w:sz w:val="18"/>
        </w:rPr>
        <w:t>Liu S et al.  ·  Circulation: Population Health Outcomes  ·  14.08.2026  ·  PMID 42596879</w:t>
      </w:r>
    </w:p>
    <w:p>
      <w:r>
        <w:t>Die Studie untersuchte zeitliche Trends in Days Alive and Out of Hospital (DAOH) nach erster Hospitalisierung wegen Herzinsuffizienz mit reduzierter Auswurffraktion und prüfte Unterschiede zwischen Altersgruppen, Geschlecht und Ethnizität.</w:t>
      </w:r>
    </w:p>
    <w:p>
      <w:r>
        <w:rPr>
          <w:b/>
        </w:rPr>
        <w:t xml:space="preserve">Ergebnis: </w:t>
      </w:r>
      <w:r>
        <w:t>Von 10.147 Patienten (Medianalter 68,9 Jahre; 31,5% weiblich) verbesserte sich die 1-Jahres-DAOH von 291,7 auf 301,0 Tage (1,16 Tage pro Jahr; p&lt;0,001), während 30-Tage-DAOH stabil blieb (p=0,554). Die Rückgangsraten bei herzinsuffizienzbedingten Readmissionen waren bei Männern steiler als bei Frauen. 1-Jahres-DAOH-Gewinne waren bei Patienten malaiischer Abstammung größer als bei chinesischen Patienten.</w:t>
      </w:r>
    </w:p>
    <w:p>
      <w:r>
        <w:rPr>
          <w:color w:val="5A7D3A"/>
          <w:sz w:val="18"/>
        </w:rPr>
        <w:t>https://pubmed.ncbi.nlm.nih.gov/42596879/</w:t>
      </w:r>
    </w:p>
    <w:p>
      <w:pPr>
        <w:pStyle w:val="Heading2"/>
      </w:pPr>
      <w:r>
        <w:t>Chirurgische Therapie bei Pankreaskarzinom im Alter ≥80 Jahren: Nutzen-Risiko-Analyse</w:t>
      </w:r>
    </w:p>
    <w:p>
      <w:r>
        <w:rPr>
          <w:i/>
          <w:color w:val="666666"/>
          <w:sz w:val="18"/>
        </w:rPr>
        <w:t>von Fritsch L et al.  ·  Cancers  ·  28.07.2026  ·  PMID 42588642</w:t>
      </w:r>
    </w:p>
    <w:p>
      <w:r>
        <w:t>Vergleichende Analyse von 3016 Pankreaskarzinom-Patienten (≤65 Jahre: n=944; 66-79 Jahre: n=1535; ≥80 Jahre: n=537) aus deutschen Krebsregistern 2015-2023 bezüglich Behandlungsmuster und Überleben.</w:t>
      </w:r>
    </w:p>
    <w:p>
      <w:r>
        <w:rPr>
          <w:b/>
        </w:rPr>
        <w:t xml:space="preserve">Ergebnis: </w:t>
      </w:r>
      <w:r>
        <w:t>Anteil Patienten ≥80 Jahre stieg von 15% (2015) auf 32% (2023). 24% der operierten Oktogenare erhielten adjuvante Chemotherapie. Overall Survival und disease-free Survival waren schlechter als in jüngeren Kohorten. Oktogenare mit alleiniger Operation oder Chemotherapie hatten vergleichbare Überlebensraten wie palliativ behandelte Patienten.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Krebsregisterdaten, gesetzlich Versicherte</w:t>
      </w:r>
    </w:p>
    <w:p>
      <w:r>
        <w:rPr>
          <w:color w:val="5A7D3A"/>
          <w:sz w:val="18"/>
        </w:rPr>
        <w:t>https://pubmed.ncbi.nlm.nih.gov/42588642/</w:t>
      </w:r>
    </w:p>
    <w:p>
      <w:pPr>
        <w:pStyle w:val="Heading2"/>
      </w:pPr>
      <w:r>
        <w:t>Erlebte integrierte Versorgung für Kinder mit Sonderbedarf in Deutschland: PART-CHILD-Kohortenstudie</w:t>
      </w:r>
    </w:p>
    <w:p>
      <w:r>
        <w:rPr>
          <w:i/>
          <w:color w:val="666666"/>
          <w:sz w:val="18"/>
        </w:rPr>
        <w:t>Bohnert K et al.  ·  BMC Health Services Research  ·  08.08.2026  ·  PMID 42576220</w:t>
      </w:r>
    </w:p>
    <w:p>
      <w:r>
        <w:t>Querschnittsanalyse von 459 Betreuungspersonen von Kindern mit Sonderbedarf zu ihrer Erfahrung mit integrierten Versorgungsangeboten und Zusammenhänge mit soziodemografischen, gesundheits- und netzwerkbezogenen Faktoren.</w:t>
      </w:r>
    </w:p>
    <w:p>
      <w:r>
        <w:rPr>
          <w:b/>
        </w:rPr>
        <w:t xml:space="preserve">Ergebnis: </w:t>
      </w:r>
      <w:r>
        <w:t>Durchschnittliche Bewertung Teamqualität/Kommunikation 4,1±1,1 (Skala bis 9), Aufmerksamkeit für Familienbelastung 2,3±1,1. Höhere unmet needs assoziiert mit niedrigerer Teamqualität (≥5 unmet needs: β=-0,83; 95%-KI -1,28 bis -0,38). Größere Versorgungsnetzwerke (6-10 Anbieter) positiv mit Familienaufmerksamkeit (β=0,38; 95%-KI 0,07-0,70).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Daten, gesetzlich versicherte Bevölkerung</w:t>
      </w:r>
    </w:p>
    <w:p>
      <w:r>
        <w:rPr>
          <w:color w:val="5A7D3A"/>
          <w:sz w:val="18"/>
        </w:rPr>
        <w:t>https://pubmed.ncbi.nlm.nih.gov/42576220/</w:t>
      </w:r>
    </w:p>
    <w:p>
      <w:pPr>
        <w:pStyle w:val="Heading1"/>
      </w:pPr>
      <w:r>
        <w:t>Aufgenommen am 15.08.2026</w:t>
      </w:r>
    </w:p>
    <w:p>
      <w:pPr>
        <w:pStyle w:val="Heading2"/>
      </w:pPr>
      <w:r>
        <w:t>Elektrische Kardioversion bei Vorhofflimmern: nationale Trends in Dänemark 2010-2022</w:t>
      </w:r>
    </w:p>
    <w:p>
      <w:r>
        <w:rPr>
          <w:i/>
          <w:color w:val="666666"/>
          <w:sz w:val="18"/>
        </w:rPr>
        <w:t>Frost L et al.  ·  Open Heart  ·  14.08.2026  ·  PMID 42601168</w:t>
      </w:r>
    </w:p>
    <w:p>
      <w:r>
        <w:t>Die Studie untersuchte zeitliche Trends in der Nutzung von elektrischer Kardioversion bei Patienten mit Vorhofflimmern in Dänemark über 12 Jahre.</w:t>
      </w:r>
    </w:p>
    <w:p>
      <w:r>
        <w:rPr>
          <w:b/>
        </w:rPr>
        <w:t xml:space="preserve">Ergebnis: </w:t>
      </w:r>
      <w:r>
        <w:t>Die Gesamtzahl der Kardioversionen pro Jahr stieg von 2204 (2010) auf 8300 (2022) um das Vierfache; die altersadjustierte und geschlechterstandardisierte Rate sank jedoch von 449,5 auf 316,6 pro 1000 Personenjahre im ersten Jahr nach Diagnose, was auf eine gezieltere Einsatzweise hindeutet.</w:t>
      </w:r>
    </w:p>
    <w:p>
      <w:r>
        <w:rPr>
          <w:color w:val="5A7D3A"/>
          <w:sz w:val="18"/>
        </w:rPr>
        <w:t>https://pubmed.ncbi.nlm.nih.gov/42601168/</w:t>
      </w:r>
    </w:p>
    <w:p>
      <w:pPr>
        <w:pStyle w:val="Heading2"/>
      </w:pPr>
      <w:r>
        <w:t>Machbarkeit von S-Patch versus 24-Stunden-Holter bei älteren Erwachsenen mit Stürzen: randomisierte Crossover-Pilotstudie</w:t>
      </w:r>
    </w:p>
    <w:p>
      <w:r>
        <w:rPr>
          <w:i/>
          <w:color w:val="666666"/>
          <w:sz w:val="18"/>
        </w:rPr>
        <w:t>Rosario B et al.  ·  JMIR Rehabilitation and Assistive Technology  ·  14.08.2026  ·  PMID 42600137</w:t>
      </w:r>
    </w:p>
    <w:p>
      <w:r>
        <w:t>Die Studie verglich Machbarkeit, Verträglichkeit und Adhärenz eines neuen tragbaren EKG-Geräts (S-Patch) mit Standard-Holter-Monitoring bei älteren Patienten mit Sturzrisiko.</w:t>
      </w:r>
    </w:p>
    <w:p>
      <w:r>
        <w:rPr>
          <w:b/>
        </w:rPr>
        <w:t xml:space="preserve">Ergebnis: </w:t>
      </w:r>
      <w:r>
        <w:t>Bei 70 Patienten (45,7% mit kognitiver Beeinträchtigung) zeigte S-Patch längere durchschnittliche Tragedauer (&gt;60 Stunden, signifikant länger wenn zuerst angewendet: 68,8 vs. 62,9 Stunden; p=0,04) mit vergleichbaren Arrhythmie-Erkennungsraten und guter Verträglichkeit auch bei kognitiv beeinträchtigten Patienten.</w:t>
      </w:r>
    </w:p>
    <w:p>
      <w:r>
        <w:rPr>
          <w:color w:val="5A7D3A"/>
          <w:sz w:val="18"/>
        </w:rPr>
        <w:t>https://pubmed.ncbi.nlm.nih.gov/42600137/</w:t>
      </w:r>
    </w:p>
    <w:p>
      <w:pPr>
        <w:pStyle w:val="Heading2"/>
      </w:pPr>
      <w:r>
        <w:t>Entwicklung konsensbasierter Sicherheits- und Qualitäsindikatoren für sicheren Opioid-Einsatz in Krankenhäusern mittels modifizierter Delphi-Methode</w:t>
      </w:r>
    </w:p>
    <w:p>
      <w:r>
        <w:rPr>
          <w:i/>
          <w:color w:val="666666"/>
          <w:sz w:val="18"/>
        </w:rPr>
        <w:t>Mutashar A et al.  ·  Int J Qual Health Care  ·  14.08.2026  ·  PMID 42599219</w:t>
      </w:r>
    </w:p>
    <w:p>
      <w:r>
        <w:t>Die Studie entwickelte einen Katalog von Indikatoren zur Überwachung der Sicherheit und Qualität des Opioid-Einsatzes in australischen Krankenhäusern durch ein multidisziplinäres Expertengremium.</w:t>
      </w:r>
    </w:p>
    <w:p>
      <w:r>
        <w:rPr>
          <w:b/>
        </w:rPr>
        <w:t xml:space="preserve">Ergebnis: </w:t>
      </w:r>
      <w:r>
        <w:t>Von 34 bewerteten Indikatoren erreichten 17 Konsens für Wichtigkeit und Durchführbarkeit (Antwortquoten: Round 1 91%, Treffen 50%, Round 2 77%), was ein praktikables Werkzeug zur Verbesserung der Opioid-Medikamentensicherheit ermöglicht.</w:t>
      </w:r>
    </w:p>
    <w:p>
      <w:r>
        <w:rPr>
          <w:color w:val="5A7D3A"/>
          <w:sz w:val="18"/>
        </w:rPr>
        <w:t>https://pubmed.ncbi.nlm.nih.gov/42599219/</w:t>
      </w:r>
    </w:p>
    <w:p>
      <w:pPr>
        <w:pStyle w:val="Heading2"/>
      </w:pPr>
      <w:r>
        <w:t>Inzidenz, Ätiologien und Überlebensoutcomes von pädiatrischen außerklinischen Herzstillständen in Singapur</w:t>
      </w:r>
    </w:p>
    <w:p>
      <w:r>
        <w:rPr>
          <w:i/>
          <w:color w:val="666666"/>
          <w:sz w:val="18"/>
        </w:rPr>
        <w:t>Chee DS et al.  ·  Resuscitation Plus  ·  22.07.2026  ·  PMID 42598112</w:t>
      </w:r>
    </w:p>
    <w:p>
      <w:r>
        <w:t>Die Studie beschrieb Inzidenz, Ursachen und Überlebensraten von Herzstillständen bei Kindern in Singapur von 2010-2021 mittels der PAROS-Registry.</w:t>
      </w:r>
    </w:p>
    <w:p>
      <w:r>
        <w:rPr>
          <w:b/>
        </w:rPr>
        <w:t xml:space="preserve">Ergebnis: </w:t>
      </w:r>
      <w:r>
        <w:t>Von 414 Patienten betrug die Gesamtinzidenz 4,62 pro 100.000 Personenjahre (höchste Rate bei Säuglingen &lt;1 Jahr: 33,5 pro 100.000), Bystander-CPR-Rate 64,5%, häufigste Ursachen Atemwegsobstruktion (21%), Ertrinken (20,2%) und Trauma (18,5%); 30-Tage-Überlebensrate 11,1%, gutes neurologisches Ergebnis (CPC 1-2) 8,0% mit Verbesserung 2019-2021 (aOR 4,34; 95% CI 1,09-17,22; p=0,037).</w:t>
      </w:r>
    </w:p>
    <w:p>
      <w:r>
        <w:rPr>
          <w:color w:val="5A7D3A"/>
          <w:sz w:val="18"/>
        </w:rPr>
        <w:t>https://pubmed.ncbi.nlm.nih.gov/42598112/</w:t>
      </w:r>
    </w:p>
    <w:p>
      <w:pPr>
        <w:pStyle w:val="Heading2"/>
      </w:pPr>
      <w:r>
        <w:t>Rolle von Life's Essential 8 in der Assoziation von Nachtschichtarbeit mit kardiovaskulären Erkrankungen: prospektive UK-Biobank-Kohorte</w:t>
      </w:r>
    </w:p>
    <w:p>
      <w:r>
        <w:rPr>
          <w:i/>
          <w:color w:val="666666"/>
          <w:sz w:val="18"/>
        </w:rPr>
        <w:t>Huang Y et al.  ·  J Global Health  ·  14.08.2026  ·  PMID 42596889</w:t>
      </w:r>
    </w:p>
    <w:p>
      <w:r>
        <w:t>Die Studie untersuchte die Assoziation zwischen Nachtschichtarbeit und kardiovaskulären Erkrankungen sowie die vermittelnde Rolle des Life's Essential 8-Lebensstilscores bei 131.844 Erwerbstätigen.</w:t>
      </w:r>
    </w:p>
    <w:p>
      <w:r>
        <w:rPr>
          <w:b/>
        </w:rPr>
        <w:t xml:space="preserve">Ergebnis: </w:t>
      </w:r>
      <w:r>
        <w:t>Über einen Median-Follow-up von 13,78 Jahren entwickelten 29,7% kardiovaskuläre Erkrankungen und 4,2% starben; Patienten mit permanenten Nachtschichten hatten erhöhtes Risiko für kardiovaskuläre Erkrankungen (HR=1,24; 95% CI 1,18-1,31), Gesamtmortalität (HR=1,23; 95% CI 1,07-1,41) und Myokardinfarkt (HR=1,29; 95% CI 1,09-1,51); Life's Essential 8 vermittelte 39,2% der kardiovaskulären Assoziation und 33,1% der Mortalität.</w:t>
      </w:r>
    </w:p>
    <w:p>
      <w:r>
        <w:rPr>
          <w:color w:val="5A7D3A"/>
          <w:sz w:val="18"/>
        </w:rPr>
        <w:t>https://pubmed.ncbi.nlm.nih.gov/42596889/</w:t>
      </w:r>
    </w:p>
    <w:p>
      <w:pPr>
        <w:pStyle w:val="Heading2"/>
      </w:pPr>
      <w:r>
        <w:t>Implementierung eines umfassenden Sichelzellzentrums führt zu verbessertem Zugang und reduzierter Notfallversorgung</w:t>
      </w:r>
    </w:p>
    <w:p>
      <w:r>
        <w:rPr>
          <w:i/>
          <w:color w:val="666666"/>
          <w:sz w:val="18"/>
        </w:rPr>
        <w:t>Kanter J et al.  ·  BMC Health Services Research  ·  24.07.2026  ·  PMID 42596005</w:t>
      </w:r>
    </w:p>
    <w:p>
      <w:r>
        <w:t>Die Studie evaluierte die Auswirkungen der Implementierung eines multidisziplinären erwachsenen Sichelzellzentrums auf Ambulanznutzung und Notfallverlagerung in Alabama.</w:t>
      </w:r>
    </w:p>
    <w:p>
      <w:r>
        <w:rPr>
          <w:b/>
        </w:rPr>
        <w:t xml:space="preserve">Ergebnis: </w:t>
      </w:r>
      <w:r>
        <w:t>Die ambulante Klinikpopulation wuchs um mehr als das Dreifache auf 810 Patienten (2024), Infusions-Therapiebesuche stiegen um das Fünfzehnfache; durchschnittliche acute-care-Besuche pro Person/Jahr sanken signifikant von 2,11 auf 1,26 (p&lt;0,001), während routinemäßige ambulante Besuche von 2,65 auf 5,32 stiegen.</w:t>
      </w:r>
    </w:p>
    <w:p>
      <w:r>
        <w:rPr>
          <w:color w:val="5A7D3A"/>
          <w:sz w:val="18"/>
        </w:rPr>
        <w:t>https://pubmed.ncbi.nlm.nih.gov/42596005/</w:t>
      </w:r>
    </w:p>
    <w:p>
      <w:pPr>
        <w:pStyle w:val="Heading1"/>
      </w:pPr>
      <w:r>
        <w:t>Aufgenommen am 14.08.2026</w:t>
      </w:r>
    </w:p>
    <w:p>
      <w:pPr>
        <w:pStyle w:val="Heading2"/>
      </w:pPr>
      <w:r>
        <w:t>Dokumentationslücke bei eingeschränkter Gelenkbeweglichkeit in Pflegeheimen</w:t>
      </w:r>
    </w:p>
    <w:p>
      <w:r>
        <w:rPr>
          <w:i/>
          <w:color w:val="666666"/>
          <w:sz w:val="18"/>
        </w:rPr>
        <w:t>Austen S et al.  ·  J Am Med Dir Assoc  ·  13.08.2026  ·  PMID 42594509</w:t>
      </w:r>
    </w:p>
    <w:p>
      <w:r>
        <w:t>Die Studie untersuchte die Dokumentation von Gelenkbewegungseinschränkungen und schmerzenden Gelenken bei Pflegeheimbewohnern im Vergleich zur standardisierten klinischen Untersuchung.</w:t>
      </w:r>
    </w:p>
    <w:p>
      <w:r>
        <w:rPr>
          <w:b/>
        </w:rPr>
        <w:t xml:space="preserve">Ergebnis: </w:t>
      </w:r>
      <w:r>
        <w:t>Bei 69% der Bewohner wurde eine eingeschränkte Gelenkbeweglichkeit festgestellt, aber nur in 4% der Fälle dokumentiert. Die Hüftbeweglichkeit war in 51% der Fälle limitiert, wurde aber in keinem Fall dokumentiert. Bewohner mit nicht dokumentierten Bewegungseinschränkungen zeigten signifikant höhere funktionelle Abhängigkeit beim Umlagern (p &lt; 0,001).</w:t>
      </w:r>
    </w:p>
    <w:p>
      <w:r>
        <w:rPr>
          <w:color w:val="5A7D3A"/>
          <w:sz w:val="18"/>
        </w:rPr>
        <w:t>https://pubmed.ncbi.nlm.nih.gov/42594509/</w:t>
      </w:r>
    </w:p>
    <w:p>
      <w:pPr>
        <w:pStyle w:val="Heading2"/>
      </w:pPr>
      <w:r>
        <w:t>Emotionale Belastung durch Alarme bei Diabetes-Technologien</w:t>
      </w:r>
    </w:p>
    <w:p>
      <w:r>
        <w:rPr>
          <w:i/>
          <w:color w:val="666666"/>
          <w:sz w:val="18"/>
        </w:rPr>
        <w:t>Everett E et al.  ·  JMIR Diabetes  ·  13.08.2026  ·  PMID 42594259</w:t>
      </w:r>
    </w:p>
    <w:p>
      <w:r>
        <w:t>Die Studie verglich die Alarmhäufigkeit, emotionale Belastung und Verhaltensreaktionen auf Alarme zwischen Nutzern von kontinuierlichen Glukosemessgeräten, sensorunterstützten Pumpen und automatisierten Insulinabgabesystemen.</w:t>
      </w:r>
    </w:p>
    <w:p>
      <w:r>
        <w:rPr>
          <w:b/>
        </w:rPr>
        <w:t xml:space="preserve">Ergebnis: </w:t>
      </w:r>
      <w:r>
        <w:t>Von 838 Befragten berichteten Nutzer von automatisierten Systemen die höchste Alarmfrequenz (49% mehrmals täglich vs. 35% bzw. 32% in anderen Gruppen, p &lt; 0,001). Nach Adjustment zeigte sich ein erhöhtes Risiko für häufige Alarme (OR 1,98, 95% KI 1,48–2,65) und Überkorrektionen bei niedriger Glukose (OR 1,61, 95% KI 1,20–2,15) bei automatisierten Systemen.</w:t>
      </w:r>
    </w:p>
    <w:p>
      <w:r>
        <w:rPr>
          <w:color w:val="5A7D3A"/>
          <w:sz w:val="18"/>
        </w:rPr>
        <w:t>https://pubmed.ncbi.nlm.nih.gov/42594259/</w:t>
      </w:r>
    </w:p>
    <w:p>
      <w:pPr>
        <w:pStyle w:val="Heading2"/>
      </w:pPr>
      <w:r>
        <w:t>Chronic Kidney Disease Care Model zur Verbesserung von Patientenergebnissen</w:t>
      </w:r>
    </w:p>
    <w:p>
      <w:r>
        <w:rPr>
          <w:i/>
          <w:color w:val="666666"/>
          <w:sz w:val="18"/>
        </w:rPr>
        <w:t>Briggs AH et al.  ·  Pharmacoecon Open  ·  13.08.2026  ·  PMID 42593670</w:t>
      </w:r>
    </w:p>
    <w:p>
      <w:r>
        <w:t>Die Studie beschreibt ein Entscheidungsmodell zur Quantifizierung von Managementstrategien bei chronischer Nierenerkrankung und deren Kosteneffektivität in den USA.</w:t>
      </w:r>
    </w:p>
    <w:p>
      <w:r>
        <w:rPr>
          <w:b/>
        </w:rPr>
        <w:t xml:space="preserve">Ergebnis: </w:t>
      </w:r>
      <w:r>
        <w:t>Unter Standardbehandlung werden 15% der Patienten von Ursachen unabhängig von Nierenerkrankung sterben (nach durchschnittlich 12 Jahren). Mit optimierter Behandlung erhöht sich dieser Anteil auf 20% (nach 14 Jahren). Leitliniengerechte Behandlung ohne Verzögerung führt zu 0,68 QALYs Lebenszeitgewinn bei Kosten von 47.800 USD pro Patient.</w:t>
      </w:r>
    </w:p>
    <w:p>
      <w:r>
        <w:rPr>
          <w:color w:val="5A7D3A"/>
          <w:sz w:val="18"/>
        </w:rPr>
        <w:t>https://pubmed.ncbi.nlm.nih.gov/42593670/</w:t>
      </w:r>
    </w:p>
    <w:p>
      <w:pPr>
        <w:pStyle w:val="Heading2"/>
      </w:pPr>
      <w:r>
        <w:t>Algorithmen zur Identifikation klinisch beabsichtigter Medikamentenabsetzungen</w:t>
      </w:r>
    </w:p>
    <w:p>
      <w:r>
        <w:rPr>
          <w:i/>
          <w:color w:val="666666"/>
          <w:sz w:val="18"/>
        </w:rPr>
        <w:t>Goodrich GK et al.  ·  Med Care  ·  13.08.2026  ·  PMID 42593400</w:t>
      </w:r>
    </w:p>
    <w:p>
      <w:r>
        <w:t>Die Studie entwickelte algorithmische Verfahren zur Identifikation absichtlicher Medikamentenabsetzungen mittels Textsuche und klinischen Daten für fünf Arzneimittelgruppen.</w:t>
      </w:r>
    </w:p>
    <w:p>
      <w:r>
        <w:rPr>
          <w:b/>
        </w:rPr>
        <w:t xml:space="preserve">Ergebnis: </w:t>
      </w:r>
      <w:r>
        <w:t>Für die Validierungsstichproben betrugen Sensitivität und Spezifität für den vollständigen Algorithmus: orale Antidiabetika 80% und 85% (n=467), Statine 75% und 95% (n=282), Antihypertensiva 82% und 75% (n=599), Blasen-Antimuscarinergika 77% und 80% (n=80), Antikoagulanzien 74% und 78% (n=160).</w:t>
      </w:r>
    </w:p>
    <w:p>
      <w:r>
        <w:rPr>
          <w:color w:val="5A7D3A"/>
          <w:sz w:val="18"/>
        </w:rPr>
        <w:t>https://pubmed.ncbi.nlm.nih.gov/42593400/</w:t>
      </w:r>
    </w:p>
    <w:p>
      <w:pPr>
        <w:pStyle w:val="Heading2"/>
      </w:pPr>
      <w:r>
        <w:t>Mechanisch beatmete Kinder in pädiatrischen vs. allgemeinen Intensivstationen in Japan</w:t>
      </w:r>
    </w:p>
    <w:p>
      <w:r>
        <w:rPr>
          <w:i/>
          <w:color w:val="666666"/>
          <w:sz w:val="18"/>
        </w:rPr>
        <w:t>Sakurai Y et al.  ·  Front Pediatr  ·  29.07.2026  ·  PMID 42591500</w:t>
      </w:r>
    </w:p>
    <w:p>
      <w:r>
        <w:t>Die Studie verglich klinische Ergebnisse mechanisch beatmeter Kinder in spezialisierten pädiatrischen Intensivstationen (PICU) versus allgemeinen Intensivstationen (GICU).</w:t>
      </w:r>
    </w:p>
    <w:p>
      <w:r>
        <w:rPr>
          <w:b/>
        </w:rPr>
        <w:t xml:space="preserve">Ergebnis: </w:t>
      </w:r>
      <w:r>
        <w:t>Von 48.106 Patienten wurden 36% auf PICUs behandelt. Nach Propensity-Score-Analyse zeigte PICU-Versorgung signifikant niedrigere Krankenhaussterblichkeit (2,73% vs. 3,42%; OR 0,79, 95% KI 0,69–0,91; p = 0,001), aber längere Gesamtaufenthalte (22,74 vs. 22,13 Tage; p &lt; 0,001).</w:t>
      </w:r>
    </w:p>
    <w:p>
      <w:r>
        <w:rPr>
          <w:color w:val="5A7D3A"/>
          <w:sz w:val="18"/>
        </w:rPr>
        <w:t>https://pubmed.ncbi.nlm.nih.gov/42591500/</w:t>
      </w:r>
    </w:p>
    <w:p>
      <w:pPr>
        <w:pStyle w:val="Heading1"/>
      </w:pPr>
      <w:r>
        <w:t>Aufgenommen am 13.08.2026</w:t>
      </w:r>
    </w:p>
    <w:p>
      <w:pPr>
        <w:pStyle w:val="Heading2"/>
      </w:pPr>
      <w:r>
        <w:t>Door-to-Balloon-Zeit, Komplikationen und Verweildauer bei STEMI</w:t>
      </w:r>
    </w:p>
    <w:p>
      <w:r>
        <w:rPr>
          <w:i/>
          <w:color w:val="666666"/>
          <w:sz w:val="18"/>
        </w:rPr>
        <w:t>Eid AbuRuz M et al.  ·  J Clin Med  ·  26.07.2026  ·  PMID 42589943</w:t>
      </w:r>
    </w:p>
    <w:p>
      <w:r>
        <w:t>Diese prospektive Beobachtungsstudie untersuchte, ob die Door-to-Balloon-Zeit (D2B) bei ST-Hebungs-Myokardinfarkt (STEMI) postoperative Komplikationen und Krankenhausverweildauer vorhersagt.</w:t>
      </w:r>
    </w:p>
    <w:p>
      <w:r>
        <w:rPr>
          <w:b/>
        </w:rPr>
        <w:t xml:space="preserve">Ergebnis: </w:t>
      </w:r>
      <w:r>
        <w:t>Eine verzögerte D2B-Zeit (≥2 h) war mit 2,22-fach erhöhtem Komplikationsrisiko assoziiert; jede zusätzliche Stunde Verzögerung führte zu 0,294 Tagen mehr Krankenhausaufenthalt. Ein Median D2B von 108 Minuten wurde beobachtet (IQR 65–395).</w:t>
      </w:r>
    </w:p>
    <w:p>
      <w:r>
        <w:rPr>
          <w:color w:val="5A7D3A"/>
          <w:sz w:val="18"/>
        </w:rPr>
        <w:t>https://pubmed.ncbi.nlm.nih.gov/42589943/</w:t>
      </w:r>
    </w:p>
    <w:p>
      <w:pPr>
        <w:pStyle w:val="Heading2"/>
      </w:pPr>
      <w:r>
        <w:t>Simulation der Effekte von Mindestfallzahl-Schwellenwerten auf die geografische Erreichbarkeit neurochirurgischer Kliniken in Deutschland</w:t>
      </w:r>
    </w:p>
    <w:p>
      <w:r>
        <w:rPr>
          <w:i/>
          <w:color w:val="666666"/>
          <w:sz w:val="18"/>
        </w:rPr>
        <w:t>Mayer S et al.  ·  Healthcare (Basel)  ·  06.08.2026  ·  PMID 42588405</w:t>
      </w:r>
    </w:p>
    <w:p>
      <w:r>
        <w:t>Diese Simulationsstudie untersuchte die Auswirkungen unterschiedlicher Mindestfallzahl-Schwellenwerte auf die geografische Erreichbarkeit neurochirurgischer Versorgung in Deutschland.</w:t>
      </w:r>
    </w:p>
    <w:p>
      <w:r>
        <w:rPr>
          <w:b/>
        </w:rPr>
        <w:t xml:space="preserve">Ergebnis: </w:t>
      </w:r>
      <w:r>
        <w:t>Basale Erreichbarkeit innerhalb 40 Minuten Fahrtzeit (A2N40) betrug 66,6 % der Fläche und 84,7 % der Bevölkerung. Eine Erhöhung um einen Perzentilpunkt der Fallzahl-Schwelle reduzierte A2N40 um durchschnittlich 0,70 Prozentpunkte, was etwa 305.000 zusätzliche Menschen betrifft.</w:t>
      </w:r>
    </w:p>
    <w:p>
      <w:r>
        <w:rPr>
          <w:color w:val="5A7D3A"/>
          <w:sz w:val="18"/>
        </w:rPr>
        <w:t>https://pubmed.ncbi.nlm.nih.gov/42588405/</w:t>
      </w:r>
    </w:p>
    <w:p>
      <w:pPr>
        <w:pStyle w:val="Heading2"/>
      </w:pPr>
      <w:r>
        <w:t>Evaluation eines Stärkenbasierten Resilienz-Programms auf Widerstandskraft, wahrgenommenen Stress und depressive Symptome bei Schülern in Thailand</w:t>
      </w:r>
    </w:p>
    <w:p>
      <w:r>
        <w:rPr>
          <w:i/>
          <w:color w:val="666666"/>
          <w:sz w:val="18"/>
        </w:rPr>
        <w:t>Na Nakorn S et al.  ·  Healthcare (Basel)  ·  01.08.2026  ·  PMID 42588304</w:t>
      </w:r>
    </w:p>
    <w:p>
      <w:r>
        <w:t>Diese quasi-experimentelle Single-Group-Studie evaluierte ein sechswöchiges Resilienz-Programm bei 26 sekundarschul-Schülern mit Messungen zu Baseline, direkt nach Intervention und nach einem Monat.</w:t>
      </w:r>
    </w:p>
    <w:p>
      <w:r>
        <w:rPr>
          <w:b/>
        </w:rPr>
        <w:t xml:space="preserve">Ergebnis: </w:t>
      </w:r>
      <w:r>
        <w:t>Resilienz stieg von M=64,00 (Baseline) auf M=76,46 (direkt post) und M=78,19 (ein Monat später; p&amp;lt;0,001, η²=0,752). Wahrgenommener Stress sank von M=20,62 auf M=13,04 und M=9,62 (p&amp;lt;0,001, η²=0,808). Depressive Symptome sanken von M=7,27 auf M=5,81 und M=4,88 (p&amp;lt;0,001, η²=0,371).</w:t>
      </w:r>
    </w:p>
    <w:p>
      <w:r>
        <w:rPr>
          <w:color w:val="5A7D3A"/>
          <w:sz w:val="18"/>
        </w:rPr>
        <w:t>https://pubmed.ncbi.nlm.nih.gov/42588304/</w:t>
      </w:r>
    </w:p>
    <w:p>
      <w:pPr>
        <w:pStyle w:val="Heading2"/>
      </w:pPr>
      <w:r>
        <w:t>Kürzere Verweildauer nach risikoarmem Kaiserschnitt</w:t>
      </w:r>
    </w:p>
    <w:p>
      <w:r>
        <w:rPr>
          <w:i/>
          <w:color w:val="666666"/>
          <w:sz w:val="18"/>
        </w:rPr>
        <w:t>Su WG et al.  ·  BMJ Open Quality  ·  12.08.2026  ·  PMID 42586586</w:t>
      </w:r>
    </w:p>
    <w:p>
      <w:r>
        <w:t>Qualitätsverbesserungsprojekt zur Entlassung am dritten Tag nach risikoarmem Kaiserschnitt.</w:t>
      </w:r>
    </w:p>
    <w:p>
      <w:r>
        <w:rPr>
          <w:b/>
        </w:rPr>
        <w:t xml:space="preserve">Ergebnis: </w:t>
      </w:r>
      <w:r>
        <w:t>Die Entlassungsrate am dritten Tag stieg von 80,0 % (n = 352) auf 84,5 % (n = 241), nach dem gebündelten Maßnahmenpaket von 83,3 % auf 92,5 %; geschätzte Einsparung 70.884 SGD. Standardisierte Abläufe verkürzen die Liegezeit ohne Qualitätsverlust.</w:t>
      </w:r>
    </w:p>
    <w:p>
      <w:r>
        <w:rPr>
          <w:color w:val="5A7D3A"/>
          <w:sz w:val="18"/>
        </w:rPr>
        <w:t>https://pubmed.ncbi.nlm.nih.gov/42586586/</w:t>
      </w:r>
    </w:p>
    <w:p>
      <w:pPr>
        <w:pStyle w:val="Heading2"/>
      </w:pPr>
      <w:r>
        <w:t>Entwicklung und Validierung des N-DROP-Scores zur Vorhersage der 30-Tage-Sterblichkeit bei Pflegeheim-assoziierten Pneumonien</w:t>
      </w:r>
    </w:p>
    <w:p>
      <w:r>
        <w:rPr>
          <w:i/>
          <w:color w:val="666666"/>
          <w:sz w:val="18"/>
        </w:rPr>
        <w:t>Taniguchi J et al.  ·  J Infect Chemother  ·  12.08.2026  ·  PMID 42586261</w:t>
      </w:r>
    </w:p>
    <w:p>
      <w:r>
        <w:t>Diese Studie entwickelte mittels LASSO-Regression ein verbessertes Modell zur Vorhersage der in-Hospital-Sterblichkeit bei Pflegeheim-assoziierten Pneumonien (NHCAP) basierend auf Faktoren jenseits des klassischen A-DROP-Scores.</w:t>
      </w:r>
    </w:p>
    <w:p>
      <w:r>
        <w:rPr>
          <w:b/>
        </w:rPr>
        <w:t xml:space="preserve">Ergebnis: </w:t>
      </w:r>
      <w:r>
        <w:t>Die 30-Tage-Sterblichkeit in 116.185 Patienten betrug 11,7 %. Der N-DROP-Score zeigte verbesserte Diskriminationsfähigkeit (C-Statistik 0,746; 95 % KI 0,734–0,757) gegenüber A-DROP (0,708; 95 % KI 0,695–0,720; p&amp;lt;0,001).</w:t>
      </w:r>
    </w:p>
    <w:p>
      <w:r>
        <w:rPr>
          <w:color w:val="5A7D3A"/>
          <w:sz w:val="18"/>
        </w:rPr>
        <w:t>https://pubmed.ncbi.nlm.nih.gov/42586261/</w:t>
      </w:r>
    </w:p>
    <w:p>
      <w:pPr>
        <w:pStyle w:val="Heading2"/>
      </w:pPr>
      <w:r>
        <w:t>Wertbasierte Vergütung in der Primärversorgung und Low-Value Care</w:t>
      </w:r>
    </w:p>
    <w:p>
      <w:r>
        <w:rPr>
          <w:i/>
          <w:color w:val="666666"/>
          <w:sz w:val="18"/>
        </w:rPr>
        <w:t>Izguttinov A et al.  ·  Health Services Research  ·  Aug. 2026  ·  PMID 42584215</w:t>
      </w:r>
    </w:p>
    <w:p>
      <w:r>
        <w:t>Untersuchung, ob die Einführung wertbasierter Vergütung in Hausarztpraxen unnötige Leistungen reduziert.</w:t>
      </w:r>
    </w:p>
    <w:p>
      <w:r>
        <w:rPr>
          <w:b/>
        </w:rPr>
        <w:t xml:space="preserve">Ergebnis: </w:t>
      </w:r>
      <w:r>
        <w:t>Über 33,6 Mio. Versichertenmonate (1,34 Mio. Versicherte, 7.903 Praxen) blieben die Unterschiede ohne statistische Signifikanz: Bildgebung bei Fersensporn 31,2 % gegenüber 28,9 %, bei Kopfschmerz 14,8 % gegenüber 14,5 %, bei Rückenschmerz je 13,8 %. Vergütungsanreize allein senken Low-Value Care offenbar nicht.</w:t>
      </w:r>
    </w:p>
    <w:p>
      <w:r>
        <w:rPr>
          <w:color w:val="5A7D3A"/>
          <w:sz w:val="18"/>
        </w:rPr>
        <w:t>https://pubmed.ncbi.nlm.nih.gov/42584215/</w:t>
      </w:r>
    </w:p>
    <w:p>
      <w:pPr>
        <w:pStyle w:val="Heading2"/>
      </w:pPr>
      <w:r>
        <w:t>Inanspruchnahme und Kosten bei Long COVID (England und Wales)</w:t>
      </w:r>
    </w:p>
    <w:p>
      <w:r>
        <w:rPr>
          <w:i/>
          <w:color w:val="666666"/>
          <w:sz w:val="18"/>
        </w:rPr>
        <w:t>Dashtban A et al.  ·  Journal of the Royal Society of Medicine  ·  12.08.2026  ·  PMID 42584205</w:t>
      </w:r>
    </w:p>
    <w:p>
      <w:r>
        <w:t>Vergleich von Versorgungskosten und Arztkontakten zwischen Long-COVID-Betroffenen und Kontrollpersonen.</w:t>
      </w:r>
    </w:p>
    <w:p>
      <w:r>
        <w:rPr>
          <w:b/>
        </w:rPr>
        <w:t xml:space="preserve">Ergebnis: </w:t>
      </w:r>
      <w:r>
        <w:t>Die mittleren Jahreskosten lagen in Wales bei 6.681,60 £ gegenüber 2.039,90 £ (3,27-fach), in England bei 3.378,30 £ gegenüber 1.355,80 £ (2,49-fach); Wales verzeichnete einen um 25 % stärkeren relativen Kostenanstieg (Verhältnis 1,25; 95%-KI 1,09–1,42). Die Versorgungslast fällt regional deutlich unterschiedlich aus.</w:t>
      </w:r>
    </w:p>
    <w:p>
      <w:r>
        <w:rPr>
          <w:color w:val="5A7D3A"/>
          <w:sz w:val="18"/>
        </w:rPr>
        <w:t>https://pubmed.ncbi.nlm.nih.gov/42584205/</w:t>
      </w:r>
    </w:p>
    <w:p>
      <w:pPr>
        <w:pStyle w:val="Heading2"/>
      </w:pPr>
      <w:r>
        <w:t>Eigenbesitz an Zusatzleistungen und Testhäufigkeit in Urologiepraxen</w:t>
      </w:r>
    </w:p>
    <w:p>
      <w:r>
        <w:rPr>
          <w:i/>
          <w:color w:val="666666"/>
          <w:sz w:val="18"/>
        </w:rPr>
        <w:t>Srivastava A et al.  ·  Medical Care  ·  12.08.2026  ·  PMID 42583905</w:t>
      </w:r>
    </w:p>
    <w:p>
      <w:r>
        <w:t>Analyse, ob unternehmerische Beteiligung von Urologiepraxen an Zusatzleistungen die Zahl angeordneter Tests erhöht.</w:t>
      </w:r>
    </w:p>
    <w:p>
      <w:r>
        <w:rPr>
          <w:b/>
        </w:rPr>
        <w:t xml:space="preserve">Ergebnis: </w:t>
      </w:r>
      <w:r>
        <w:t>20,6 % der Praxen (706 von 3.430) besaßen eigene Zusatzleistungen; pro 10 Punkte auf dem Unternehmerindex stiegen bei 49.285 Männern die Chancen für Urinuntersuchungen auf das 1,13-Fache (95%-KI 1,09–1,18; p &lt; 0,001) und für nicht indikationsbezogene Tests auf das 1,21-Fache (95%-KI 1,15–1,27; p &lt; 0,001). Finanzielle Eigeninteressen schlagen messbar auf die Leistungsmenge durch.</w:t>
      </w:r>
    </w:p>
    <w:p>
      <w:r>
        <w:rPr>
          <w:color w:val="5A7D3A"/>
          <w:sz w:val="18"/>
        </w:rPr>
        <w:t>https://pubmed.ncbi.nlm.nih.gov/42583905/</w:t>
      </w:r>
    </w:p>
    <w:p>
      <w:pPr>
        <w:pStyle w:val="Heading2"/>
      </w:pPr>
      <w:r>
        <w:t>Soziale Bedarfe und Versorgungszugang nach Kostenträger</w:t>
      </w:r>
    </w:p>
    <w:p>
      <w:r>
        <w:rPr>
          <w:i/>
          <w:color w:val="666666"/>
          <w:sz w:val="18"/>
        </w:rPr>
        <w:t>Wang VH et al.  ·  Medical Care  ·  10.08.2026  ·  PMID 42583901</w:t>
      </w:r>
    </w:p>
    <w:p>
      <w:r>
        <w:t>Querschnittsanalyse, wie häufig gesundheitsbezogene soziale Bedarfe je nach Versicherungsart auftreten und den Zugang zur Versorgung beeinflussen.</w:t>
      </w:r>
    </w:p>
    <w:p>
      <w:r>
        <w:rPr>
          <w:b/>
        </w:rPr>
        <w:t xml:space="preserve">Ergebnis: </w:t>
      </w:r>
      <w:r>
        <w:t>Unter 126.490 Befragten war Ernährungsunsicherheit bei Medicaid-Versicherten mit 49,20 % weit häufiger als bei privat (11,89 %) oder über Medicare (5,20 %) Versicherten; Wohnungsunsicherheit lag bei 54,61 %, 25,18 % und 14,99 %. Ernährungsunsicherheit ging in allen Gruppen mit häufiger unterlassener Versorgung einher.</w:t>
      </w:r>
    </w:p>
    <w:p>
      <w:r>
        <w:rPr>
          <w:color w:val="5A7D3A"/>
          <w:sz w:val="18"/>
        </w:rPr>
        <w:t>https://pubmed.ncbi.nlm.nih.gov/42583901/</w:t>
      </w:r>
    </w:p>
    <w:p>
      <w:pPr>
        <w:pStyle w:val="Heading2"/>
      </w:pPr>
      <w:r>
        <w:t>Leitlinientreue in der Nachsorge nach akuter Nierenschädigung</w:t>
      </w:r>
    </w:p>
    <w:p>
      <w:r>
        <w:rPr>
          <w:i/>
          <w:color w:val="666666"/>
          <w:sz w:val="18"/>
        </w:rPr>
        <w:t>Mok PLH et al.  ·  BMC Medicine  ·  12.08.2026  ·  PMID 42581362</w:t>
      </w:r>
    </w:p>
    <w:p>
      <w:r>
        <w:t>Routinedatenanalyse zur Frage, wie konsequent die empfohlene Nachsorge nach akuter Nierenschädigung umgesetzt wird.</w:t>
      </w:r>
    </w:p>
    <w:p>
      <w:r>
        <w:rPr>
          <w:b/>
        </w:rPr>
        <w:t xml:space="preserve">Ergebnis: </w:t>
      </w:r>
      <w:r>
        <w:t>Bei 209.222 Patientinnen und Patienten (279.187 Episoden) wurde die Nierenschädigung nur in 19,5 % kodiert (95%-KI 18,5–20,5); 72,6 % hatten Hausarztkontakt, aber nur 34,2 % eine Kreatininkontrolle nach 90 Tagen und 4,2 % eine Albumin-Kreatinin-Bestimmung. Die empfohlene Nachsorge findet weitgehend nicht statt.</w:t>
      </w:r>
    </w:p>
    <w:p>
      <w:r>
        <w:rPr>
          <w:color w:val="5A7D3A"/>
          <w:sz w:val="18"/>
        </w:rPr>
        <w:t>https://pubmed.ncbi.nlm.nih.gov/42581362/</w:t>
      </w:r>
    </w:p>
    <w:p>
      <w:pPr>
        <w:pStyle w:val="Heading1"/>
      </w:pPr>
      <w:r>
        <w:t>Aufgenommen am 10.08.2026</w:t>
      </w:r>
    </w:p>
    <w:p>
      <w:pPr>
        <w:pStyle w:val="Heading2"/>
      </w:pPr>
      <w:r>
        <w:t>ConcePTION-Algorithmus: Schwangerschaften in Routinedaten erkennen</w:t>
      </w:r>
    </w:p>
    <w:p>
      <w:r>
        <w:rPr>
          <w:i/>
          <w:color w:val="666666"/>
          <w:sz w:val="18"/>
        </w:rPr>
        <w:t>Limoncella G et al.  ·  Pharmacoepidemiology and Drug Safety  ·  Aug. 2026  ·  PMID 42571911</w:t>
      </w:r>
    </w:p>
    <w:p>
      <w:r>
        <w:t>Entwicklung und Anwendung eines Algorithmus, der Schwangerschaften in bevölkerungsbezogenen Gesundheitsdatenbanken identifiziert.</w:t>
      </w:r>
    </w:p>
    <w:p>
      <w:r>
        <w:rPr>
          <w:b/>
        </w:rPr>
        <w:t xml:space="preserve">Ergebnis: </w:t>
      </w:r>
      <w:r>
        <w:t>Über 10 europäische Datenbanken wurden rund 2,7 Mio. Schwangerschaften erkannt; 50–83 % endeten in Lebendgeburten, 4–10 % in Fehlgeburten. Das Gestationsalter war für 6–89 % der Datensätze schätzbar (RMSE 17–50 Tage). Das verbessert die Nutzung von Routinedaten für die Arzneimittelsicherheit in der Schwangerschaft.</w:t>
      </w:r>
    </w:p>
    <w:p>
      <w:r>
        <w:rPr>
          <w:color w:val="5A7D3A"/>
          <w:sz w:val="18"/>
        </w:rPr>
        <w:t>https://pubmed.ncbi.nlm.nih.gov/42571911/</w:t>
      </w:r>
    </w:p>
    <w:p>
      <w:pPr>
        <w:pStyle w:val="Heading2"/>
      </w:pPr>
      <w:r>
        <w:t>Wartezeit von Diagnose bis Operation beim Zervixkarzinom</w:t>
      </w:r>
    </w:p>
    <w:p>
      <w:r>
        <w:rPr>
          <w:i/>
          <w:color w:val="666666"/>
          <w:sz w:val="18"/>
        </w:rPr>
        <w:t>Jalink M et al.  ·  Cancer Epidemiology  ·  04.08.2026  ·  PMID 42551070</w:t>
      </w:r>
    </w:p>
    <w:p>
      <w:r>
        <w:t>Kohortenstudie zum Zusammenhang zwischen dem Intervall Diagnose–Operation und dem Gesamtüberleben.</w:t>
      </w:r>
    </w:p>
    <w:p>
      <w:r>
        <w:rPr>
          <w:b/>
        </w:rPr>
        <w:t xml:space="preserve">Ergebnis: </w:t>
      </w:r>
      <w:r>
        <w:t>Bei 1.501 Patientinnen (mediane Wartezeit 80 Tage) war ein sehr kurzes Intervall (2–6 Wochen) mit erhöhtem Sterberisiko verbunden (HR 2,33; 95%-KI 1,14–4,77) gegenüber 10–14 Wochen; das Muster war U-förmig. Sowohl sehr kurze als auch sehr lange Wartezeiten erscheinen ungünstig.</w:t>
      </w:r>
    </w:p>
    <w:p>
      <w:r>
        <w:rPr>
          <w:color w:val="5A7D3A"/>
          <w:sz w:val="18"/>
        </w:rPr>
        <w:t>https://pubmed.ncbi.nlm.nih.gov/42551070/</w:t>
      </w:r>
    </w:p>
    <w:p>
      <w:pPr>
        <w:pStyle w:val="Heading1"/>
      </w:pPr>
      <w:r>
        <w:t>Aufgenommen am 09.08.2026</w:t>
      </w:r>
    </w:p>
    <w:p>
      <w:pPr>
        <w:pStyle w:val="Heading2"/>
      </w:pPr>
      <w:r>
        <w:t>Aufhörversuche beim Shisha-Rauchen junger Erwachsener in Deutschland</w:t>
      </w:r>
    </w:p>
    <w:p>
      <w:r>
        <w:rPr>
          <w:i/>
          <w:color w:val="666666"/>
          <w:sz w:val="18"/>
        </w:rPr>
        <w:t>Fedler C et al.  ·  Tobacco Use Insights  ·  07.08.2026  ·  PMID 42571166</w:t>
      </w:r>
    </w:p>
    <w:p>
      <w:r>
        <w:t>Befragung zu Aufhörverhalten und dessen Prädiktoren bei jungen Shisha-Rauchenden in Deutschland.</w:t>
      </w:r>
    </w:p>
    <w:p>
      <w:r>
        <w:rPr>
          <w:b/>
        </w:rPr>
        <w:t xml:space="preserve">Ergebnis: </w:t>
      </w:r>
      <w:r>
        <w:t>Nur 14,6 % (95%-KI 11,9–17,8) hatten je einen Aufhörversuch unternommen; die wahrgenommene Abhängigkeit war der einzige signifikante Prädiktor. Präventions- und Entwöhnungsangebote erreichen die Gruppe bislang kaum.</w:t>
      </w:r>
    </w:p>
    <w:p>
      <w:r>
        <w:rPr>
          <w:color w:val="5A7D3A"/>
          <w:sz w:val="18"/>
        </w:rPr>
        <w:t>https://pubmed.ncbi.nlm.nih.gov/42571166/</w:t>
      </w:r>
    </w:p>
    <w:p>
      <w:pPr>
        <w:pStyle w:val="Heading2"/>
      </w:pPr>
      <w:r>
        <w:t>Determinanten der Teilnahme am Mammographie-Screening (Ankara, Türkei)</w:t>
      </w:r>
    </w:p>
    <w:p>
      <w:r>
        <w:rPr>
          <w:i/>
          <w:color w:val="666666"/>
          <w:sz w:val="18"/>
        </w:rPr>
        <w:t>Topcu FB et al.  ·  BMC Health Services Research  ·  07.08.2026  ·  PMID 42571012</w:t>
      </w:r>
    </w:p>
    <w:p>
      <w:r>
        <w:t>Querschnittstudie zu Faktoren, die die Inanspruchnahme der Brustkrebs-Früherkennung bei Frauen beeinflussen.</w:t>
      </w:r>
    </w:p>
    <w:p>
      <w:r>
        <w:rPr>
          <w:b/>
        </w:rPr>
        <w:t xml:space="preserve">Ergebnis: </w:t>
      </w:r>
      <w:r>
        <w:t>Frauen, die Screening-Programme kannten, nahmen 8,5-mal häufiger teil; nach früherer anderer Krebsfrüherkennung 5,5-mal häufiger; eine chronische Erkrankung verdoppelte die Chance. Bekanntheit und Aufklärung sind die zentralen Hebel.</w:t>
      </w:r>
    </w:p>
    <w:p>
      <w:r>
        <w:rPr>
          <w:color w:val="5A7D3A"/>
          <w:sz w:val="18"/>
        </w:rPr>
        <w:t>https://pubmed.ncbi.nlm.nih.gov/42571012/</w:t>
      </w:r>
    </w:p>
    <w:p>
      <w:pPr>
        <w:pStyle w:val="Heading2"/>
      </w:pPr>
      <w:r>
        <w:t>Therapieunterbrechende Systemfehler der Heim-Peritonealdialyse (HomeChoice-Cycler)</w:t>
      </w:r>
    </w:p>
    <w:p>
      <w:r>
        <w:rPr>
          <w:i/>
          <w:color w:val="666666"/>
          <w:sz w:val="18"/>
        </w:rPr>
        <w:t>Albert A et al.  ·  BMC Health Services Research  ·  08.08.2026  ·  PMID 42571003</w:t>
      </w:r>
    </w:p>
    <w:p>
      <w:r>
        <w:t>Analyse technischer Fehler bei der Heimdialyse und ihrer Häufigkeit im Versorgungsalltag.</w:t>
      </w:r>
    </w:p>
    <w:p>
      <w:r>
        <w:rPr>
          <w:b/>
        </w:rPr>
        <w:t xml:space="preserve">Ergebnis: </w:t>
      </w:r>
      <w:r>
        <w:t>49 verschiedene Fehlertypen in 138 Vorfällen; Druckkammer-Fehler machten 21,7 % aus; Fehler traten in unter 0,25 % der Behandlungssitzungen auf. Die Heimtechnik ist überwiegend zuverlässig; einzelne Fehlerquellen sind gezielt adressierbar.</w:t>
      </w:r>
    </w:p>
    <w:p>
      <w:r>
        <w:rPr>
          <w:color w:val="5A7D3A"/>
          <w:sz w:val="18"/>
        </w:rPr>
        <w:t>https://pubmed.ncbi.nlm.nih.gov/42571003/</w:t>
      </w:r>
    </w:p>
    <w:p>
      <w:pPr>
        <w:pStyle w:val="Heading2"/>
      </w:pPr>
      <w:r>
        <w:t>Lebensqualität nach risikoreduzierender Hysterektomie</w:t>
      </w:r>
    </w:p>
    <w:p>
      <w:r>
        <w:rPr>
          <w:i/>
          <w:color w:val="666666"/>
          <w:sz w:val="18"/>
        </w:rPr>
        <w:t>Oxley S et al.  ·  Gynecologic Oncology  ·  08.08.2026  ·  PMID 42570385</w:t>
      </w:r>
    </w:p>
    <w:p>
      <w:r>
        <w:t>Untersuchung der gesundheitsbezogenen Lebensqualität (Nutzwerte) nach vorbeugender Gebärmutterentfernung.</w:t>
      </w:r>
    </w:p>
    <w:p>
      <w:r>
        <w:rPr>
          <w:b/>
        </w:rPr>
        <w:t xml:space="preserve">Ergebnis: </w:t>
      </w:r>
      <w:r>
        <w:t>Mittlere Nutzwerte lagen je nach Eingriff und Zeitpunkt zwischen 0,670 und 0,942, mit signifikanten Gruppenunterschieden (p &lt; 0,001). Art und Zeitpunkt des Eingriffs beeinflussen die Lebensqualität deutlich.</w:t>
      </w:r>
    </w:p>
    <w:p>
      <w:r>
        <w:rPr>
          <w:color w:val="5A7D3A"/>
          <w:sz w:val="18"/>
        </w:rPr>
        <w:t>https://pubmed.ncbi.nlm.nih.gov/42570385/</w:t>
      </w:r>
    </w:p>
    <w:p>
      <w:pPr>
        <w:pStyle w:val="Heading2"/>
      </w:pPr>
      <w:r>
        <w:t>Orale Antikoagulation und neu auftretende Demenz bei Vorhofflimmern</w:t>
      </w:r>
    </w:p>
    <w:p>
      <w:r>
        <w:rPr>
          <w:i/>
          <w:color w:val="666666"/>
          <w:sz w:val="18"/>
        </w:rPr>
        <w:t>Belachew EA et al.  ·  GeroScience  ·  08.08.2026  ·  PMID 42570194</w:t>
      </w:r>
    </w:p>
    <w:p>
      <w:r>
        <w:t>Real-World-Kohortenstudie zum Zusammenhang zwischen Art des Gerinnungshemmers und Demenzrisiko.</w:t>
      </w:r>
    </w:p>
    <w:p>
      <w:r>
        <w:rPr>
          <w:b/>
        </w:rPr>
        <w:t xml:space="preserve">Ergebnis: </w:t>
      </w:r>
      <w:r>
        <w:t>DOAK gingen mit geringerem Demenzrisiko einher (HR 0,63; 95%-KI 0,56–0,70), Warfarin mit höherem Risiko (HR 1,31; 95%-KI 1,16–1,49). Die Wirkstoffwahl könnte für die kognitive Langzeitprognose bedeutsam sein.</w:t>
      </w:r>
    </w:p>
    <w:p>
      <w:r>
        <w:rPr>
          <w:color w:val="5A7D3A"/>
          <w:sz w:val="18"/>
        </w:rPr>
        <w:t>https://pubmed.ncbi.nlm.nih.gov/42570194/</w:t>
      </w:r>
    </w:p>
    <w:p>
      <w:pPr>
        <w:pStyle w:val="Heading2"/>
      </w:pPr>
      <w:r>
        <w:t>Adhärenz zu Bewegungsleitlinien bei US-Krebsüberlebenden</w:t>
      </w:r>
    </w:p>
    <w:p>
      <w:r>
        <w:rPr>
          <w:i/>
          <w:color w:val="666666"/>
          <w:sz w:val="18"/>
        </w:rPr>
        <w:t>Kumar G et al.  ·  Journal of Cancer Survivorship  ·  08.08.2026  ·  PMID 42570052</w:t>
      </w:r>
    </w:p>
    <w:p>
      <w:r>
        <w:t>Auswertung landesweiter Surveydaten zur Einhaltung der Empfehlungen für körperliche Aktivität über die Zeit.</w:t>
      </w:r>
    </w:p>
    <w:p>
      <w:r>
        <w:rPr>
          <w:b/>
        </w:rPr>
        <w:t xml:space="preserve">Ergebnis: </w:t>
      </w:r>
      <w:r>
        <w:t>Die Adhärenz stieg von 9,2 % (2010) auf 22,0 % (2015) und fiel bis 2020 wieder auf 8,7 %. Anhaltend niedrige, zuletzt rückläufige Werte weisen auf Versorgungslücken in der Bewegungsförderung hin.</w:t>
      </w:r>
    </w:p>
    <w:p>
      <w:r>
        <w:rPr>
          <w:color w:val="5A7D3A"/>
          <w:sz w:val="18"/>
        </w:rPr>
        <w:t>https://pubmed.ncbi.nlm.nih.gov/42570052/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2026-08-16T06:00:00Z</dcterms:created>
  <dcterms:modified xsi:type="dcterms:W3CDTF">2026-08-16T06:00:00Z</dcterms:modified>
  <cp:category/>
</cp:coreProperties>
</file>