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08.10.2026  |  329 Studien  |  wissen.m-vf.de</w:t>
      </w:r>
    </w:p>
    <w:p>
      <w:pPr>
        <w:pStyle w:val="Heading1"/>
      </w:pPr>
      <w:r>
        <w:t>Aufgenommen am 08.10.2026</w:t>
      </w:r>
    </w:p>
    <w:p>
      <w:pPr>
        <w:pStyle w:val="Heading2"/>
      </w:pPr>
      <w:r>
        <w:t>Ärztevariabilität dominiert Schicht-Effekte in der ED</w:t>
      </w:r>
    </w:p>
    <w:p>
      <w:r>
        <w:rPr>
          <w:i/>
          <w:color w:val="666666"/>
          <w:sz w:val="18"/>
        </w:rPr>
        <w:t>Büyükkaya MŞ et al.  ·  Postgrad Med J  ·  07.10.2026  ·  PMID 42842596</w:t>
      </w:r>
    </w:p>
    <w:p>
      <w:r>
        <w:t>Retrospektive Beobachtungsstudie zu diagnostischer Ressourcentechnik (Labor, Bildgebung, Konsile) bei 11.032 niedrig-akuten ED-Besuchen in der Türkei nach Schichtzeit und Arzt.</w:t>
      </w:r>
    </w:p>
    <w:p>
      <w:r>
        <w:rPr>
          <w:b/>
        </w:rPr>
        <w:t xml:space="preserve">Ergebnis: </w:t>
      </w:r>
      <w:r>
        <w:t>Laborquoten 9,5% (p=0,997), Bildgebung 12,6–13,5% (p=0,485) zeigen keine signifikante Schicht-Variation. Arzt-Level-Variation deutlich größer: Labor 3,5–21,5%, Bildgebung 6,3–28,7%. Ärztliche Spezialisierung dominiert.</w:t>
      </w:r>
    </w:p>
    <w:p>
      <w:r>
        <w:rPr>
          <w:b/>
          <w:sz w:val="19"/>
        </w:rPr>
        <w:t xml:space="preserve">Übertragbarkeit: </w:t>
      </w:r>
      <w:r>
        <w:rPr>
          <w:sz w:val="19"/>
        </w:rPr>
        <w:t>Türkei, aber Frage zur Ärzte-Variabilität und Ressourcennutzung systemunabhängig</w:t>
      </w:r>
    </w:p>
    <w:p>
      <w:r>
        <w:rPr>
          <w:color w:val="5A7D3A"/>
          <w:sz w:val="18"/>
        </w:rPr>
        <w:t>https://pubmed.ncbi.nlm.nih.gov/42842596/</w:t>
      </w:r>
    </w:p>
    <w:p>
      <w:pPr>
        <w:pStyle w:val="Heading2"/>
      </w:pPr>
      <w:r>
        <w:t>Durst bei Herzinsuffizienz-Patienten auf Transplantwarteliste</w:t>
      </w:r>
    </w:p>
    <w:p>
      <w:r>
        <w:rPr>
          <w:i/>
          <w:color w:val="666666"/>
          <w:sz w:val="18"/>
        </w:rPr>
        <w:t>Wefer F et al.  ·  Nurs Crit Care  ·  Nov. 2026  ·  PMID 42841439</w:t>
      </w:r>
    </w:p>
    <w:p>
      <w:r>
        <w:t>Qualitative Mischmethod-Studie mit 10 Patienteninterviews und 2 Fokusgruppen (5 Pflegekräfte) sowie 59 Pflegekräfte-Befragung zur Erfahrung mit Durst bei hochgradig Herzkranken.</w:t>
      </w:r>
    </w:p>
    <w:p>
      <w:r>
        <w:rPr>
          <w:b/>
        </w:rPr>
        <w:t xml:space="preserve">Ergebnis: </w:t>
      </w:r>
      <w:r>
        <w:t>Patienten berichten heterogenes Durstserleben (mild bis schwer). Pflege hält es für relevant, nutzt aber sehr unterschiedliche Assessmentstrategien; &lt;50% bewerten Durst regelmäßig. Patienten und Pflegekräfte wünschen standardisierte Beratung.</w:t>
      </w:r>
    </w:p>
    <w:p>
      <w:r>
        <w:rPr>
          <w:b/>
          <w:sz w:val="19"/>
        </w:rPr>
        <w:t xml:space="preserve">Übertragbarkeit: </w:t>
      </w:r>
      <w:r>
        <w:rPr>
          <w:sz w:val="19"/>
        </w:rPr>
        <w:t>Deutschland (Ruhr-Universität Bochum, Bad Oeynhausen), direkt übertragbar</w:t>
      </w:r>
    </w:p>
    <w:p>
      <w:r>
        <w:rPr>
          <w:color w:val="5A7D3A"/>
          <w:sz w:val="18"/>
        </w:rPr>
        <w:t>https://pubmed.ncbi.nlm.nih.gov/42841439/</w:t>
      </w:r>
    </w:p>
    <w:p>
      <w:pPr>
        <w:pStyle w:val="Heading2"/>
      </w:pPr>
      <w:r>
        <w:t>Primary care accessibility reduces inappropriate ED attendance</w:t>
      </w:r>
    </w:p>
    <w:p>
      <w:r>
        <w:rPr>
          <w:i/>
          <w:color w:val="666666"/>
          <w:sz w:val="18"/>
        </w:rPr>
        <w:t>Koh JJE et al.  ·  Singapore Med J  ·  05.10.2026  ·  PMID 42839708</w:t>
      </w:r>
    </w:p>
    <w:p>
      <w:r>
        <w:t>Retrospektive Kohortenstudie untersuchte, wie Erreichbarkeit und Verfügbarkeit von Hausarztpraxen die unangemessene Notfallaufnahmebesuche (12,5% von 135.838 Besuchen) beeinflussen.</w:t>
      </w:r>
    </w:p>
    <w:p>
      <w:r>
        <w:rPr>
          <w:b/>
        </w:rPr>
        <w:t xml:space="preserve">Ergebnis: </w:t>
      </w:r>
      <w:r>
        <w:t>Reisezeit &gt;5 Min zu nächster Praxis erhöhte unangemessene ED-Besuche um 13–24%, Reisedistanz &gt;1 km um 10–33%. Mehr als 3 Praxen im 1-km-Radius reduzierten unangemessene Besuche um ≥12%.</w:t>
      </w:r>
    </w:p>
    <w:p>
      <w:r>
        <w:rPr>
          <w:b/>
          <w:sz w:val="19"/>
        </w:rPr>
        <w:t xml:space="preserve">Übertragbarkeit: </w:t>
      </w:r>
      <w:r>
        <w:rPr>
          <w:sz w:val="19"/>
        </w:rPr>
        <w:t>Singapur, aber Fragestellung systemunabhängig zur Primärversorgung</w:t>
      </w:r>
    </w:p>
    <w:p>
      <w:r>
        <w:rPr>
          <w:color w:val="5A7D3A"/>
          <w:sz w:val="18"/>
        </w:rPr>
        <w:t>https://pubmed.ncbi.nlm.nih.gov/42839708/</w:t>
      </w:r>
    </w:p>
    <w:p>
      <w:pPr>
        <w:pStyle w:val="Heading2"/>
      </w:pPr>
      <w:r>
        <w:t>Ärzt- und Praxis-Level-Variation in Studienteilnahme bei Krebs</w:t>
      </w:r>
    </w:p>
    <w:p>
      <w:r>
        <w:rPr>
          <w:i/>
          <w:color w:val="666666"/>
          <w:sz w:val="18"/>
        </w:rPr>
        <w:t>Jiang C et al.  ·  JAMA Netw Open  ·  01.10.2026  ·  PMID 42837155</w:t>
      </w:r>
    </w:p>
    <w:p>
      <w:r>
        <w:t>Kohortenstudie von 205.743 Patienten mit fortgeschrittenem Krebs (2011–2024) zur Klinische-Studien-Teilnahme in 1.664 Arzt-Praxen, 107 Zentren (Flatiron-Daten).</w:t>
      </w:r>
    </w:p>
    <w:p>
      <w:r>
        <w:rPr>
          <w:b/>
        </w:rPr>
        <w:t xml:space="preserve">Ergebnis: </w:t>
      </w:r>
      <w:r>
        <w:t>Studienteilnahme 5,2% (2011: 3,9%, 2024: 6,8%). 23,4% Ärzte mit 83,6% Einschlüssen; 19,6% Praxen mit 80,5% der Patienten. Arzt- (12,3%) und Praxis-Level (15,1%) erklären mehr Variation als beobachtbare Patientenfaktoren (11,4%).</w:t>
      </w:r>
    </w:p>
    <w:p>
      <w:r>
        <w:rPr>
          <w:b/>
          <w:sz w:val="19"/>
        </w:rPr>
        <w:t xml:space="preserve">Übertragbarkeit: </w:t>
      </w:r>
      <w:r>
        <w:rPr>
          <w:sz w:val="19"/>
        </w:rPr>
        <w:t>USA, aber Fragestellung zu System- und Anbieter-Barrieren in der Forschung systemunabhängig</w:t>
      </w:r>
    </w:p>
    <w:p>
      <w:r>
        <w:rPr>
          <w:color w:val="5A7D3A"/>
          <w:sz w:val="18"/>
        </w:rPr>
        <w:t>https://pubmed.ncbi.nlm.nih.gov/42837155/</w:t>
      </w:r>
    </w:p>
    <w:p>
      <w:pPr>
        <w:pStyle w:val="Heading2"/>
      </w:pPr>
      <w:r>
        <w:t>Person-zentrierte Demenzpflege durch Coaching umsetzen</w:t>
      </w:r>
    </w:p>
    <w:p>
      <w:r>
        <w:rPr>
          <w:i/>
          <w:color w:val="666666"/>
          <w:sz w:val="18"/>
        </w:rPr>
        <w:t>Moczygemba W et al.  ·  Gerontologist  ·  03.10.2026  ·  PMID 42830447</w:t>
      </w:r>
    </w:p>
    <w:p>
      <w:r>
        <w:t>Pre-post-Studie zur Implementierung des Care Community Coaching Program (CCCP) in 38 Langzeitpflegeeinrichtungen Ohios zur Umsetzung von Dementia Care Practice Recommendations.</w:t>
      </w:r>
    </w:p>
    <w:p>
      <w:r>
        <w:rPr>
          <w:b/>
        </w:rPr>
        <w:t xml:space="preserve">Ergebnis: </w:t>
      </w:r>
      <w:r>
        <w:t>Signifikante Verbesserungen in 8 von 9 Leitlinien-Bereichen für personenzentrierte Versorgung; Baseline-Implementationsrate 61,8%, Arbeitskräfte-Praktiken 78,3%. Barriers und Facilitators dokumentiert.</w:t>
      </w:r>
    </w:p>
    <w:p>
      <w:r>
        <w:rPr>
          <w:b/>
          <w:sz w:val="19"/>
        </w:rPr>
        <w:t xml:space="preserve">Übertragbarkeit: </w:t>
      </w:r>
      <w:r>
        <w:rPr>
          <w:sz w:val="19"/>
        </w:rPr>
        <w:t>USA, aber Fragestellung zur Implementierungsforschung systemübergreifend relevant</w:t>
      </w:r>
    </w:p>
    <w:p>
      <w:r>
        <w:rPr>
          <w:color w:val="5A7D3A"/>
          <w:sz w:val="18"/>
        </w:rPr>
        <w:t>https://pubmed.ncbi.nlm.nih.gov/42830447/</w:t>
      </w:r>
    </w:p>
    <w:p>
      <w:pPr>
        <w:pStyle w:val="Heading2"/>
      </w:pPr>
      <w:r>
        <w:t>Stressabbau senkt Blutdruck bei Normotensiven</w:t>
      </w:r>
    </w:p>
    <w:p>
      <w:r>
        <w:rPr>
          <w:i/>
          <w:color w:val="666666"/>
          <w:sz w:val="18"/>
        </w:rPr>
        <w:t>Kamijima J et al.  ·  J Hum Hypertens  ·  03.10.2026  ·  PMID 42829395</w:t>
      </w:r>
    </w:p>
    <w:p>
      <w:r>
        <w:t>Systematisches Review und Metaanalyse von 22 RCTs (n=3.089) zu Stressmanagement-Interventionen und Blutdruckveränderungen bei gesunden Erwachsenen ohne Hypertonie.</w:t>
      </w:r>
    </w:p>
    <w:p>
      <w:r>
        <w:rPr>
          <w:b/>
        </w:rPr>
        <w:t xml:space="preserve">Ergebnis: </w:t>
      </w:r>
      <w:r>
        <w:t>Mind-Body-Übung: −2,17 mmHg systolisch (95% KI −3,29 bis −1,05), −1,69 mmHg diastolisch; Meditation: −1,49/−1,00 mmHg; Relaxation: −4,76/−1,71 mmHg. Primärprävention möglich.</w:t>
      </w:r>
    </w:p>
    <w:p>
      <w:r>
        <w:rPr>
          <w:b/>
          <w:sz w:val="19"/>
        </w:rPr>
        <w:t xml:space="preserve">Übertragbarkeit: </w:t>
      </w:r>
      <w:r>
        <w:rPr>
          <w:sz w:val="19"/>
        </w:rPr>
        <w:t>Internationale Datenbasis, systemunabhängige Fragestellung zu Prävention</w:t>
      </w:r>
    </w:p>
    <w:p>
      <w:r>
        <w:rPr>
          <w:color w:val="5A7D3A"/>
          <w:sz w:val="18"/>
        </w:rPr>
        <w:t>https://pubmed.ncbi.nlm.nih.gov/42829395/</w:t>
      </w:r>
    </w:p>
    <w:p>
      <w:pPr>
        <w:pStyle w:val="Heading2"/>
      </w:pPr>
      <w:r>
        <w:t>Verweildauer bei Mundkrebs in Deutschland</w:t>
      </w:r>
    </w:p>
    <w:p>
      <w:r>
        <w:rPr>
          <w:i/>
          <w:color w:val="666666"/>
          <w:sz w:val="18"/>
        </w:rPr>
        <w:t>Cirkel LL et al.  ·  Reports (MDPI)  ·  02.09.2026  ·  PMID 42784021</w:t>
      </w:r>
    </w:p>
    <w:p>
      <w:r>
        <w:t>Retrospektive Multizenter-Analyse von 3.957 Krebshospitalisierungen (2019–2024) aus 34 deutschen Krankenhäusern zu Verweildauer und Einflussfaktoren.</w:t>
      </w:r>
    </w:p>
    <w:p>
      <w:r>
        <w:rPr>
          <w:b/>
        </w:rPr>
        <w:t xml:space="preserve">Ergebnis: </w:t>
      </w:r>
      <w:r>
        <w:t>Mediane Verweildauer 6 Tage (IQR 3–13), Mittel 10,2 Tage. 49,4% ≥7 Tage, 23,5% ≥14 Tage. Alter &gt;80 Jahre: Rate Ratio 1,17 (95% KI 1,13–1,21); hohe Komorbiditätslast: RR 1,58 (1,54–1,63); Bluttransfusion RR 1,80, komplexe Intensivbehandlung RR 1,70.</w:t>
      </w:r>
    </w:p>
    <w:p>
      <w:r>
        <w:rPr>
          <w:b/>
          <w:sz w:val="19"/>
        </w:rPr>
        <w:t xml:space="preserve">Übertragbarkeit: </w:t>
      </w:r>
      <w:r>
        <w:rPr>
          <w:sz w:val="19"/>
        </w:rPr>
        <w:t>Deutsche Routinedaten, 49 Krankenhäuser, direkt übertragbar</w:t>
      </w:r>
    </w:p>
    <w:p>
      <w:r>
        <w:rPr>
          <w:color w:val="5A7D3A"/>
          <w:sz w:val="18"/>
        </w:rPr>
        <w:t>https://pubmed.ncbi.nlm.nih.gov/42784021/</w:t>
      </w:r>
    </w:p>
    <w:p>
      <w:pPr>
        <w:pStyle w:val="Heading1"/>
      </w:pPr>
      <w:r>
        <w:t>Aufgenommen am 07.10.2026</w:t>
      </w:r>
    </w:p>
    <w:p>
      <w:pPr>
        <w:pStyle w:val="Heading2"/>
      </w:pPr>
      <w:r>
        <w:t>Reisebelastungen bei Methadon-Ambulanzbesuchen</w:t>
      </w:r>
    </w:p>
    <w:p>
      <w:r>
        <w:rPr>
          <w:i/>
          <w:color w:val="666666"/>
          <w:sz w:val="18"/>
        </w:rPr>
        <w:t>Austin EJ et al.  ·  JAMA Netw Open  ·  01.10.2026  ·  PMID 42837152</w:t>
      </w:r>
    </w:p>
    <w:p>
      <w:r>
        <w:t>Mixed-Methods-Studie (Befragung + qualitative Interviews) zu Reiseerfahrungen von 98 Patienten an Opioid-Behandlungsprogrammen in Washington State.</w:t>
      </w:r>
    </w:p>
    <w:p>
      <w:r>
        <w:rPr>
          <w:b/>
        </w:rPr>
        <w:t xml:space="preserve">Ergebnis: </w:t>
      </w:r>
      <w:r>
        <w:t>Mittlere Reisedauer 82,5 Min (Spannweite 10–330 Min) und durchschnittliche Kosten 15,80 USD pro Besuch. 55,1% fuhren selbst, 21,4% wurden gefahren, 12,3% nutzten ÖPNV. Kernproblem: Unpredictable Wartezeiten und Konflikte mit Beruf/Familie beeinträchtigen Adhärenz.</w:t>
      </w:r>
    </w:p>
    <w:p>
      <w:r>
        <w:rPr>
          <w:b/>
          <w:sz w:val="19"/>
        </w:rPr>
        <w:t xml:space="preserve">Übertragbarkeit: </w:t>
      </w:r>
      <w:r>
        <w:rPr>
          <w:sz w:val="19"/>
        </w:rPr>
        <w:t>USA-Kontext, aber Problematik der Behandlungszugang für marginalisierte Gruppen systemübergreifend</w:t>
      </w:r>
    </w:p>
    <w:p>
      <w:r>
        <w:rPr>
          <w:color w:val="5A7D3A"/>
          <w:sz w:val="18"/>
        </w:rPr>
        <w:t>https://pubmed.ncbi.nlm.nih.gov/42837152/</w:t>
      </w:r>
    </w:p>
    <w:p>
      <w:pPr>
        <w:pStyle w:val="Heading2"/>
      </w:pPr>
      <w:r>
        <w:t>Palliative care in chronic heart failure in the Netherlands</w:t>
      </w:r>
    </w:p>
    <w:p>
      <w:r>
        <w:rPr>
          <w:i/>
          <w:color w:val="666666"/>
          <w:sz w:val="18"/>
        </w:rPr>
        <w:t>Aertsen-van der Kuip MSA et al.  ·  Neth Heart J  ·  06.10.2026  ·  PMID 42837105</w:t>
      </w:r>
    </w:p>
    <w:p>
      <w:r>
        <w:t>Befragung von 120 niederländischen Fachleuten zur Implementierung von Palliativversorgung und Advance Care Planning bei chronischer Herzinsuffizienz.</w:t>
      </w:r>
    </w:p>
    <w:p>
      <w:r>
        <w:rPr>
          <w:b/>
        </w:rPr>
        <w:t xml:space="preserve">Ergebnis: </w:t>
      </w:r>
      <w:r>
        <w:t>97% der Fachleute bewerteten Palliativversorgung als (sehr) wichtig, aber nur etwa ein Drittel bot diese regelmäßig an. 78% konnten Palliativbedarf erkennen, nur 23% fühlten sich ausreichend qualifiziert. Hauptprobleme: fehlende Fähigkeiten und Zeitmangel.</w:t>
      </w:r>
    </w:p>
    <w:p>
      <w:r>
        <w:rPr>
          <w:b/>
          <w:sz w:val="19"/>
        </w:rPr>
        <w:t xml:space="preserve">Übertragbarkeit: </w:t>
      </w:r>
      <w:r>
        <w:rPr>
          <w:sz w:val="19"/>
        </w:rPr>
        <w:t>Niederlande, Sozialversicherungssystem, direkt übertragbar auf Deutschland</w:t>
      </w:r>
    </w:p>
    <w:p>
      <w:r>
        <w:rPr>
          <w:color w:val="5A7D3A"/>
          <w:sz w:val="18"/>
        </w:rPr>
        <w:t>https://pubmed.ncbi.nlm.nih.gov/42837105/</w:t>
      </w:r>
    </w:p>
    <w:p>
      <w:pPr>
        <w:pStyle w:val="Heading2"/>
      </w:pPr>
      <w:r>
        <w:t>Unterversorgung mit Kompressionstherapie bei Ulcus cruris venosum</w:t>
      </w:r>
    </w:p>
    <w:p>
      <w:r>
        <w:rPr>
          <w:i/>
          <w:color w:val="666666"/>
          <w:sz w:val="18"/>
        </w:rPr>
        <w:t>Stücker M et al.  ·  Int Wound J  ·  Okt. 2026  ·  PMID 42834577</w:t>
      </w:r>
    </w:p>
    <w:p>
      <w:r>
        <w:t>Retrospektive Kohortenanalyse von Routinedaten von 3,35 Millionen Versicherten zu Häufigkeit und Determinanten der Kompressionstherapie bei venösen Beindoloren und Ulzera.</w:t>
      </w:r>
    </w:p>
    <w:p>
      <w:r>
        <w:rPr>
          <w:b/>
        </w:rPr>
        <w:t xml:space="preserve">Ergebnis: </w:t>
      </w:r>
      <w:r>
        <w:t>Prävalenz: 0,50% für Ulcus cruris venosum (n=16.615), 7,27% für chronische Venenerkrankung (n=243.681). Über 5 Jahre: 75,85% mit Ulcus erhielten Kompression, aber 24,15% nicht – obwohl Kompression leitliniengerecht ist. Multimorbidität war höher bei Behandelten.</w:t>
      </w:r>
    </w:p>
    <w:p>
      <w:r>
        <w:rPr>
          <w:b/>
          <w:sz w:val="19"/>
        </w:rPr>
        <w:t xml:space="preserve">Übertragbarkeit: </w:t>
      </w:r>
      <w:r>
        <w:rPr>
          <w:sz w:val="19"/>
        </w:rPr>
        <w:t>Deutsche Routinedaten aus der gesetzlichen Krankenversicherung</w:t>
      </w:r>
    </w:p>
    <w:p>
      <w:r>
        <w:rPr>
          <w:color w:val="5A7D3A"/>
          <w:sz w:val="18"/>
        </w:rPr>
        <w:t>https://pubmed.ncbi.nlm.nih.gov/42834577/</w:t>
      </w:r>
    </w:p>
    <w:p>
      <w:pPr>
        <w:pStyle w:val="Heading2"/>
      </w:pPr>
      <w:r>
        <w:t>Qualität der Pflegeheimversorgung für Veteranen nach Hospitalisierung</w:t>
      </w:r>
    </w:p>
    <w:p>
      <w:r>
        <w:rPr>
          <w:i/>
          <w:color w:val="666666"/>
          <w:sz w:val="18"/>
        </w:rPr>
        <w:t>Burke RE et al.  ·  J Gen Intern Med  ·  30.09.2026  ·  PMID 42816723</w:t>
      </w:r>
    </w:p>
    <w:p>
      <w:r>
        <w:t>Retrospektive Kohortenstudie zur Verfügbarkeit und Nutzung hochqualitativer Pflegeheime (SNF) durch ältere Veteranen nach stationärer Aufnahme.</w:t>
      </w:r>
    </w:p>
    <w:p>
      <w:r>
        <w:rPr>
          <w:b/>
        </w:rPr>
        <w:t xml:space="preserve">Ergebnis: </w:t>
      </w:r>
      <w:r>
        <w:t>Von 926.860 Veteranen ≥66 Jahre nutzten &gt;92% private Medicare-Pflegeheime. Nur 34,4% wählten das bestbewertete SNF in der Nähe, 15,4% wählten das schlechteste. 64,5% hätten Zugang zu höher bewerteten Einrichtungen gehabt; 43,7% zu 5+ besseren Alternativen.</w:t>
      </w:r>
    </w:p>
    <w:p>
      <w:r>
        <w:rPr>
          <w:b/>
          <w:sz w:val="19"/>
        </w:rPr>
        <w:t xml:space="preserve">Übertragbarkeit: </w:t>
      </w:r>
      <w:r>
        <w:rPr>
          <w:sz w:val="19"/>
        </w:rPr>
        <w:t>USA-System, aber Frage der Qualitätssteuerung und Patientenwahl systemübergreifend relevant</w:t>
      </w:r>
    </w:p>
    <w:p>
      <w:r>
        <w:rPr>
          <w:color w:val="5A7D3A"/>
          <w:sz w:val="18"/>
        </w:rPr>
        <w:t>https://pubmed.ncbi.nlm.nih.gov/42816723/</w:t>
      </w:r>
    </w:p>
    <w:p>
      <w:pPr>
        <w:pStyle w:val="Heading2"/>
      </w:pPr>
      <w:r>
        <w:t>Partizipation nach Schlaganfall im jungen Erwachsenenalter</w:t>
      </w:r>
    </w:p>
    <w:p>
      <w:r>
        <w:rPr>
          <w:i/>
          <w:color w:val="666666"/>
          <w:sz w:val="18"/>
        </w:rPr>
        <w:t>Donnelly MR et al.  ·  Am J Occup Ther  ·  30.09.2026  ·  PMID 42813599</w:t>
      </w:r>
    </w:p>
    <w:p>
      <w:r>
        <w:t>Scoping Review von 15 Studien zur Partizipation junger Erwachsener (18–45 Jahre) nach Schlaganfall in Rollen und Aktivitäten des Erwachsenenlebens.</w:t>
      </w:r>
    </w:p>
    <w:p>
      <w:r>
        <w:rPr>
          <w:b/>
        </w:rPr>
        <w:t xml:space="preserve">Ergebnis: </w:t>
      </w:r>
      <w:r>
        <w:t>Schlaganfall führt zu Unterbrechung der beruflichen und sozialen Laufbahn; multi-dimensionale Effekte auf Rollen (Partner, Eltern), Bildung und Karriere. Rehabilitation fokussiert typischerweise auf motorische Funktionen, adressiert aber nicht die entwicklungsspezifischen Bedürfnisse junger Erwachsener.</w:t>
      </w:r>
    </w:p>
    <w:p>
      <w:r>
        <w:rPr>
          <w:b/>
          <w:sz w:val="19"/>
        </w:rPr>
        <w:t xml:space="preserve">Übertragbarkeit: </w:t>
      </w:r>
      <w:r>
        <w:rPr>
          <w:sz w:val="19"/>
        </w:rPr>
        <w:t>Qualitative HSR-Synthese, Erkenntnisse zur Versorgungsplanung systemunabhängig</w:t>
      </w:r>
    </w:p>
    <w:p>
      <w:r>
        <w:rPr>
          <w:color w:val="5A7D3A"/>
          <w:sz w:val="18"/>
        </w:rPr>
        <w:t>https://pubmed.ncbi.nlm.nih.gov/42813599/</w:t>
      </w:r>
    </w:p>
    <w:p>
      <w:pPr>
        <w:pStyle w:val="Heading2"/>
      </w:pPr>
      <w:r>
        <w:t>Atriale Kardiomyopathie und klinische Langzeitfolgen</w:t>
      </w:r>
    </w:p>
    <w:p>
      <w:r>
        <w:rPr>
          <w:i/>
          <w:color w:val="666666"/>
          <w:sz w:val="18"/>
        </w:rPr>
        <w:t>Kazi K et al.  ·  Europace  ·  02.09.2026  ·  PMID 42809232</w:t>
      </w:r>
    </w:p>
    <w:p>
      <w:r>
        <w:t>Kohortenstudie zu Assoziationen zwischen echokardiographischen Merkmalen atrialerKardiomyopathie und Inzidenz von Vorhofflimmern, Herzinsuffizienz und Schlaganfall. (Abstract ohne konkrete Ergebnisse verfügbar)</w:t>
      </w:r>
    </w:p>
    <w:p>
      <w:r>
        <w:rPr>
          <w:b/>
        </w:rPr>
        <w:t xml:space="preserve">Ergebnis: </w:t>
      </w:r>
      <w:r>
        <w:t>Abstract enthält keine benennbaren Zahlen oder Ergebnisse; nur Studiendesign beschrieben. Ausschluss.</w:t>
      </w:r>
    </w:p>
    <w:p>
      <w:r>
        <w:rPr>
          <w:b/>
          <w:sz w:val="19"/>
        </w:rPr>
        <w:t xml:space="preserve">Übertragbarkeit: </w:t>
      </w:r>
      <w:r>
        <w:rPr>
          <w:sz w:val="19"/>
        </w:rPr>
        <w:t>Ausgeschlossen</w:t>
      </w:r>
    </w:p>
    <w:p>
      <w:r>
        <w:rPr>
          <w:color w:val="5A7D3A"/>
          <w:sz w:val="18"/>
        </w:rPr>
        <w:t>https://pubmed.ncbi.nlm.nih.gov/42809232/</w:t>
      </w:r>
    </w:p>
    <w:p>
      <w:pPr>
        <w:pStyle w:val="Heading1"/>
      </w:pPr>
      <w:r>
        <w:t>Aufgenommen am 06.10.2026</w:t>
      </w:r>
    </w:p>
    <w:p>
      <w:pPr>
        <w:pStyle w:val="Heading2"/>
      </w:pPr>
      <w:r>
        <w:t>Zugang zu sexueller und reproduktiver Gesundheit bei Jugendlichen in Mogadischu: Qualitative Studie</w:t>
      </w:r>
    </w:p>
    <w:p>
      <w:r>
        <w:rPr>
          <w:i/>
          <w:color w:val="666666"/>
          <w:sz w:val="18"/>
        </w:rPr>
        <w:t>Asowe HA et al.  ·  Sex Health  ·  20.10.2026  ·  PMID 42833641</w:t>
      </w:r>
    </w:p>
    <w:p>
      <w:r>
        <w:t>Qualitative Mixed-Methods-Studie zu Zugang und Inanspruchnahme von Sexual- und Reproduktionsgesundheits-Dienstleistungen bei Jugendlichen in Mogadischu, Somalia.</w:t>
      </w:r>
    </w:p>
    <w:p>
      <w:r>
        <w:rPr>
          <w:b/>
        </w:rPr>
        <w:t xml:space="preserve">Ergebnis: </w:t>
      </w:r>
      <w:r>
        <w:t>21 Gesundheitseinrichtungen identifiziert, aber Dienste nicht auf Jugendliche zugeschnitten. Hauptbarrieren: Stigma, soziale Normen, Geschlechterdynamiken (männliche Zustimmung erforderlich), finanzielle und logistische Hindernisse. Dringend Bedarf für jugendfreundliche, geschlechtssensible Dienste und Norm-Veränderungsaktivitäten.</w:t>
      </w:r>
    </w:p>
    <w:p>
      <w:r>
        <w:rPr>
          <w:b/>
          <w:sz w:val="19"/>
        </w:rPr>
        <w:t xml:space="preserve">Übertragbarkeit: </w:t>
      </w:r>
      <w:r>
        <w:rPr>
          <w:sz w:val="19"/>
        </w:rPr>
        <w:t>Humanitarian-setting, Systemkontext sehr unterschiedlich, Befunde zu Zugangsbarrieren aber international relevant</w:t>
      </w:r>
    </w:p>
    <w:p>
      <w:r>
        <w:rPr>
          <w:color w:val="5A7D3A"/>
          <w:sz w:val="18"/>
        </w:rPr>
        <w:t>https://pubmed.ncbi.nlm.nih.gov/42833641/</w:t>
      </w:r>
    </w:p>
    <w:p>
      <w:pPr>
        <w:pStyle w:val="Heading2"/>
      </w:pPr>
      <w:r>
        <w:t>Expert Agreement on Palliative Reasoning and Monitoring in Heart Failure: International Delphi Study</w:t>
      </w:r>
    </w:p>
    <w:p>
      <w:r>
        <w:rPr>
          <w:i/>
          <w:color w:val="666666"/>
          <w:sz w:val="18"/>
        </w:rPr>
        <w:t>De Leeuw JCB et al.  ·  J Pain Symptom Manage  ·  05.10.2026  ·  PMID 42833597</w:t>
      </w:r>
    </w:p>
    <w:p>
      <w:r>
        <w:t>Internationale Delphi-Studie zur Etablierung von Expertenkonsens über palliative Versorgung bei Herzinsuffizienz aus neun europäischen Ländern.</w:t>
      </w:r>
    </w:p>
    <w:p>
      <w:r>
        <w:rPr>
          <w:b/>
        </w:rPr>
        <w:t xml:space="preserve">Ergebnis: </w:t>
      </w:r>
      <w:r>
        <w:t>156 Experten (Runde 1) und 121 (Runde 2, 78,1% Retention) erreichten Konsens über alle Schritte der palliativen Versorgung (I-CVI 0,82–0,95). Von 33 Symptomen erreichtenÂ 76% Übereinstimmung zu Relevanz und Formulierung. Monitoring-Instrument für Symptome, Wünsche und Bedarf entwickelt.</w:t>
      </w:r>
    </w:p>
    <w:p>
      <w:r>
        <w:rPr>
          <w:b/>
          <w:sz w:val="19"/>
        </w:rPr>
        <w:t xml:space="preserve">Übertragbarkeit: </w:t>
      </w:r>
      <w:r>
        <w:rPr>
          <w:sz w:val="19"/>
        </w:rPr>
        <w:t>Niederländische/europäische Leitung, neun europäische Länder, systemvergleichbar</w:t>
      </w:r>
    </w:p>
    <w:p>
      <w:r>
        <w:rPr>
          <w:color w:val="5A7D3A"/>
          <w:sz w:val="18"/>
        </w:rPr>
        <w:t>https://pubmed.ncbi.nlm.nih.gov/42833597/</w:t>
      </w:r>
    </w:p>
    <w:p>
      <w:pPr>
        <w:pStyle w:val="Heading2"/>
      </w:pPr>
      <w:r>
        <w:t>FOCUS-Tool zur Priorisierung von Guideline-Empfehlungen für Shared Decision Making</w:t>
      </w:r>
    </w:p>
    <w:p>
      <w:r>
        <w:rPr>
          <w:i/>
          <w:color w:val="666666"/>
          <w:sz w:val="18"/>
        </w:rPr>
        <w:t>Orduhan C et al.  ·  J Clin Epidemiol  ·  05.10.2026  ·  PMID 42833371</w:t>
      </w:r>
    </w:p>
    <w:p>
      <w:r>
        <w:t>Entwicklung und Test des FOCUS-Tools zur systematischen Identifikation von Guideline-Empfehlungen, die sich für Shared Decision Making eignen.</w:t>
      </w:r>
    </w:p>
    <w:p>
      <w:r>
        <w:rPr>
          <w:b/>
        </w:rPr>
        <w:t xml:space="preserve">Ergebnis: </w:t>
      </w:r>
      <w:r>
        <w:t>Fünf Items definiert: (1) multiple Optionen mit unterschiedlichen Nutzen-Schaden-Profilen, (2) Entscheidung mit Auswirkungen, (3) potenzielle Diskrepanz in Werten/Vorlieben, (4) Behandlungslast und finanzielle Aspekte, (5) Unsicherheit der Evidenz. Mittelwerte ≥3,38 auf 5-Punkt-Skala für Verständlichkeit, Anwendbarkeit und Nützlichkeit. 12 Teilnehmer aus acht Ländern, gute Akzeptanz.</w:t>
      </w:r>
    </w:p>
    <w:p>
      <w:r>
        <w:rPr>
          <w:b/>
          <w:sz w:val="19"/>
        </w:rPr>
        <w:t xml:space="preserve">Übertragbarkeit: </w:t>
      </w:r>
      <w:r>
        <w:rPr>
          <w:sz w:val="19"/>
        </w:rPr>
        <w:t>Deutsche Beteiligung, internationale Guideline-Entwicklung, systemunabhängige Methode</w:t>
      </w:r>
    </w:p>
    <w:p>
      <w:r>
        <w:rPr>
          <w:color w:val="5A7D3A"/>
          <w:sz w:val="18"/>
        </w:rPr>
        <w:t>https://pubmed.ncbi.nlm.nih.gov/42833371/</w:t>
      </w:r>
    </w:p>
    <w:p>
      <w:pPr>
        <w:pStyle w:val="Heading2"/>
      </w:pPr>
      <w:r>
        <w:t>National Ovarian Cancer Audit (NOCA) 2026: Qualitätsverbesserung der Ovarialkarzinom-Versorgung</w:t>
      </w:r>
    </w:p>
    <w:p>
      <w:r>
        <w:rPr>
          <w:i/>
          <w:color w:val="666666"/>
          <w:sz w:val="18"/>
        </w:rPr>
        <w:t>Zachou G et al.  ·  Clin Oncol (R Coll Radiol)  ·  10.09.2026  ·  PMID 42828886</w:t>
      </w:r>
    </w:p>
    <w:p>
      <w:r>
        <w:t>Nationale englisch-walisische Auditberichte zu Struktur-, Prozess- und Outcome-Qualität in der Ovarialkarzinom-Behandlung mit Quality-Improvement-Empfehlungen.</w:t>
      </w:r>
    </w:p>
    <w:p>
      <w:r>
        <w:rPr>
          <w:b/>
        </w:rPr>
        <w:t xml:space="preserve">Ergebnis: </w:t>
      </w:r>
      <w:r>
        <w:t>Daten nicht im Abstract verfügbar, aber Audit mit anschließenden Qualitätsverbesserungs-Interventionen durchgeführt. Fokus auf Standardisierung der Versorgung und Reduktion von Variabilität.</w:t>
      </w:r>
    </w:p>
    <w:p>
      <w:r>
        <w:rPr>
          <w:b/>
          <w:sz w:val="19"/>
        </w:rPr>
        <w:t xml:space="preserve">Übertragbarkeit: </w:t>
      </w:r>
      <w:r>
        <w:rPr>
          <w:sz w:val="19"/>
        </w:rPr>
        <w:t>Englisch-walisisches System, aber Audit-Methodologie und Qualitätsziele auf deutsches System übertragbar</w:t>
      </w:r>
    </w:p>
    <w:p>
      <w:r>
        <w:rPr>
          <w:color w:val="5A7D3A"/>
          <w:sz w:val="18"/>
        </w:rPr>
        <w:t>https://pubmed.ncbi.nlm.nih.gov/42828886/</w:t>
      </w:r>
    </w:p>
    <w:p>
      <w:pPr>
        <w:pStyle w:val="Heading2"/>
      </w:pPr>
      <w:r>
        <w:t>Langfristiges Rezidivrisiko nach Hysterektomie zur Prolaps-Behandlung</w:t>
      </w:r>
    </w:p>
    <w:p>
      <w:r>
        <w:rPr>
          <w:i/>
          <w:color w:val="666666"/>
          <w:sz w:val="18"/>
        </w:rPr>
        <w:t>Latack KR et al.  ·  Int Urogynecol J  ·  01.10.2026  ·  PMID 42821111</w:t>
      </w:r>
    </w:p>
    <w:p>
      <w:r>
        <w:t>Retrospektive Versicherungsanspruchsanalyse zu Prolaps-Retreatment nach Hysterektomie bei Prolaps-Diagnose, stratifiziert nach chirurgischem Zugang und Begleitverfahren.</w:t>
      </w:r>
    </w:p>
    <w:p>
      <w:r>
        <w:rPr>
          <w:b/>
        </w:rPr>
        <w:t xml:space="preserve">Ergebnis: </w:t>
      </w:r>
      <w:r>
        <w:t>7017 Patienten (Durchschnittsalter 51,3 Jahre). Concurrent Prolaps-Verfahren in 82%. Nach 24.129 Personenjahren: 399 Patienten (5,7%) retreated. Inzidenzrate 16,5 pro 1000 Personenjahre (95% CI 14,9–18,2). Vaginal vs. laparoskopisch: kein signifikanter Unterschied nach Adjustierung (aHR 1,39). Mit Colpopexy: abdominaler Zugang deutlich höheres Risiko.</w:t>
      </w:r>
    </w:p>
    <w:p>
      <w:r>
        <w:rPr>
          <w:b/>
          <w:sz w:val="19"/>
        </w:rPr>
        <w:t xml:space="preserve">Übertragbarkeit: </w:t>
      </w:r>
      <w:r>
        <w:rPr>
          <w:sz w:val="19"/>
        </w:rPr>
        <w:t>US-Versicherungsdaten, aber gynäkologische Fragestellung zur Prozessoptimierung systemunabhängig übertragbar</w:t>
      </w:r>
    </w:p>
    <w:p>
      <w:r>
        <w:rPr>
          <w:color w:val="5A7D3A"/>
          <w:sz w:val="18"/>
        </w:rPr>
        <w:t>https://pubmed.ncbi.nlm.nih.gov/42821111/</w:t>
      </w:r>
    </w:p>
    <w:p>
      <w:pPr>
        <w:pStyle w:val="Heading2"/>
      </w:pPr>
      <w:r>
        <w:t>Nachbarschafts-Umgebung und Präeklampsie-Risiko: Machine-Learning-Analyse</w:t>
      </w:r>
    </w:p>
    <w:p>
      <w:r>
        <w:rPr>
          <w:i/>
          <w:color w:val="666666"/>
          <w:sz w:val="18"/>
        </w:rPr>
        <w:t>Paris CF et al.  ·  Pregnancy (Hoboken)  ·  29.09.2026  ·  PMID 42819622</w:t>
      </w:r>
    </w:p>
    <w:p>
      <w:r>
        <w:t>Matched-Case-Control-Studie mit Machine Learning zur Bestimmung der relativen Bedeutung von Nachbarschaftsfaktoren (soziale Vulnerabilität, gebaute Umgebung) für Präeklampsie-Risiko in Philadelphia.</w:t>
      </w:r>
    </w:p>
    <w:p>
      <w:r>
        <w:rPr>
          <w:b/>
        </w:rPr>
        <w:t xml:space="preserve">Ergebnis: </w:t>
      </w:r>
      <w:r>
        <w:t>18.754 Teilnehmer (4.689 Präeklampsie-Fälle, 14.065 Kontrollen). Drei Nachbarschafts-Gesundheits-Vulnerabilitätsfaktoren am wichtigsten: Prävalenz von Adipositas, hohem Blutdruck und kurzer Schlafdauer bei Erwachsenen. Assoziationen mit Nachbarschafts-Hypertonie-Prävalenz besonders relevant für Präeklampsie-Prävention.</w:t>
      </w:r>
    </w:p>
    <w:p>
      <w:r>
        <w:rPr>
          <w:b/>
          <w:sz w:val="19"/>
        </w:rPr>
        <w:t xml:space="preserve">Übertragbarkeit: </w:t>
      </w:r>
      <w:r>
        <w:rPr>
          <w:sz w:val="19"/>
        </w:rPr>
        <w:t>US-Daten aus Philadelphia, aber sozialstrukturelle Fragestellung und Risiko-Identifikation systemunabhängig relevant</w:t>
      </w:r>
    </w:p>
    <w:p>
      <w:r>
        <w:rPr>
          <w:color w:val="5A7D3A"/>
          <w:sz w:val="18"/>
        </w:rPr>
        <w:t>https://pubmed.ncbi.nlm.nih.gov/42819622/</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2026-10-08T06:00:00Z</dcterms:created>
  <dcterms:modified xsi:type="dcterms:W3CDTF">2026-10-08T06:00:00Z</dcterms:modified>
  <cp:category/>
</cp:coreProperties>
</file>