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30.08.2026  |  6 Studien  |  wissen.m-vf.de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Bewegungsaktivität reduziert perinatale Depression und Angststörungen</w:t>
      </w:r>
    </w:p>
    <w:p>
      <w:r>
        <w:rPr>
          <w:i/>
          <w:color w:val="666666"/>
          <w:sz w:val="18"/>
        </w:rPr>
        <w:t>Mohr E et al.  ·  EClinicalMedicine  ·  19.07.2026  ·  PMID 42666712</w:t>
      </w:r>
    </w:p>
    <w:p>
      <w:r>
        <w:t>Umbrella Review mit Meta-Meta-Analyse zur Wirksamkeit von körperlicher Aktivität auf depressive und Angstsymptome in der Perinatalzeit.</w:t>
      </w:r>
    </w:p>
    <w:p>
      <w:r>
        <w:rPr>
          <w:b/>
        </w:rPr>
        <w:t xml:space="preserve">Ergebnis: </w:t>
      </w:r>
      <w:r>
        <w:t>Leichte bis moderate körperliche Aktivität reduziert depressive Symptome signifikant (SMD: -0,56; 95%-KI: -0,93 bis -0,19, moderate Evidenzsicherheit), Yoga und Mixed-Activity zeigen besondere Effektivität (SMD: -0,55 bzw. -0,54). Angststörungen werden ebenfalls reduziert (SMD: -0,85; 95%-KI: -1,29 bis -0,42).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Übersichtsarbeit, methodologisch hochwertig, globale Evidenz unmittelbar auf deutsches Versorgungssystem übertragbar</w:t>
      </w:r>
    </w:p>
    <w:p>
      <w:r>
        <w:rPr>
          <w:color w:val="5A7D3A"/>
          <w:sz w:val="18"/>
        </w:rPr>
        <w:t>https://pubmed.ncbi.nlm.nih.gov/42666712/</w:t>
      </w:r>
    </w:p>
    <w:p>
      <w:pPr>
        <w:pStyle w:val="Heading2"/>
      </w:pPr>
      <w:r>
        <w:t>Integratives Hypertonie-Monitoring mit Routinedaten in Mexikos föderalisiertem Public-Health-System</w:t>
      </w:r>
    </w:p>
    <w:p>
      <w:r>
        <w:rPr>
          <w:i/>
          <w:color w:val="666666"/>
          <w:sz w:val="18"/>
        </w:rPr>
        <w:t>Silva-Tinoco R et al.  ·  Health Serv Insights  ·  27.08.2026  ·  PMID 42666569</w:t>
      </w:r>
    </w:p>
    <w:p>
      <w:r>
        <w:t>Entwicklung und Evaluierung einer Monitoring-Plattform zur Überwachung der Hypertonie-Versorgung mithilfe von Routinedaten in einem neu strukturierten Gesundheitssystem.</w:t>
      </w:r>
    </w:p>
    <w:p>
      <w:r>
        <w:rPr>
          <w:b/>
        </w:rPr>
        <w:t xml:space="preserve">Ergebnis: </w:t>
      </w:r>
      <w:r>
        <w:t>Aus 486.044 Patienten in teilnehmenden Bundesländern erreichten 67,2% (95%-KI: 67,04–67,37) Blutdruckziele (&lt;140/90 mmHg), 36,8% (95%-KI: 36,62–36,96) strikte Kontrolle (&lt;130/80 mmHg). 63% mit suboptimaler Kontrolle erhielten Follow-up, 48% Therapieintensivierung.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Mexico, Struktur unterschiedlich – begrenzte Übertragbarkeit, aber Monitoring-Framework methodisch relevant</w:t>
      </w:r>
    </w:p>
    <w:p>
      <w:r>
        <w:rPr>
          <w:color w:val="5A7D3A"/>
          <w:sz w:val="18"/>
        </w:rPr>
        <w:t>https://pubmed.ncbi.nlm.nih.gov/42666569/</w:t>
      </w:r>
    </w:p>
    <w:p>
      <w:pPr>
        <w:pStyle w:val="Heading2"/>
      </w:pPr>
      <w:r>
        <w:t>Health Literacy und ethnische Ungleichheiten in der Geburtshilfe: Scoping Review</w:t>
      </w:r>
    </w:p>
    <w:p>
      <w:r>
        <w:rPr>
          <w:i/>
          <w:color w:val="666666"/>
          <w:sz w:val="18"/>
        </w:rPr>
        <w:t>McEvoy B et al.  ·  BMC Health Serv Res  ·  25.08.2026  ·  PMID 42665809</w:t>
      </w:r>
    </w:p>
    <w:p>
      <w:r>
        <w:t>Systematische Analyse der Forschungsliteratur zu Health Literacy als Faktor für ethnische Disparitäten in der Mutterschaftsversorgung.</w:t>
      </w:r>
    </w:p>
    <w:p>
      <w:r>
        <w:rPr>
          <w:b/>
        </w:rPr>
        <w:t xml:space="preserve">Ergebnis: </w:t>
      </w:r>
      <w:r>
        <w:t>14 Studien eingeschlossen (7 quantitativ, 4 qualitativ, 3 gemischt). Vier Kernfunde: (i) diverse Health-Literacy-Definitionen, (ii) Health-Literacy-Herausforderungen treffen minoritäre Frauen überproportional, (iii) schlechte Health Literacy trägt zu adversen Outcomes bei, (iv) geringe Evaluierung von Interventionen. Erkannter Forschungsgap in diesem Versorgungsbereich.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Fragestellung zu Gesundheitskompetenz und Equity systemunabhängig relevant</w:t>
      </w:r>
    </w:p>
    <w:p>
      <w:r>
        <w:rPr>
          <w:color w:val="5A7D3A"/>
          <w:sz w:val="18"/>
        </w:rPr>
        <w:t>https://pubmed.ncbi.nlm.nih.gov/42665809/</w:t>
      </w:r>
    </w:p>
    <w:p>
      <w:pPr>
        <w:pStyle w:val="Heading2"/>
      </w:pPr>
      <w:r>
        <w:t>Empowerment von Gesundheitsarbeitern in Primary Health Care mittels partizipativer Aktionsforschung</w:t>
      </w:r>
    </w:p>
    <w:p>
      <w:r>
        <w:rPr>
          <w:i/>
          <w:color w:val="666666"/>
          <w:sz w:val="18"/>
        </w:rPr>
        <w:t>Jahromi MK et al.  ·  BMC Health Serv Res  ·  26.08.2026  ·  PMID 42665795</w:t>
      </w:r>
    </w:p>
    <w:p>
      <w:r>
        <w:t>22-Monate andauernde partizipative Aktionsforschung mit zwei Zyklen zur Stärkung der Kompetenz von Primary-Care-Anbietern im Iran.</w:t>
      </w:r>
    </w:p>
    <w:p>
      <w:r>
        <w:rPr>
          <w:b/>
        </w:rPr>
        <w:t xml:space="preserve">Ergebnis: </w:t>
      </w:r>
      <w:r>
        <w:t>Quantitative und qualitative Verbesserungen nach Intervention: erhöhtes psychological empowerment, verbesserte professional performance, höhere Zufriedenheit mit Schulungsprogrammen, verbesserte client satisfaction. Qualitative Befunde zeigen substanzielle Fortschritte in wissenschaftlich-praktischen Kompetenzen, unterstützender Arbeitskultur und psychischem Wohlbefinden.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 (LMIC), Modell aber für Partizipation und Workforce-Entwicklung im deutschsprachigen Raum relevant</w:t>
      </w:r>
    </w:p>
    <w:p>
      <w:r>
        <w:rPr>
          <w:color w:val="5A7D3A"/>
          <w:sz w:val="18"/>
        </w:rPr>
        <w:t>https://pubmed.ncbi.nlm.nih.gov/42665795/</w:t>
      </w:r>
    </w:p>
    <w:p>
      <w:pPr>
        <w:pStyle w:val="Heading2"/>
      </w:pPr>
      <w:r>
        <w:t>Pharmakovigilanz-Wissen und -Praxis von Gesundheitsberufen in Georgien</w:t>
      </w:r>
    </w:p>
    <w:p>
      <w:r>
        <w:rPr>
          <w:i/>
          <w:color w:val="666666"/>
          <w:sz w:val="18"/>
        </w:rPr>
        <w:t>Silagadze N et al.  ·  BMC Health Serv Res  ·  22.07.2026  ·  PMID 42665790</w:t>
      </w:r>
    </w:p>
    <w:p>
      <w:r>
        <w:t>Querschnittstudie zu Wissen, Haltungen und Praktiken zur Erfassung von Nebenwirkungen durch Ärzte und Pflegekräfte in Georgien.</w:t>
      </w:r>
    </w:p>
    <w:p>
      <w:r>
        <w:rPr>
          <w:b/>
        </w:rPr>
        <w:t xml:space="preserve">Ergebnis: </w:t>
      </w:r>
      <w:r>
        <w:t>76,3% der Teilnehmer (n=684) begegneten Nebenwirkungen, aber nur 12,95% meldeten diese. Keine Pflegekraft und nur 10,2% der Ärzte nutzten das offizielle Meldungsformular. Hauptbarrieren: Mangel an Bewusstsein für nationale Meldesysteme (91,7%), Unsicherheit über Prozesse (76,9%), Unterschätzung der Schwere (40,8%). Ärzte hatten höhere Wissenswerte als Pflegekräfte (19 vs. 16;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Georgien (Entwicklungsland), aber Pharmaco-Vigilance-Herausforderungen und Lösungsansätze international übertragbar</w:t>
      </w:r>
    </w:p>
    <w:p>
      <w:r>
        <w:rPr>
          <w:color w:val="5A7D3A"/>
          <w:sz w:val="18"/>
        </w:rPr>
        <w:t>https://pubmed.ncbi.nlm.nih.gov/42665790/</w:t>
      </w:r>
    </w:p>
    <w:p>
      <w:pPr>
        <w:pStyle w:val="Heading2"/>
      </w:pPr>
      <w:r>
        <w:t>Methoden zur Analyse von Patientenbewegungen zwischen Versorgungssettings: Systematische Übersicht</w:t>
      </w:r>
    </w:p>
    <w:p>
      <w:r>
        <w:rPr>
          <w:i/>
          <w:color w:val="666666"/>
          <w:sz w:val="18"/>
        </w:rPr>
        <w:t>Yang F et al.  ·  BMJ Open  ·  28.08.2026  ·  PMID 42665343</w:t>
      </w:r>
    </w:p>
    <w:p>
      <w:r>
        <w:t>Systematische Literaturübersicht zu Methoden für die Analyse von Patientenpfaden und -flüssen über multiple Versorgungsebenen hinweg.</w:t>
      </w:r>
    </w:p>
    <w:p>
      <w:r>
        <w:rPr>
          <w:b/>
        </w:rPr>
        <w:t xml:space="preserve">Ergebnis: </w:t>
      </w:r>
      <w:r>
        <w:t>24 Studien identifiziert, 7 distinct Methoden und 5 Forschungsthemen. Die meisten nutzten deskriptive Statistiken und Gruppenvergleiche; Discrete-Event-Simulation wurde häufiger für Patientenbewegungssimulationen eingesetzt. Patiententransfervolumina/Outcomes und Kapazitätsplanung waren am häufigsten untersuchte Themen. Statistical analysis, mathematical modelling und computer simulation bieten komplementäre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 (Norwegen, UK), Methodologie systemunabhängig, für deutsches Transitions-Management relevant</w:t>
      </w:r>
    </w:p>
    <w:p>
      <w:r>
        <w:rPr>
          <w:color w:val="5A7D3A"/>
          <w:sz w:val="18"/>
        </w:rPr>
        <w:t>https://pubmed.ncbi.nlm.nih.gov/42665343/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