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01.09.2026  |  6 Studien  |  wissen.m-vf.de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NEED-Methodologie für Versorgungsbedarfe bei psychotischen Störungen in Belgien</w:t>
      </w:r>
    </w:p>
    <w:p>
      <w:r>
        <w:rPr>
          <w:i/>
          <w:color w:val="666666"/>
          <w:sz w:val="18"/>
        </w:rPr>
        <w:t>Claessens Z et al.  ·  Health Expect  ·  Okt. 2026  ·  PMID 42670826</w:t>
      </w:r>
    </w:p>
    <w:p>
      <w:r>
        <w:t>Methodische Anpassung des NEED-Frameworks (Needs Examination, Evaluation and Dissemination) für Bedarfsermittlung bei psychotischen Störungen durch qualitative Forschung und Expert*innenbeteiligung.</w:t>
      </w:r>
    </w:p>
    <w:p>
      <w:r>
        <w:rPr>
          <w:b/>
        </w:rPr>
        <w:t xml:space="preserve">Ergebnis: </w:t>
      </w:r>
      <w:r>
        <w:t>Drei interdependente Bereiche identifiziert: Stigma erschwert Selbstidentifikation, begrenzte Krankheitseinsicht und Misstrauen behindern Partizipation. Adaptationen: erweiterte Einschlusskriterien, nicht-stigmatisierende Terminologie, Proxy-Completion ermöglicht, On-site-Unterstützung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Sozialversicherungssystem; hohe Übertragbarkeit auf deutschsprachige Länder</w:t>
      </w:r>
    </w:p>
    <w:p>
      <w:r>
        <w:rPr>
          <w:color w:val="5A7D3A"/>
          <w:sz w:val="18"/>
        </w:rPr>
        <w:t>https://pubmed.ncbi.nlm.nih.gov/42670826/</w:t>
      </w:r>
    </w:p>
    <w:p>
      <w:pPr>
        <w:pStyle w:val="Heading2"/>
      </w:pPr>
      <w:r>
        <w:t>Herz-Insuffizienz-Versorgung in der US-Veteranen-Administration während COVID-19</w:t>
      </w:r>
    </w:p>
    <w:p>
      <w:r>
        <w:rPr>
          <w:i/>
          <w:color w:val="666666"/>
          <w:sz w:val="18"/>
        </w:rPr>
        <w:t>Brownell NK et al.  ·  Circ Heart Fail  ·  31.08.2026  ·  PMID 42670712</w:t>
      </w:r>
    </w:p>
    <w:p>
      <w:r>
        <w:t>Untersucht Trends in der Herzinsuffizienz-Behandlung und Ergebnissen bei Veteranen über 6 Jahre inklusive Pandemie-Phase mittels unterbrochener Zeitreihenanalyse.</w:t>
      </w:r>
    </w:p>
    <w:p>
      <w:r>
        <w:rPr>
          <w:b/>
        </w:rPr>
        <w:t xml:space="preserve">Ergebnis: </w:t>
      </w:r>
      <w:r>
        <w:t>Verordnungen für Herzinsuffizienz-Medikamente wurden beibehalten oder verbessert (0,1–0,9 Prozentpunkte Anstieg pro 6-Wochen-Periode in der späten COVID-Phase). Telemedizin-Nutzung stieg 2–4-fach, stationäre Aufnahmen sanken um 31 %, Mortalität stieg jedoch um 13 % bei Pandemie-Beginn.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US-System; klinische Prozessveränderungen teilweise übertragbar</w:t>
      </w:r>
    </w:p>
    <w:p>
      <w:r>
        <w:rPr>
          <w:color w:val="5A7D3A"/>
          <w:sz w:val="18"/>
        </w:rPr>
        <w:t>https://pubmed.ncbi.nlm.nih.gov/42670712/</w:t>
      </w:r>
    </w:p>
    <w:p>
      <w:pPr>
        <w:pStyle w:val="Heading2"/>
      </w:pPr>
      <w:r>
        <w:t>Laparoskopische Leberresektion bei intrahepatischem Cholangiokarinom in Japan</w:t>
      </w:r>
    </w:p>
    <w:p>
      <w:r>
        <w:rPr>
          <w:i/>
          <w:color w:val="666666"/>
          <w:sz w:val="18"/>
        </w:rPr>
        <w:t>Kokudo T et al.  ·  Glob Health Med  ·  31.08.2026  ·  PMID 42670510</w:t>
      </w:r>
    </w:p>
    <w:p>
      <w:r>
        <w:t>Nationale Beobachtungsstudie zur Entwicklung minimal-invasiver Chirurgie bei intrahepatischem Cholangiokarinom basierend auf japanischer Krankenversicherungsdatenbank 2016–2020.</w:t>
      </w:r>
    </w:p>
    <w:p>
      <w:r>
        <w:rPr>
          <w:b/>
        </w:rPr>
        <w:t xml:space="preserve">Ergebnis: </w:t>
      </w:r>
      <w:r>
        <w:t>Fallzahlen stabil (1119–1213 Patienten/Jahr), offene Resektionen konstant (~750/Jahr), laparoskopische Resektionen stiegen von 84 (2016) auf 195 (2020). Mediane postoperative Überlebensdauer: 5,25 Jahre offen vs. nicht erreicht laparoskopisch.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nationale Routinedaten; Versorgungstrends mit Methodenvalidierung übertragbar</w:t>
      </w:r>
    </w:p>
    <w:p>
      <w:r>
        <w:rPr>
          <w:color w:val="5A7D3A"/>
          <w:sz w:val="18"/>
        </w:rPr>
        <w:t>https://pubmed.ncbi.nlm.nih.gov/42670510/</w:t>
      </w:r>
    </w:p>
    <w:p>
      <w:pPr>
        <w:pStyle w:val="Heading2"/>
      </w:pPr>
      <w:r>
        <w:t>Wirtschaftliche Last der Parkinson-Krankheit in Europa</w:t>
      </w:r>
    </w:p>
    <w:p>
      <w:r>
        <w:rPr>
          <w:i/>
          <w:color w:val="666666"/>
          <w:sz w:val="18"/>
        </w:rPr>
        <w:t>Welter L et al.  ·  Mov Disord  ·  27.08.2026  ·  PMID 42659761</w:t>
      </w:r>
    </w:p>
    <w:p>
      <w:r>
        <w:t>Cost-of-Illness-Studie für Parkinson-Erkrankung in 47 europäischen Ländern mittels Prävalenzdaten und systematischem Review von Kostenstudien.</w:t>
      </w:r>
    </w:p>
    <w:p>
      <w:r>
        <w:rPr>
          <w:b/>
        </w:rPr>
        <w:t xml:space="preserve">Ergebnis: </w:t>
      </w:r>
      <w:r>
        <w:t>Gesamtkosten 2019: 22,8 Mrd. €, davon 17,3 Mrd. € (76 %) direkte Kosten, 1 Mrd. € (5 %) indirekte Kosten, 4,4 Mrd. € (19 %) informelle Pflegekosten. Mittlere Kosten pro Patient: 14.278 € (Median: 8.393 €).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Länder; strukturelle Übertragbarkeit auf deutsches System</w:t>
      </w:r>
    </w:p>
    <w:p>
      <w:r>
        <w:rPr>
          <w:color w:val="5A7D3A"/>
          <w:sz w:val="18"/>
        </w:rPr>
        <w:t>https://pubmed.ncbi.nlm.nih.gov/42659761/</w:t>
      </w:r>
    </w:p>
    <w:p>
      <w:pPr>
        <w:pStyle w:val="Heading2"/>
      </w:pPr>
      <w:r>
        <w:t>Surveillance-Kolonoskopie-Intervalle in australischen Spitälern</w:t>
      </w:r>
    </w:p>
    <w:p>
      <w:r>
        <w:rPr>
          <w:i/>
          <w:color w:val="666666"/>
          <w:sz w:val="18"/>
        </w:rPr>
        <w:t>Foo J et al.  ·  Aust Health Rev  ·  03.09.2026  ·  PMID 42656090</w:t>
      </w:r>
    </w:p>
    <w:p>
      <w:r>
        <w:t>Audit von 248 Kolonoskopie-Fällen in 6 viktorianischen Spitälern zur Überprüfung der Guideline-Konformität bei Surveillance-Intervallen nach 2018 Australian Cancer Council Richtlinien.</w:t>
      </w:r>
    </w:p>
    <w:p>
      <w:r>
        <w:rPr>
          <w:b/>
        </w:rPr>
        <w:t xml:space="preserve">Ergebnis: </w:t>
      </w:r>
      <w:r>
        <w:t>Nur 25,4 % (63/248) der Empfehlungen waren guideline-konform; 74,6 % waren zu früh, 20,5 % nicht indiziert, 4,9 % zu spät. Konformität variierte nach Intervall-Kategorie: 66,7 % (≤12 Mon.), 31,0 % (3 J.), 58,3 % (5 J.), 0,0 % (10 J.).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Implementierungsgap systemunabhängig relevant</w:t>
      </w:r>
    </w:p>
    <w:p>
      <w:r>
        <w:rPr>
          <w:color w:val="5A7D3A"/>
          <w:sz w:val="18"/>
        </w:rPr>
        <w:t>https://pubmed.ncbi.nlm.nih.gov/42656090/</w:t>
      </w:r>
    </w:p>
    <w:p>
      <w:pPr>
        <w:pStyle w:val="Heading2"/>
      </w:pPr>
      <w:r>
        <w:t>Unsicherheit beim wissenschaftlichen Deliberationsprozess während COVID-19</w:t>
      </w:r>
    </w:p>
    <w:p>
      <w:r>
        <w:rPr>
          <w:i/>
          <w:color w:val="666666"/>
          <w:sz w:val="18"/>
        </w:rPr>
        <w:t>Correia T et al.  ·  Eur J Public Health  ·  04.08.2026  ·  PMID 42647368</w:t>
      </w:r>
    </w:p>
    <w:p>
      <w:r>
        <w:t>Policy-Analyse zum Verhältnis zwischen Transparenz von wissenschaftlichen Entscheidungsprozessen und dem Schutz wissenschaftlicher Deliberation am Beispiel der Fauci-Tagebuch-Veröffentlichung.</w:t>
      </w:r>
    </w:p>
    <w:p>
      <w:r>
        <w:rPr>
          <w:b/>
        </w:rPr>
        <w:t xml:space="preserve">Ergebnis: </w:t>
      </w:r>
      <w:r>
        <w:t>Kernaussage: Offenlegung interne wissenschaftliche Diskussionen kann legitimes Vertrauen in institutionelle Autorität untergraben, wenn Unsicherheiten und Widersprüche bei der Entscheidungsfindung nicht angemessen kontextualisiert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Systemübergreifende Governance-Frage; relevant für deutsche Public-Health-Entscheidungen</w:t>
      </w:r>
    </w:p>
    <w:p>
      <w:r>
        <w:rPr>
          <w:color w:val="5A7D3A"/>
          <w:sz w:val="18"/>
        </w:rPr>
        <w:t>https://pubmed.ncbi.nlm.nih.gov/42647368/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