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09.09.2026  |  152 Studien  |  wissen.m-vf.de</w:t>
      </w:r>
    </w:p>
    <w:p>
      <w:pPr>
        <w:pStyle w:val="Heading1"/>
      </w:pPr>
      <w:r>
        <w:t>Aufgenommen am 09.09.2026</w:t>
      </w:r>
    </w:p>
    <w:p>
      <w:pPr>
        <w:pStyle w:val="Heading2"/>
      </w:pPr>
      <w:r>
        <w:t>Roadmap for organization-wide implementation of evidence-based medicine</w:t>
      </w:r>
    </w:p>
    <w:p>
      <w:r>
        <w:rPr>
          <w:i/>
          <w:color w:val="666666"/>
          <w:sz w:val="18"/>
        </w:rPr>
        <w:t>van der Braak K et al.  ·  JBI Evid Implement  ·  09.09.2026  ·  PMID 42710024</w:t>
      </w:r>
    </w:p>
    <w:p>
      <w:r>
        <w:t>Systematic overview of reviews synthesizing evidence on implementing evidence-based medicine across 100 included reviews (2013–2023), examining outcome measurement, contextual analysis, and implementation strategies.</w:t>
      </w:r>
    </w:p>
    <w:p>
      <w:r>
        <w:rPr>
          <w:b/>
        </w:rPr>
        <w:t xml:space="preserve">Ergebnis: </w:t>
      </w:r>
      <w:r>
        <w:t>Identified four consistently recommended measurement instruments (EBPQ, EPIC, Fresno Test, HS-EBP); 50 reviews addressed outcome measurement, 57 on contextual analysis with 22 themes, and 40 reviewed implementation strategies (38 educational). Educational strategies were most studied; infrastructure changes and organizational-/patient-level outcomes underrepresented.</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Greener active pharmaceutical ingredients: healthcare professionals' perspectives</w:t>
      </w:r>
    </w:p>
    <w:p>
      <w:r>
        <w:rPr>
          <w:i/>
          <w:color w:val="666666"/>
          <w:sz w:val="18"/>
        </w:rPr>
        <w:t>Puhlmann N et al.  ·  BMC Health Serv Res  ·  04.09.2026  ·  PMID 42706542</w:t>
      </w:r>
    </w:p>
    <w:p>
      <w:r>
        <w:t>Qualitative interview study with 16 European healthcare professionals (doctors, pharmacists, procurement, reimbursement, regulators) exploring perspectives on adopting greener active pharmaceutical ingredients (APIs) as part of sustainable medical care.</w:t>
      </w:r>
    </w:p>
    <w:p>
      <w:r>
        <w:rPr>
          <w:b/>
        </w:rPr>
        <w:t xml:space="preserve">Ergebnis: </w:t>
      </w:r>
      <w:r>
        <w:t>Interviewees identified existing environmental consideration strategies (e.g., environmental criteria in procurement tenders). Key needs for adoption: access to reliable environmental impact data, legislative/regulatory frameworks for harmonized assessment, centralized decision-making on environmental properties. Marketing authorization process viewed as main intervention point; professional interest in environmental data may stimulate company data-sharing and greener API design.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for implementation determinants in neonatal intensive care</w:t>
      </w:r>
    </w:p>
    <w:p>
      <w:r>
        <w:rPr>
          <w:i/>
          <w:color w:val="666666"/>
          <w:sz w:val="18"/>
        </w:rPr>
        <w:t>Dymek NG et al.  ·  BMC Health Serv Res  ·  05.09.2026  ·  PMID 42706532</w:t>
      </w:r>
    </w:p>
    <w:p>
      <w:r>
        <w:t>Methodological illustration of System Support Mapping (SSM) combined with Matrixed Multiple Case Study approach for identifying implementation determinants in a multi-site study implementing lactation support in five German NICUs.</w:t>
      </w:r>
    </w:p>
    <w:p>
      <w:r>
        <w:rPr>
          <w:b/>
        </w:rPr>
        <w:t xml:space="preserve">Ergebnis: </w:t>
      </w:r>
      <w:r>
        <w:t>Six-step methodology demonstrated: individual System Support Maps per NICU (steps 1–3), cross-site matrix enabling comparison (steps 4–6). Within-site analysis revealed context-dependent determinant perceptions (same resource as facilitating, inhibiting, or both depending on context). Cross-site analysis identified homogeneous and heterogeneous determinant patterns, showing different contextual manifestations enabling site-specific vs. cross-site strategy differentiation.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model in Swedish primary care: pilot trial outcomes</w:t>
      </w:r>
    </w:p>
    <w:p>
      <w:r>
        <w:rPr>
          <w:i/>
          <w:color w:val="666666"/>
          <w:sz w:val="18"/>
        </w:rPr>
        <w:t>Nordgren LB et al.  ·  BMC Health Serv Res  ·  03.09.2026  ·  PMID 42706525</w:t>
      </w:r>
    </w:p>
    <w:p>
      <w:r>
        <w:t>Stepped-wedge clinical trial evaluating implementation of Primary Care Behavioral Health (PCBH) model in four Swedish primary care centers with 37,100 listed patients over three time periods.</w:t>
      </w:r>
    </w:p>
    <w:p>
      <w:r>
        <w:rPr>
          <w:b/>
        </w:rPr>
        <w:t xml:space="preserve">Ergebnis: </w:t>
      </w:r>
      <w:r>
        <w:t>Post-PCBH: first appointment waiting time decreased 30–39% (16→10–11 days, p&lt;0,001); all appointment waiting times decreased 21–24% (18→13,7–14,2 days, p&lt;0,001); total BHC appointments increased 21–34% (1762→2359–2127, p&lt;0,001); psychotropic prescriptions decreased 14–18% (8025→6570–6927, p&lt;0,001). Improvements partly declined after implementation phase.</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Guideline-based speech therapy for aphasia: systemic barriers in German-speaking healthcare</w:t>
      </w:r>
    </w:p>
    <w:p>
      <w:r>
        <w:rPr>
          <w:i/>
          <w:color w:val="666666"/>
          <w:sz w:val="18"/>
        </w:rPr>
        <w:t>May S et al.  ·  BMC Health Serv Res  ·  07.09.2026  ·  PMID 42706524</w:t>
      </w:r>
    </w:p>
    <w:p>
      <w:r>
        <w:t>Exploratory qualitative study using two online focus groups with people with aphasia, relatives, speech therapists, and healthcare stakeholders in German-speaking context to identify barriers to guideline-recommended therapy.</w:t>
      </w:r>
    </w:p>
    <w:p>
      <w:r>
        <w:rPr>
          <w:b/>
        </w:rPr>
        <w:t xml:space="preserve">Ergebnis: </w:t>
      </w:r>
      <w:r>
        <w:t>Six main barrier categories identified: societal/systemic conditions, access to care, patient journey fragmentation, relatives' roles, psychosocial factors, and interdisciplinary care gaps. Transition from inpatient to outpatient care emerged as particularly vulnerable stage. Fragmented care pathways and financial obstacles hindered implementation; informal family support created inequalities in care access.</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 satisfaction in tele-ophthalmology: systematic review and meta-analysis</w:t>
      </w:r>
    </w:p>
    <w:p>
      <w:r>
        <w:rPr>
          <w:i/>
          <w:color w:val="666666"/>
          <w:sz w:val="18"/>
        </w:rPr>
        <w:t>Al-Nosairy KO et al.  ·  Eye (Lond)  ·  07.09.2026  ·  PMID 42706426</w:t>
      </w:r>
    </w:p>
    <w:p>
      <w:r>
        <w:t>Systematic review and meta-analysis of 41 studies (24,595 participants) comparing patient satisfaction in tele-ophthalmology versus in-person eye care and assessing overall telemedicine satisfaction.</w:t>
      </w:r>
    </w:p>
    <w:p>
      <w:r>
        <w:rPr>
          <w:b/>
        </w:rPr>
        <w:t xml:space="preserve">Ergebnis: </w:t>
      </w:r>
      <w:r>
        <w:t>Comparable satisfaction rates: tele-ophthalmology vs. in-person (OR 0,98; 95% CI 0,36–2,65, p=0,95). Pooled satisfaction in telemedicine 93,5% (95% CI 90,8–95,5); 92,0% general acceptability. Asynchronous (94,6%), synchronous (92,1%), hybrid (93,8%) models showed similar rates. Higher recommendation (94,9%) than reuse intention (84,0%); no publication bias detected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Primary care visits and prevention of chronic conditions in China's health system reform</w:t>
      </w:r>
    </w:p>
    <w:p>
      <w:r>
        <w:rPr>
          <w:i/>
          <w:color w:val="666666"/>
          <w:sz w:val="18"/>
        </w:rPr>
        <w:t>Zhang Y et al.  ·  Soc Sci Med  ·  12.08.2026  ·  PMID 42704983</w:t>
      </w:r>
    </w:p>
    <w:p>
      <w:r>
        <w:t>Panel study of 11,425 individuals across four waves (2011–2018) from China Health and Retirement Longitudinal Study examining associations between primary care visits and preventing additional chronic conditions and reducing hospital utilization.</w:t>
      </w:r>
    </w:p>
    <w:p>
      <w:r>
        <w:rPr>
          <w:b/>
        </w:rPr>
        <w:t xml:space="preserve">Ergebnis: </w:t>
      </w:r>
      <w:r>
        <w:t>Each additional primary care visit associated with fewer new chronic conditions acquired (−0,011, 95% CI −0,017 to −0,004). Association stronger in urban residents (−0,016), those with primary education (−0,014), single chronic condition (−0,018). Among those with existing conditions, primary care visits not significantly associated with hospital outpatient visits (−0,010, 95% CI −0,029 to 0,009) or inpatient admissions (0,010, 95% CI −0,020 to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