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28.08.2026  |  6 Studien  |  wissen.m-vf.de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Implementierung von Rehabilitations-Robotik in Regelversorgung: Systematisches Mapping</w:t>
      </w:r>
    </w:p>
    <w:p>
      <w:r>
        <w:rPr>
          <w:i/>
          <w:color w:val="666666"/>
          <w:sz w:val="18"/>
        </w:rPr>
        <w:t>Calabrò RS et al.  ·  Healthcare (Basel)  ·  14.08.2026  ·  PMID 42651315</w:t>
      </w:r>
    </w:p>
    <w:p>
      <w:r>
        <w:t>Mapping-Review zu Service-Delivery-Modellen, Implementierungsfaktoren und Real-World-Outcomes von Rehabilitations-Robotik in neurorehabilitation Kliniken (55 Studien).</w:t>
      </w:r>
    </w:p>
    <w:p>
      <w:r>
        <w:rPr>
          <w:b/>
        </w:rPr>
        <w:t xml:space="preserve">Ergebnis: </w:t>
      </w:r>
      <w:r>
        <w:t>Personalausstattung in 90,9 % der Studien dokumentiert, Workflow/Planung in 78,2 %, Sicherheit in 58,2 %, Training in 52,7 % berichtet. Feasibility in 72,7 %, Akzeptabilität in 56,4 %, Adoption in 41,8 % dokumentiert. Nachhaltigkeit, technischer Support und Implementierungskosten unterberichtet.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Implementierungsforschung, qualitative Evidenz; Systemkontext unterschiedlich aber methodisch relevant</w:t>
      </w:r>
    </w:p>
    <w:p>
      <w:r>
        <w:rPr>
          <w:color w:val="5A7D3A"/>
          <w:sz w:val="18"/>
        </w:rPr>
        <w:t>https://pubmed.ncbi.nlm.nih.gov/42651315/</w:t>
      </w:r>
    </w:p>
    <w:p>
      <w:pPr>
        <w:pStyle w:val="Heading2"/>
      </w:pPr>
      <w:r>
        <w:t>Peer Researcher in Surveys: Training, Support und Evaluation – Narrative Review</w:t>
      </w:r>
    </w:p>
    <w:p>
      <w:r>
        <w:rPr>
          <w:i/>
          <w:color w:val="666666"/>
          <w:sz w:val="18"/>
        </w:rPr>
        <w:t>Blunt TJG et al.  ·  Res Involv Engagem  ·  25.08.2026  ·  PMID 42642786</w:t>
      </w:r>
    </w:p>
    <w:p>
      <w:r>
        <w:t>Narrative Review von Literatur zu Involvement, Training und Evaluation von Peer Researchers bei survey-basierten Datenerhebungen (Fokus auf methodische Lücken).</w:t>
      </w:r>
    </w:p>
    <w:p>
      <w:r>
        <w:rPr>
          <w:b/>
        </w:rPr>
        <w:t xml:space="preserve">Ergebnis: </w:t>
      </w:r>
      <w:r>
        <w:t>PR-Rollen variabel, oft nur Datenerhebung. Training reicht von intensiv strukturiert bis minimal/absent. PR-Involvement verbesserte Rekrutierung, Rapport, Datentiefe, aber systematische Evaluation selten. Herausforderungen: Rollenklarheit unklar, unzureichende Unterstützung, hierarchische Dynamiken, Tokenismus.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Partizipative Forschungsmethoden relevant für deutsches HSR; Evidenz international heterogen</w:t>
      </w:r>
    </w:p>
    <w:p>
      <w:r>
        <w:rPr>
          <w:color w:val="5A7D3A"/>
          <w:sz w:val="18"/>
        </w:rPr>
        <w:t>https://pubmed.ncbi.nlm.nih.gov/42642786/</w:t>
      </w:r>
    </w:p>
    <w:p>
      <w:pPr>
        <w:pStyle w:val="Heading2"/>
      </w:pPr>
      <w:r>
        <w:t>Systems Thinking in Public-Health-Interventionen: Barrieren und Facilitators</w:t>
      </w:r>
    </w:p>
    <w:p>
      <w:r>
        <w:rPr>
          <w:i/>
          <w:color w:val="666666"/>
          <w:sz w:val="18"/>
        </w:rPr>
        <w:t>Alabdulaali M et al.  ·  BMC Health Serv Res  ·  19.08.2026  ·  PMID 42642760</w:t>
      </w:r>
    </w:p>
    <w:p>
      <w:r>
        <w:t>Systematisches Review von 15 Studien zu Implementierung von Systems-Thinking-Ansätzen in Public-Health-Interventionen, Barrieren und Facilitators in 2013–2025.</w:t>
      </w:r>
    </w:p>
    <w:p>
      <w:r>
        <w:rPr>
          <w:b/>
        </w:rPr>
        <w:t xml:space="preserve">Ergebnis: </w:t>
      </w:r>
      <w:r>
        <w:t>Hauptfacilitatoren: Stakeholder-Engagement, Co-Production, Integration in bestehende Systeme, inkrementelle Kapazitätsbildung, Leadership-Support. Barrieren: Schwierigkeit, Systemkonzepte umzusetzen, Personalknappheit, fragmentierte Datensysteme, starre Governance, externe Disruptionen (z.B. COVID-19).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 aber Implementierungsrahmen systemunabhängig; relevant für Reformkontexte wie Deutschland</w:t>
      </w:r>
    </w:p>
    <w:p>
      <w:r>
        <w:rPr>
          <w:color w:val="5A7D3A"/>
          <w:sz w:val="18"/>
        </w:rPr>
        <w:t>https://pubmed.ncbi.nlm.nih.gov/42642760/</w:t>
      </w:r>
    </w:p>
    <w:p>
      <w:pPr>
        <w:pStyle w:val="Heading2"/>
      </w:pPr>
      <w:r>
        <w:t>Räumliche Erreichbarkeit von Hospizen in Deutschland: Vergleich von Messmethoden</w:t>
      </w:r>
    </w:p>
    <w:p>
      <w:r>
        <w:rPr>
          <w:i/>
          <w:color w:val="666666"/>
          <w:sz w:val="18"/>
        </w:rPr>
        <w:t>Petzold T et al.  ·  BMC Health Serv Res  ·  21.08.2026  ·  PMID 42642757</w:t>
      </w:r>
    </w:p>
    <w:p>
      <w:r>
        <w:t>Vergleich von vier Methoden zur Messung der räumlichen Erreichbarkeit von Hospizen anhand von 295 deutschen Einrichtungen.</w:t>
      </w:r>
    </w:p>
    <w:p>
      <w:r>
        <w:rPr>
          <w:b/>
        </w:rPr>
        <w:t xml:space="preserve">Ergebnis: </w:t>
      </w:r>
      <w:r>
        <w:t>90,3 % der Bevölkerung erreichen ein Hospiz innerhalb von 30 min. Methoden zeigen unterschiedliche Ergebnisse: Provider-to-Population-Ratio zeigt 36,4 Betten pro 1 Mio. Einwohner national; FCA-Methoden sind heterogener, besonders in ländlichen Regionen. Die Wahl der Methode beeinflusst Ergebnisse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Hospize, Routinedaten; direkt übertragbar auf deutsches Versorgungssystem</w:t>
      </w:r>
    </w:p>
    <w:p>
      <w:r>
        <w:rPr>
          <w:color w:val="5A7D3A"/>
          <w:sz w:val="18"/>
        </w:rPr>
        <w:t>https://pubmed.ncbi.nlm.nih.gov/42642757/</w:t>
      </w:r>
    </w:p>
    <w:p>
      <w:pPr>
        <w:pStyle w:val="Heading2"/>
      </w:pPr>
      <w:r>
        <w:t>Health Literacy und Malaria-Verhalten in Gabun: Assoziationen bei Prävention und Adhärenz</w:t>
      </w:r>
    </w:p>
    <w:p>
      <w:r>
        <w:rPr>
          <w:i/>
          <w:color w:val="666666"/>
          <w:sz w:val="18"/>
        </w:rPr>
        <w:t>Namubiru C et al.  ·  BMC Health Serv Res  ·  24.08.2026  ·  PMID 42642735</w:t>
      </w:r>
    </w:p>
    <w:p>
      <w:r>
        <w:t>Querschnittstudie zu Assoziationen zwischen Health Literacy und Malaria-Präventionsverhalten bei 504 Befragten in urban und ländlich Gabun.</w:t>
      </w:r>
    </w:p>
    <w:p>
      <w:r>
        <w:rPr>
          <w:b/>
        </w:rPr>
        <w:t xml:space="preserve">Ergebnis: </w:t>
      </w:r>
      <w:r>
        <w:t>59,7 % mit ausreichender Health Literacy (HL). HL assoziiert mit Dosierungswissen (AME 0,022, p&lt;0,001), Adhärenz (OR 1,089, p&lt;0,01), Fragen stellen (OR 1,092, p&lt;0,001) und Netztnutzung (p&lt;0,05). Keine Assoziation mit Behandlungssuche oder Buschrodung (p&gt;0,05).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Ressourcen-limitiertes Setting mit anderen Prioritäten; Methodologie aber für Versorgungsforschung relevant</w:t>
      </w:r>
    </w:p>
    <w:p>
      <w:r>
        <w:rPr>
          <w:color w:val="5A7D3A"/>
          <w:sz w:val="18"/>
        </w:rPr>
        <w:t>https://pubmed.ncbi.nlm.nih.gov/42642735/</w:t>
      </w:r>
    </w:p>
    <w:p>
      <w:pPr>
        <w:pStyle w:val="Heading2"/>
      </w:pPr>
      <w:r>
        <w:t>Globale Fortschritte bei oralmedizinischen Bedingungen 2019–2023: GBD-Analyse</w:t>
      </w:r>
    </w:p>
    <w:p>
      <w:r>
        <w:rPr>
          <w:i/>
          <w:color w:val="666666"/>
          <w:sz w:val="18"/>
        </w:rPr>
        <w:t>GBD 2023 Oral Disorders Collaborators  ·  Lancet Public Health  ·  Sept. 2026  ·  PMID 42612648</w:t>
      </w:r>
    </w:p>
    <w:p>
      <w:r>
        <w:t>Systematische GBD-2023-Analyse zu globalen und regionalen Trends bei Prävalenz von Mundhöhlenerkrankungen (Karies, Parodontitis, Zahnlosigkeit) 2019–2023 gegenüber WHO-Ziel 2030.</w:t>
      </w:r>
    </w:p>
    <w:p>
      <w:r>
        <w:rPr>
          <w:b/>
        </w:rPr>
        <w:t xml:space="preserve">Ergebnis: </w:t>
      </w:r>
      <w:r>
        <w:t>Altersstandardisierte Prävalenz hauptsächlich sank um -1,55 % (95% UI -2,32 bis -0,82); absolute Fälle stiegen aber +3,07 %. Unbehandelte Karies in bleibenden Zähnen -1,99 %, orofaziale Spalten +2,25 %. Südasien -3,34 %, Sub-Sahara +9,51 %. Aktuelles Tempo unzureichend für 2030-Ziele.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WHO-GBD-Daten global; Trendfeststellung systemunabhängig aber mit Lücken in DE-Datenerfassung</w:t>
      </w:r>
    </w:p>
    <w:p>
      <w:r>
        <w:rPr>
          <w:color w:val="5A7D3A"/>
          <w:sz w:val="18"/>
        </w:rPr>
        <w:t>https://pubmed.ncbi.nlm.nih.gov/42612648/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