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09.10.2026  |  6 Studien  |  wissen.m-vf.de</w:t>
      </w:r>
    </w:p>
    <w:p>
      <w:pPr>
        <w:pStyle w:val="Heading1"/>
      </w:pPr>
      <w:r>
        <w:t>Aufgenommen am 09.10.2026</w:t>
      </w:r>
    </w:p>
    <w:p>
      <w:pPr>
        <w:pStyle w:val="Heading2"/>
      </w:pPr>
      <w:r>
        <w:t>Telemedicine-Nutzung in Japan 2020–2024: Persistierende Ungleichheiten</w:t>
      </w:r>
    </w:p>
    <w:p>
      <w:r>
        <w:rPr>
          <w:i/>
          <w:color w:val="666666"/>
          <w:sz w:val="18"/>
        </w:rPr>
        <w:t>Ito H et al.  ·  J Med Internet Res  ·  08.10.2026  ·  PMID 42849039</w:t>
      </w:r>
    </w:p>
    <w:p>
      <w:r>
        <w:t>Longitudinale Panelstudie zur Entwicklung von Chancenungleichheiten bei der Telemedizin-Adoption in Japan über vier Jahre mit 10.818 Teilnehmern.</w:t>
      </w:r>
    </w:p>
    <w:p>
      <w:r>
        <w:rPr>
          <w:b/>
        </w:rPr>
        <w:t xml:space="preserve">Ergebnis: </w:t>
      </w:r>
      <w:r>
        <w:t>Telemedizin-Adoption stieg von 2,6% (2020) auf 7,0% (2024). Altersbedingte Ungleichheiten verschärften sich: Bei 70–75-Jährigen +1,0 Prozentpunkte vs. 18–29-Jährigen +13,1 Prozentpunkte (DID –12,1 PP, 95% KI –18,2 bis –5,9). Arbeitslose zeigten kleinere Zunahmen (+2,8 vs. +5,7 PP bei höheren Angestellten; DID –2,9 PP).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nationale Kohorte mit berichteten Adoptionsdaten, digitale Gerechtigkeit systemübergreifend relevant</w:t>
      </w:r>
    </w:p>
    <w:p>
      <w:r>
        <w:rPr>
          <w:color w:val="5A7D3A"/>
          <w:sz w:val="18"/>
        </w:rPr>
        <w:t>https://pubmed.ncbi.nlm.nih.gov/42849039/</w:t>
      </w:r>
    </w:p>
    <w:p>
      <w:pPr>
        <w:pStyle w:val="Heading2"/>
      </w:pPr>
      <w:r>
        <w:t>Retinoid-Umstellung in vier europäischen Ländern nach Schwangerschaftsprävention 2018</w:t>
      </w:r>
    </w:p>
    <w:p>
      <w:r>
        <w:rPr>
          <w:i/>
          <w:color w:val="666666"/>
          <w:sz w:val="18"/>
        </w:rPr>
        <w:t>Riera-Arnau J et al.  ·  Drug Saf  ·  08.10.2026  ·  PMID 42848129</w:t>
      </w:r>
    </w:p>
    <w:p>
      <w:r>
        <w:t>Unterbrochene Zeitreihenanalyse zum Effekt der EU-Schwangerschaftspräventionsprogramm-Aktualisierung 2018 auf Wechsel von oralen Retinoiden zu Alternativmedikamenten bei Frauen im gebärfähigen Alter in vier europäischen Ländern mit 88.992 Frauen.</w:t>
      </w:r>
    </w:p>
    <w:p>
      <w:r>
        <w:rPr>
          <w:b/>
        </w:rPr>
        <w:t xml:space="preserve">Ergebnis: </w:t>
      </w:r>
      <w:r>
        <w:t>32,0% (28.446/88.992) wechselten zu Alternativmedikamenten über den Studienzeitraum. Mediane Wechselraten: 1,8–6,5% monatlich präimplementiert, 1,2–2,3% postimplementiert. Kleine aber statistisch signifikante Abnahme der Wechselrate nach Intervention in Italien (–0,035%, p&lt;0,01), Spanien VID (–0,04%, p&lt;0,01) und BIFAP (–0,03%, p=0,02); Effekte verschwanden bei Ausschluss COVID-19-Lockdown-Periode.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Spanien, Italien, Dänemark – europäische Sozialversicherungssysteme, Pharmacoepidemiology-Daten</w:t>
      </w:r>
    </w:p>
    <w:p>
      <w:r>
        <w:rPr>
          <w:color w:val="5A7D3A"/>
          <w:sz w:val="18"/>
        </w:rPr>
        <w:t>https://pubmed.ncbi.nlm.nih.gov/42848129/</w:t>
      </w:r>
    </w:p>
    <w:p>
      <w:pPr>
        <w:pStyle w:val="Heading2"/>
      </w:pPr>
      <w:r>
        <w:t>Prähabilitationsakzeptanz bei Hüft- und Kniegelenkersatz: Qualitative Stakeholder-Perspektiven</w:t>
      </w:r>
    </w:p>
    <w:p>
      <w:r>
        <w:rPr>
          <w:i/>
          <w:color w:val="666666"/>
          <w:sz w:val="18"/>
        </w:rPr>
        <w:t>Burgess N et al.  ·  Musculoskeletal Care  ·  Dez. 2026  ·  PMID 42847740</w:t>
      </w:r>
    </w:p>
    <w:p>
      <w:r>
        <w:t>Qualitative Studie mit 30 Interviews (15 Patienten, 15 Fachpersonen) zu Akzeptanz, Barrieren und Lösungen bei Prähabilitationsprogrammen vor Hüft- und Kniegelenksersatz in Australien.</w:t>
      </w:r>
    </w:p>
    <w:p>
      <w:r>
        <w:rPr>
          <w:b/>
        </w:rPr>
        <w:t xml:space="preserve">Ergebnis: </w:t>
      </w:r>
      <w:r>
        <w:t>Prähabilitationsmaßnahme wurde allgemein als akzeptabel und vorteilhaft bewertet. Drei Hauptkonzepte: (1) Verständnis variierte, aber positive Bewertung überwiegend; (2) Barrieren/Förderfaktoren auf Patienten-, Fachpersonen- und Systemebene identifiziert (lange Wartelisten, mangelndes Vertrauen, Gesprächssicherheit); (3) Beide Gruppen betonten individuelle Anpassung, multimodale Intervention und kontinuierliche Unterstützung im OP-Verlauf als erfolgskritisch.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öffentliches Versorgungssystem – Prozessqualität und Patientenperspektive gut übertragbar</w:t>
      </w:r>
    </w:p>
    <w:p>
      <w:r>
        <w:rPr>
          <w:color w:val="5A7D3A"/>
          <w:sz w:val="18"/>
        </w:rPr>
        <w:t>https://pubmed.ncbi.nlm.nih.gov/42847740/</w:t>
      </w:r>
    </w:p>
    <w:p>
      <w:pPr>
        <w:pStyle w:val="Heading2"/>
      </w:pPr>
      <w:r>
        <w:t>ADHS-Medikation in Norwegen: Anhaltende Anstiege nach COVID-19</w:t>
      </w:r>
    </w:p>
    <w:p>
      <w:r>
        <w:rPr>
          <w:i/>
          <w:color w:val="666666"/>
          <w:sz w:val="18"/>
        </w:rPr>
        <w:t>Reme BA et al.  ·  Scand J Public Health  ·  08.10.2026  ·  PMID 42847285</w:t>
      </w:r>
    </w:p>
    <w:p>
      <w:r>
        <w:t>Register-basierte Zeitreihenanalyse der ADHS-Arzneimittelverordnungen in Norwegen 2009–2024 mit 63,7 Millionen Personenjahren.</w:t>
      </w:r>
    </w:p>
    <w:p>
      <w:r>
        <w:rPr>
          <w:b/>
        </w:rPr>
        <w:t xml:space="preserve">Ergebnis: </w:t>
      </w:r>
      <w:r>
        <w:t>ADHS-Medikation vor 2020 stabil, danach deutlicher Anstieg. Größte Anstiege bei weiblichen Adoleszenten (15–24 Jahre): +19 Prozentpunkte (von 5,2% auf 24,4% jährlich). Männliche Jugendliche (15–24 Jahre): +9,0 Prozentpunkte (von 2,7% auf 11,7%). Der Anstieg blieb auch nach 2020 dauerhaft.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nationale Verordnungsdatenbank, Fragestellung zur Versorgungspraxis systemübergreifend</w:t>
      </w:r>
    </w:p>
    <w:p>
      <w:r>
        <w:rPr>
          <w:color w:val="5A7D3A"/>
          <w:sz w:val="18"/>
        </w:rPr>
        <w:t>https://pubmed.ncbi.nlm.nih.gov/42847285/</w:t>
      </w:r>
    </w:p>
    <w:p>
      <w:pPr>
        <w:pStyle w:val="Heading2"/>
      </w:pPr>
      <w:r>
        <w:t>Agent-basiertes Modell der Demenzbetreuung in der Gemeinde: Validierte Baseline-Szenarien</w:t>
      </w:r>
    </w:p>
    <w:p>
      <w:r>
        <w:rPr>
          <w:i/>
          <w:color w:val="666666"/>
          <w:sz w:val="18"/>
        </w:rPr>
        <w:t>Zhu C et al.  ·  Front Public Health  ·  23.09.2026  ·  PMID 42846501</w:t>
      </w:r>
    </w:p>
    <w:p>
      <w:r>
        <w:t>Entwicklung und Validierung eines regelgestützten agentengestützten Modells (ABM) zur Simulation der Langzeitdynamiken in der gemeindlichen Demenzbetreuung mit evidenzgestützten Parametern.</w:t>
      </w:r>
    </w:p>
    <w:p>
      <w:r>
        <w:rPr>
          <w:b/>
        </w:rPr>
        <w:t xml:space="preserve">Ergebnis: </w:t>
      </w:r>
      <w:r>
        <w:t>BPSD-Prävalenz stieg von 75,6% (Start) auf 96,4% (Monat 60; Monte-Carlo 95% KI 96,3–96,5%). Durchschnittliche Betreuungslast erhöhte sich von 0,505 auf 0,782. Im Monat 60 befanden sich durchschnittlich 161 Betreuungseinheiten in institutioneller Betreuung. Lokale Sensitivitätsanalysen zeigten begrenzte Variabilität in Primäroutcomes über getestete Bereiche.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strukturiertes Health Services Research-Modell für spezialisierte Versorgungsforschung</w:t>
      </w:r>
    </w:p>
    <w:p>
      <w:r>
        <w:rPr>
          <w:color w:val="5A7D3A"/>
          <w:sz w:val="18"/>
        </w:rPr>
        <w:t>https://pubmed.ncbi.nlm.nih.gov/42846501/</w:t>
      </w:r>
    </w:p>
    <w:p>
      <w:pPr>
        <w:pStyle w:val="Heading2"/>
      </w:pPr>
      <w:r>
        <w:t>Psychosoziales Wohlbefinden bei Long COVID: Patientenzentrierte Interventionsstrategien</w:t>
      </w:r>
    </w:p>
    <w:p>
      <w:r>
        <w:rPr>
          <w:i/>
          <w:color w:val="666666"/>
          <w:sz w:val="18"/>
        </w:rPr>
        <w:t>Martinez BD et al.  ·  Front Psychiatry  ·  23.09.2026  ·  PMID 42846347</w:t>
      </w:r>
    </w:p>
    <w:p>
      <w:r>
        <w:t>Qualitative Studie mit 19 semi-strukturierten Interviews und Community Advisory Team-Fokusgruppen zu Faktoren und patientengenerierten Strategien für psychosoziales Wohlbefinden bei Long COVID.</w:t>
      </w:r>
    </w:p>
    <w:p>
      <w:r>
        <w:rPr>
          <w:b/>
        </w:rPr>
        <w:t xml:space="preserve">Ergebnis: </w:t>
      </w:r>
      <w:r>
        <w:t>Drei Primärfaktoren beeinflussen negativ psychosoziales Wohlbefinden: Identitätsstörung (Verlust von Fähigkeiten, Selbstständigkeit), Isolation (reduzierte soziale Partizipation, Stigmatisierung), Unsicherheit (Krankheits-/Behandlungspfade, Invaliditätssysteme). Patienten identifizierten: Case-Management, strukturierte Peersupport, Public-Awareness-Kampagnen und persönliche Adaptationspraktiken als förderlich.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systemunabhängig – psychosoziale Versorgungsfragen krankheitsübergreifend relevant</w:t>
      </w:r>
    </w:p>
    <w:p>
      <w:r>
        <w:rPr>
          <w:color w:val="5A7D3A"/>
          <w:sz w:val="18"/>
        </w:rPr>
        <w:t>https://pubmed.ncbi.nlm.nih.gov/42846347/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2026-10-09T06:00:00Z</dcterms:created>
  <dcterms:modified xsi:type="dcterms:W3CDTF">2026-10-09T06:00:00Z</dcterms:modified>
  <cp:category/>
</cp:coreProperties>
</file>